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A6D21" w:rsidRPr="003F2A1B" w:rsidRDefault="000E44F9" w:rsidP="007F1AAB">
      <w:pPr>
        <w:jc w:val="center"/>
        <w:rPr>
          <w:rFonts w:ascii="Times New Roman" w:eastAsia="Times New Roman" w:hAnsi="Times New Roman" w:cs="Times New Roman"/>
          <w:b/>
          <w:color w:val="000000" w:themeColor="text1"/>
          <w:sz w:val="28"/>
          <w:szCs w:val="28"/>
          <w:lang w:val="uk-UA"/>
        </w:rPr>
      </w:pPr>
      <w:bookmarkStart w:id="0" w:name="_GoBack"/>
      <w:bookmarkEnd w:id="0"/>
      <w:r w:rsidRPr="003F2A1B">
        <w:rPr>
          <w:rFonts w:ascii="Times New Roman" w:eastAsia="Times New Roman" w:hAnsi="Times New Roman" w:cs="Times New Roman"/>
          <w:b/>
          <w:color w:val="000000" w:themeColor="text1"/>
          <w:sz w:val="28"/>
          <w:szCs w:val="28"/>
          <w:lang w:val="uk-UA"/>
        </w:rPr>
        <w:t>ПОЯСНЮВАЛЬНА ЗАПИСКА</w:t>
      </w:r>
    </w:p>
    <w:p w14:paraId="3FB224E1" w14:textId="77777777" w:rsidR="00262124" w:rsidRPr="003F2A1B" w:rsidRDefault="00262124" w:rsidP="00262124">
      <w:pPr>
        <w:spacing w:line="240" w:lineRule="auto"/>
        <w:jc w:val="center"/>
        <w:rPr>
          <w:rFonts w:ascii="Times New Roman" w:eastAsia="MS Mincho" w:hAnsi="Times New Roman" w:cs="Times New Roman"/>
          <w:sz w:val="28"/>
          <w:szCs w:val="28"/>
          <w:lang w:val="uk-UA"/>
        </w:rPr>
      </w:pPr>
      <w:r w:rsidRPr="003F2A1B">
        <w:rPr>
          <w:rFonts w:ascii="Times New Roman" w:hAnsi="Times New Roman" w:cs="Times New Roman"/>
          <w:sz w:val="28"/>
          <w:szCs w:val="28"/>
          <w:lang w:val="uk-UA"/>
        </w:rPr>
        <w:t>до проекту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p>
    <w:p w14:paraId="0A34B441" w14:textId="2205BCBB" w:rsidR="00605928" w:rsidRPr="003F2A1B" w:rsidRDefault="00605928" w:rsidP="00262124">
      <w:pPr>
        <w:jc w:val="center"/>
        <w:rPr>
          <w:rFonts w:ascii="Times New Roman" w:eastAsia="Times New Roman" w:hAnsi="Times New Roman" w:cs="Times New Roman"/>
          <w:color w:val="000000" w:themeColor="text1"/>
          <w:sz w:val="28"/>
          <w:szCs w:val="28"/>
          <w:lang w:val="uk-UA"/>
        </w:rPr>
      </w:pPr>
    </w:p>
    <w:p w14:paraId="00000003" w14:textId="0CC79D94" w:rsidR="00DA6D21" w:rsidRPr="003F2A1B" w:rsidRDefault="000E44F9" w:rsidP="00E458AA">
      <w:pPr>
        <w:ind w:firstLine="567"/>
        <w:jc w:val="both"/>
        <w:rPr>
          <w:rFonts w:ascii="Times New Roman" w:eastAsia="Times New Roman" w:hAnsi="Times New Roman" w:cs="Times New Roman"/>
          <w:b/>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 xml:space="preserve">1. Обґрунтування необхідності прийняття </w:t>
      </w:r>
      <w:r w:rsidR="00605928" w:rsidRPr="003F2A1B">
        <w:rPr>
          <w:rFonts w:ascii="Times New Roman" w:eastAsia="Times New Roman" w:hAnsi="Times New Roman" w:cs="Times New Roman"/>
          <w:b/>
          <w:color w:val="000000" w:themeColor="text1"/>
          <w:sz w:val="28"/>
          <w:szCs w:val="28"/>
          <w:lang w:val="uk-UA"/>
        </w:rPr>
        <w:t>законопро</w:t>
      </w:r>
      <w:r w:rsidR="00A14CE3" w:rsidRPr="003F2A1B">
        <w:rPr>
          <w:rFonts w:ascii="Times New Roman" w:eastAsia="Times New Roman" w:hAnsi="Times New Roman" w:cs="Times New Roman"/>
          <w:b/>
          <w:color w:val="000000" w:themeColor="text1"/>
          <w:sz w:val="28"/>
          <w:szCs w:val="28"/>
          <w:lang w:val="uk-UA"/>
        </w:rPr>
        <w:t>е</w:t>
      </w:r>
      <w:r w:rsidR="00605928" w:rsidRPr="003F2A1B">
        <w:rPr>
          <w:rFonts w:ascii="Times New Roman" w:eastAsia="Times New Roman" w:hAnsi="Times New Roman" w:cs="Times New Roman"/>
          <w:b/>
          <w:color w:val="000000" w:themeColor="text1"/>
          <w:sz w:val="28"/>
          <w:szCs w:val="28"/>
          <w:lang w:val="uk-UA"/>
        </w:rPr>
        <w:t>кту</w:t>
      </w:r>
    </w:p>
    <w:p w14:paraId="0D7D777C" w14:textId="7B66FC07" w:rsidR="003172E9" w:rsidRPr="003F2A1B" w:rsidRDefault="003172E9"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Проект Закону України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розроблено з метою детінізації економіки, створення передумов для подальшої імплементації в Україні Плану протидії розмиванню бази оподаткування та виведенню прибутку з-під оподаткування (Плану дій BEPS), який був розроблений Організацією економічного співробітництва та розвитку (ОЕСР) для боротьби з розмиванням бази оподаткування і переміщенням прибутків за кордон, а також заходів з лібералізації валютного регулювання.</w:t>
      </w:r>
    </w:p>
    <w:p w14:paraId="71E5CC4F"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За даними Казначейства України, у 2019 році доходи від сплати податків і зборів до державного бюджету склали 799,8 млрд гривень, до місцевих бюджетів – 270,5 млрд гривень, у тому числі надходження податку і збору на доходи фізичних осіб (включаючи самозайнятих осіб) загалом склали 275,5 млрд гривень. За 2020 рік ці показники становили 851,1 млрд грн, 285,6 млрд грн і 295,1 млрд грн відповідно.</w:t>
      </w:r>
    </w:p>
    <w:p w14:paraId="17DBDB74"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Водночас за розрахунками Міністерства розвитку економіки, торгівлі та сільського господарства України у 2019 році рівень тіньової економіки склав 29% від обсягу офіційного ВВП, у І кварталі 2020 року – 31%.</w:t>
      </w:r>
    </w:p>
    <w:p w14:paraId="687EA237"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Крім того, одним із негативних явищ сучасного ринку праці України є переміщення частини зайнятого населення до неофіційного (тіньового) сегмента. Така форма зайнятості передбачає приховування від обліку та оподаткування результатів дозволеної законодавством діяльності. Так, згідно з даними Державної служби статистики України кількість неформально зайнятого населення віком від 15 до 70 років в Україні у 2019 році складала 3 460,4  тис. осіб, у січні – вересні 2020 року – 3 275,5 тис. осіб, а відтак, доходи таких громадян залишаються незадекларованими та з них не сплачуються передбачені законом податки і збори.</w:t>
      </w:r>
    </w:p>
    <w:p w14:paraId="5D221735"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З 1 січня 2017 року Україна приєдналась до міжнародної програми розширеного співробітництва з питань імплементації Плану дій BEPS, участь у якій на сьогодні беруть понад 135 країн і юрисдикцій.</w:t>
      </w:r>
    </w:p>
    <w:p w14:paraId="7FE1366C" w14:textId="7F019F19"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lastRenderedPageBreak/>
        <w:t xml:space="preserve">Наразі на законодавчому рівні вже врегульовано низку питань, необхідних для імплементації окремих кроків Плану дій BEPS, які спрямовані на забезпечення більшої прозорості та розширення бази оподаткування за рахунок залучення до сплати податків платників, які уникали оподаткування, застосовуючи методи, побудовані на використанні транскордонних операцій. Зокрема, Законом України </w:t>
      </w:r>
      <w:r w:rsidRPr="003F2A1B">
        <w:rPr>
          <w:rFonts w:ascii="Times New Roman" w:hAnsi="Times New Roman" w:cs="Times New Roman"/>
          <w:sz w:val="28"/>
          <w:szCs w:val="28"/>
          <w:lang w:val="uk-UA"/>
        </w:rPr>
        <w:t>"</w:t>
      </w:r>
      <w:r w:rsidRPr="003F2A1B">
        <w:rPr>
          <w:rFonts w:ascii="Times New Roman" w:hAnsi="Times New Roman" w:cs="Times New Roman"/>
          <w:sz w:val="28"/>
          <w:szCs w:val="28"/>
          <w:lang w:val="uk-UA" w:eastAsia="ru-RU"/>
        </w:rPr>
        <w:t>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r w:rsidRPr="003F2A1B">
        <w:rPr>
          <w:rFonts w:ascii="Times New Roman" w:hAnsi="Times New Roman" w:cs="Times New Roman"/>
          <w:sz w:val="28"/>
          <w:szCs w:val="28"/>
          <w:lang w:val="uk-UA"/>
        </w:rPr>
        <w:t>"</w:t>
      </w:r>
      <w:r w:rsidRPr="003F2A1B">
        <w:rPr>
          <w:rFonts w:ascii="Times New Roman" w:hAnsi="Times New Roman" w:cs="Times New Roman"/>
          <w:sz w:val="28"/>
          <w:szCs w:val="28"/>
          <w:lang w:val="uk-UA" w:eastAsia="ru-RU"/>
        </w:rPr>
        <w:t xml:space="preserve"> від 16 січня 2020 року № 466-IX передбачено заходи з удосконалення правил трансфертного ціноутворення та запровадження правил оподаткування контрольованих іноземних компаній.</w:t>
      </w:r>
    </w:p>
    <w:p w14:paraId="7DF1DC32"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Також відбувається процес налагодження автоматичного обміну фінансовою інформацією, що дасть змогу якісно застосовувати удосконалені правила трансфертного ціноутворення, правила оподаткування контрольованих іноземних компаній тощо.</w:t>
      </w:r>
    </w:p>
    <w:p w14:paraId="429959E2" w14:textId="77777777"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Разом із запровадженням змін щодо прозорості процесів, пов'язаних зі сплатою податків і зборів, доцільним є надання фізичним особам – резидентам України та фізичним особам, які не є резидентами України, але були резидентами та є чи були платниками податків в Україні, можливості самостійно виправити допущені у минулому помилки та порушення шляхом добровільного декларування активів.</w:t>
      </w:r>
    </w:p>
    <w:p w14:paraId="38DF845E" w14:textId="2A713CB8" w:rsidR="005B0041" w:rsidRPr="003F2A1B" w:rsidRDefault="005B0041" w:rsidP="005B0041">
      <w:pPr>
        <w:ind w:firstLine="567"/>
        <w:jc w:val="both"/>
        <w:rPr>
          <w:rFonts w:ascii="Times New Roman" w:hAnsi="Times New Roman" w:cs="Times New Roman"/>
          <w:sz w:val="28"/>
          <w:szCs w:val="28"/>
          <w:lang w:val="uk-UA" w:eastAsia="ru-RU"/>
        </w:rPr>
      </w:pPr>
      <w:r w:rsidRPr="003F2A1B">
        <w:rPr>
          <w:rFonts w:ascii="Times New Roman" w:hAnsi="Times New Roman" w:cs="Times New Roman"/>
          <w:sz w:val="28"/>
          <w:szCs w:val="28"/>
          <w:lang w:val="uk-UA" w:eastAsia="ru-RU"/>
        </w:rPr>
        <w:t>Комплексне впровадження зазначених заходів забезпечить додаткову прозорість та створить умови для належної сплати податків громадянами у подальшому, підвищить загальний рівень податкової культури громадян.</w:t>
      </w:r>
    </w:p>
    <w:p w14:paraId="429B4E76" w14:textId="5996CF48" w:rsidR="003172E9" w:rsidRPr="003F2A1B" w:rsidRDefault="00A5191F"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Значна взаємна недовіра громадян до податкових органів має наслідком здійснення господарської діяльності у тіні та приховування доходів від оподаткування. Частковим вирішенням таких проблем є податкова амністія, як свого роду пропозиція держави бізнесу чесного ведення господарської діяльності з певного періоду в обмін на непритягнення до відповідальності за податкові правопорушення вчинені до настання такого періоду.</w:t>
      </w:r>
    </w:p>
    <w:p w14:paraId="099AF2CC" w14:textId="07BA5FE1" w:rsidR="00A5191F" w:rsidRPr="003F2A1B" w:rsidRDefault="005B0041"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Як зазначалося, т</w:t>
      </w:r>
      <w:r w:rsidR="00A5191F" w:rsidRPr="003F2A1B">
        <w:rPr>
          <w:rFonts w:ascii="Times New Roman" w:eastAsia="Times New Roman" w:hAnsi="Times New Roman" w:cs="Times New Roman"/>
          <w:color w:val="000000" w:themeColor="text1"/>
          <w:sz w:val="28"/>
          <w:szCs w:val="28"/>
          <w:lang w:val="uk-UA"/>
        </w:rPr>
        <w:t>акий захід повинен бути лише частиною комплексного пакету заходів спрямованих на прозоре і ефективне адміністрування податкових зборів зі сторони держави</w:t>
      </w:r>
      <w:r w:rsidR="00EB3514" w:rsidRPr="003F2A1B">
        <w:rPr>
          <w:rFonts w:ascii="Times New Roman" w:eastAsia="Times New Roman" w:hAnsi="Times New Roman" w:cs="Times New Roman"/>
          <w:color w:val="000000" w:themeColor="text1"/>
          <w:sz w:val="28"/>
          <w:szCs w:val="28"/>
          <w:lang w:val="uk-UA"/>
        </w:rPr>
        <w:t xml:space="preserve"> та ефективне розслідування пов'язаних з цим правопорушень.</w:t>
      </w:r>
    </w:p>
    <w:p w14:paraId="5CC7304E" w14:textId="23030089" w:rsidR="00EB3514" w:rsidRPr="003F2A1B" w:rsidRDefault="00EB3514"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Зокрема, покращенням ефективності розслідування податкових правопорушень може бути створення якісно нового органу із розслідування таких правопорушень, який керуватиметься нульовою толерантністю до корупції.</w:t>
      </w:r>
    </w:p>
    <w:p w14:paraId="63B165BF" w14:textId="5F6350C4" w:rsidR="00A5191F" w:rsidRPr="003F2A1B" w:rsidRDefault="00A85AD6"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lastRenderedPageBreak/>
        <w:t xml:space="preserve">При цьому, ефективною податкова амністія може бути лише </w:t>
      </w:r>
      <w:r w:rsidR="0009060E" w:rsidRPr="003F2A1B">
        <w:rPr>
          <w:rFonts w:ascii="Times New Roman" w:eastAsia="Times New Roman" w:hAnsi="Times New Roman" w:cs="Times New Roman"/>
          <w:color w:val="000000" w:themeColor="text1"/>
          <w:sz w:val="28"/>
          <w:szCs w:val="28"/>
          <w:lang w:val="uk-UA"/>
        </w:rPr>
        <w:t>в період росту економіки</w:t>
      </w:r>
      <w:r w:rsidRPr="003F2A1B">
        <w:rPr>
          <w:rFonts w:ascii="Times New Roman" w:eastAsia="Times New Roman" w:hAnsi="Times New Roman" w:cs="Times New Roman"/>
          <w:color w:val="000000" w:themeColor="text1"/>
          <w:sz w:val="28"/>
          <w:szCs w:val="28"/>
          <w:lang w:val="uk-UA"/>
        </w:rPr>
        <w:t>.</w:t>
      </w:r>
      <w:r w:rsidR="00DE7BA1" w:rsidRPr="003F2A1B">
        <w:rPr>
          <w:rFonts w:ascii="Times New Roman" w:eastAsia="Times New Roman" w:hAnsi="Times New Roman" w:cs="Times New Roman"/>
          <w:color w:val="000000" w:themeColor="text1"/>
          <w:sz w:val="28"/>
          <w:szCs w:val="28"/>
          <w:lang w:val="uk-UA"/>
        </w:rPr>
        <w:t xml:space="preserve"> А основною метою такого заходу є не одноразовий збір до бюджетів, а максимальна детінізація наявної податкової бази та залучення коштів в економіку держави (внесення готівкових коштів на рахунки чи переказ коштів із закордону).</w:t>
      </w:r>
    </w:p>
    <w:p w14:paraId="151BB54B" w14:textId="47B393DA" w:rsidR="003571A6" w:rsidRPr="003F2A1B" w:rsidRDefault="000325FD"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Саме тому, враховуючи прогнозований ріст економіки у 2022 році</w:t>
      </w:r>
      <w:r w:rsidR="00545551" w:rsidRPr="003F2A1B">
        <w:rPr>
          <w:rFonts w:ascii="Times New Roman" w:eastAsia="Times New Roman" w:hAnsi="Times New Roman" w:cs="Times New Roman"/>
          <w:color w:val="000000" w:themeColor="text1"/>
          <w:sz w:val="28"/>
          <w:szCs w:val="28"/>
          <w:lang w:val="uk-UA"/>
        </w:rPr>
        <w:t>, важкість прогнозу на 2021 рік враховуючи пандемію</w:t>
      </w:r>
      <w:r w:rsidR="006629A1" w:rsidRPr="003F2A1B">
        <w:rPr>
          <w:rFonts w:ascii="Times New Roman" w:eastAsia="Times New Roman" w:hAnsi="Times New Roman" w:cs="Times New Roman"/>
          <w:color w:val="000000" w:themeColor="text1"/>
          <w:sz w:val="28"/>
          <w:szCs w:val="28"/>
          <w:lang w:val="uk-UA"/>
        </w:rPr>
        <w:t>,</w:t>
      </w:r>
      <w:r w:rsidRPr="003F2A1B">
        <w:rPr>
          <w:rFonts w:ascii="Times New Roman" w:eastAsia="Times New Roman" w:hAnsi="Times New Roman" w:cs="Times New Roman"/>
          <w:color w:val="000000" w:themeColor="text1"/>
          <w:sz w:val="28"/>
          <w:szCs w:val="28"/>
          <w:lang w:val="uk-UA"/>
        </w:rPr>
        <w:t xml:space="preserve"> та прийняття Закону України "Про бюро економічної безпеки України)</w:t>
      </w:r>
      <w:r w:rsidR="00540B8B" w:rsidRPr="003F2A1B">
        <w:rPr>
          <w:rFonts w:ascii="Times New Roman" w:eastAsia="Times New Roman" w:hAnsi="Times New Roman" w:cs="Times New Roman"/>
          <w:color w:val="000000" w:themeColor="text1"/>
          <w:sz w:val="28"/>
          <w:szCs w:val="28"/>
          <w:lang w:val="uk-UA"/>
        </w:rPr>
        <w:t xml:space="preserve"> з метою запровадження "нових правил" у відносинах між державою та бізнесом вбачається за необхідне провести податкову амністію.</w:t>
      </w:r>
    </w:p>
    <w:p w14:paraId="03AF9847" w14:textId="69F7FDE4" w:rsidR="00540B8B" w:rsidRPr="003F2A1B" w:rsidRDefault="00540B8B" w:rsidP="00E65944">
      <w:pPr>
        <w:tabs>
          <w:tab w:val="left" w:pos="567"/>
          <w:tab w:val="left" w:pos="851"/>
        </w:tabs>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Вказаний проект подається як альтернати</w:t>
      </w:r>
      <w:r w:rsidR="005B0041" w:rsidRPr="003F2A1B">
        <w:rPr>
          <w:rFonts w:ascii="Times New Roman" w:eastAsia="Times New Roman" w:hAnsi="Times New Roman" w:cs="Times New Roman"/>
          <w:color w:val="000000" w:themeColor="text1"/>
          <w:sz w:val="28"/>
          <w:szCs w:val="28"/>
          <w:lang w:val="uk-UA"/>
        </w:rPr>
        <w:t xml:space="preserve">вний до проекту Закону України </w:t>
      </w:r>
      <w:r w:rsidRPr="003F2A1B">
        <w:rPr>
          <w:rFonts w:ascii="Times New Roman" w:hAnsi="Times New Roman" w:cs="Times New Roman"/>
          <w:sz w:val="28"/>
          <w:szCs w:val="28"/>
          <w:lang w:val="uk-UA"/>
        </w:rPr>
        <w:t>"Про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9138C5" w:rsidRPr="003F2A1B">
        <w:rPr>
          <w:rFonts w:ascii="Times New Roman" w:hAnsi="Times New Roman" w:cs="Times New Roman"/>
          <w:sz w:val="28"/>
          <w:szCs w:val="28"/>
          <w:lang w:val="uk-UA"/>
        </w:rPr>
        <w:t xml:space="preserve"> № </w:t>
      </w:r>
      <w:r w:rsidR="00A86E24" w:rsidRPr="003F2A1B">
        <w:rPr>
          <w:rFonts w:ascii="Times New Roman" w:hAnsi="Times New Roman" w:cs="Times New Roman"/>
          <w:sz w:val="28"/>
          <w:szCs w:val="28"/>
          <w:lang w:val="uk-UA"/>
        </w:rPr>
        <w:t>5153 від 25.02.2021 р.</w:t>
      </w:r>
    </w:p>
    <w:p w14:paraId="4EE51E00" w14:textId="7981B019" w:rsidR="007A5BDD" w:rsidRPr="003F2A1B" w:rsidRDefault="007A5BDD" w:rsidP="007A5BDD">
      <w:pPr>
        <w:ind w:firstLine="567"/>
        <w:jc w:val="both"/>
        <w:rPr>
          <w:rFonts w:ascii="Times New Roman" w:hAnsi="Times New Roman" w:cs="Times New Roman"/>
          <w:sz w:val="28"/>
          <w:szCs w:val="28"/>
          <w:lang w:val="uk-UA"/>
        </w:rPr>
      </w:pPr>
      <w:r w:rsidRPr="003F2A1B">
        <w:rPr>
          <w:rFonts w:ascii="Times New Roman" w:hAnsi="Times New Roman" w:cs="Times New Roman"/>
          <w:sz w:val="28"/>
          <w:lang w:val="uk-UA"/>
        </w:rPr>
        <w:t>Втім, вказаний законопроект містить суперечливі положення, зокрема щодо строку за який можна подавати одноразову (спеціальну) добровільну декларацію та моменту набрання чинності цим законопроектом.</w:t>
      </w:r>
    </w:p>
    <w:p w14:paraId="144D32A0" w14:textId="483D9950" w:rsidR="007A5BDD" w:rsidRPr="003F2A1B" w:rsidRDefault="007A5BDD" w:rsidP="007A5BDD">
      <w:pPr>
        <w:ind w:firstLine="567"/>
        <w:jc w:val="both"/>
        <w:rPr>
          <w:rFonts w:ascii="Times New Roman" w:hAnsi="Times New Roman" w:cs="Times New Roman"/>
          <w:sz w:val="28"/>
          <w:lang w:val="uk-UA"/>
        </w:rPr>
      </w:pPr>
      <w:r w:rsidRPr="003F2A1B">
        <w:rPr>
          <w:rFonts w:ascii="Times New Roman" w:hAnsi="Times New Roman" w:cs="Times New Roman"/>
          <w:sz w:val="28"/>
          <w:szCs w:val="28"/>
          <w:lang w:val="uk-UA"/>
        </w:rPr>
        <w:t>Враховуючи це, даний законопроект подається як альтернативний до з метою виправити дані та інші недоліки до першого читання.</w:t>
      </w:r>
    </w:p>
    <w:p w14:paraId="586BABE6" w14:textId="55740C3F" w:rsidR="006D24A2" w:rsidRPr="003F2A1B" w:rsidRDefault="006D24A2" w:rsidP="00E65944">
      <w:pPr>
        <w:jc w:val="both"/>
        <w:rPr>
          <w:rFonts w:ascii="Times New Roman" w:eastAsia="Times New Roman" w:hAnsi="Times New Roman" w:cs="Times New Roman"/>
          <w:color w:val="000000" w:themeColor="text1"/>
          <w:sz w:val="28"/>
          <w:szCs w:val="28"/>
          <w:lang w:val="uk-UA"/>
        </w:rPr>
      </w:pPr>
    </w:p>
    <w:p w14:paraId="0000000C" w14:textId="363DD2C3" w:rsidR="00DA6D21" w:rsidRPr="003F2A1B" w:rsidRDefault="000E44F9" w:rsidP="007F1AAB">
      <w:pPr>
        <w:ind w:firstLine="560"/>
        <w:jc w:val="both"/>
        <w:rPr>
          <w:rFonts w:ascii="Times New Roman" w:eastAsia="Times New Roman" w:hAnsi="Times New Roman" w:cs="Times New Roman"/>
          <w:b/>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 xml:space="preserve">2. Мета та завдання прийняття </w:t>
      </w:r>
      <w:r w:rsidR="00605928" w:rsidRPr="003F2A1B">
        <w:rPr>
          <w:rFonts w:ascii="Times New Roman" w:eastAsia="Times New Roman" w:hAnsi="Times New Roman" w:cs="Times New Roman"/>
          <w:b/>
          <w:color w:val="000000" w:themeColor="text1"/>
          <w:sz w:val="28"/>
          <w:szCs w:val="28"/>
          <w:lang w:val="uk-UA"/>
        </w:rPr>
        <w:t>законопро</w:t>
      </w:r>
      <w:r w:rsidR="00E458AA" w:rsidRPr="003F2A1B">
        <w:rPr>
          <w:rFonts w:ascii="Times New Roman" w:eastAsia="Times New Roman" w:hAnsi="Times New Roman" w:cs="Times New Roman"/>
          <w:b/>
          <w:color w:val="000000" w:themeColor="text1"/>
          <w:sz w:val="28"/>
          <w:szCs w:val="28"/>
          <w:lang w:val="uk-UA"/>
        </w:rPr>
        <w:t>е</w:t>
      </w:r>
      <w:r w:rsidR="00605928" w:rsidRPr="003F2A1B">
        <w:rPr>
          <w:rFonts w:ascii="Times New Roman" w:eastAsia="Times New Roman" w:hAnsi="Times New Roman" w:cs="Times New Roman"/>
          <w:b/>
          <w:color w:val="000000" w:themeColor="text1"/>
          <w:sz w:val="28"/>
          <w:szCs w:val="28"/>
          <w:lang w:val="uk-UA"/>
        </w:rPr>
        <w:t>кту</w:t>
      </w:r>
    </w:p>
    <w:p w14:paraId="0000000D" w14:textId="19574F93" w:rsidR="00DA6D21" w:rsidRPr="003F2A1B" w:rsidRDefault="00605928" w:rsidP="00A14CE3">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Законопро</w:t>
      </w:r>
      <w:r w:rsidR="00E458AA" w:rsidRPr="003F2A1B">
        <w:rPr>
          <w:rFonts w:ascii="Times New Roman" w:eastAsia="Times New Roman" w:hAnsi="Times New Roman" w:cs="Times New Roman"/>
          <w:color w:val="000000" w:themeColor="text1"/>
          <w:sz w:val="28"/>
          <w:szCs w:val="28"/>
          <w:lang w:val="uk-UA"/>
        </w:rPr>
        <w:t>е</w:t>
      </w:r>
      <w:r w:rsidRPr="003F2A1B">
        <w:rPr>
          <w:rFonts w:ascii="Times New Roman" w:eastAsia="Times New Roman" w:hAnsi="Times New Roman" w:cs="Times New Roman"/>
          <w:color w:val="000000" w:themeColor="text1"/>
          <w:sz w:val="28"/>
          <w:szCs w:val="28"/>
          <w:lang w:val="uk-UA"/>
        </w:rPr>
        <w:t xml:space="preserve">кт </w:t>
      </w:r>
      <w:r w:rsidR="000E44F9" w:rsidRPr="003F2A1B">
        <w:rPr>
          <w:rFonts w:ascii="Times New Roman" w:eastAsia="Times New Roman" w:hAnsi="Times New Roman" w:cs="Times New Roman"/>
          <w:color w:val="000000" w:themeColor="text1"/>
          <w:sz w:val="28"/>
          <w:szCs w:val="28"/>
          <w:lang w:val="uk-UA"/>
        </w:rPr>
        <w:t xml:space="preserve">розроблено з метою </w:t>
      </w:r>
      <w:r w:rsidR="0006111D" w:rsidRPr="003F2A1B">
        <w:rPr>
          <w:rFonts w:ascii="Times New Roman" w:hAnsi="Times New Roman" w:cs="Times New Roman"/>
          <w:sz w:val="28"/>
          <w:szCs w:val="28"/>
          <w:lang w:val="uk-UA" w:eastAsia="ru-RU"/>
        </w:rPr>
        <w:t>забезпечення додаткової прозорості та створення умов для належної сплати податків громадянами у подальшому, а також підвищення загального рівня податкової культури громадян.</w:t>
      </w:r>
      <w:r w:rsidR="0069278E" w:rsidRPr="003F2A1B">
        <w:rPr>
          <w:rFonts w:ascii="Times New Roman" w:hAnsi="Times New Roman" w:cs="Times New Roman"/>
          <w:sz w:val="28"/>
          <w:szCs w:val="28"/>
          <w:lang w:val="uk-UA" w:eastAsia="ru-RU"/>
        </w:rPr>
        <w:t xml:space="preserve"> Також метою законопроекту є </w:t>
      </w:r>
      <w:r w:rsidR="0069278E" w:rsidRPr="003F2A1B">
        <w:rPr>
          <w:rFonts w:ascii="Times New Roman" w:eastAsia="Times New Roman" w:hAnsi="Times New Roman" w:cs="Times New Roman"/>
          <w:color w:val="000000" w:themeColor="text1"/>
          <w:sz w:val="28"/>
          <w:szCs w:val="28"/>
          <w:lang w:val="uk-UA"/>
        </w:rPr>
        <w:t>максимальна детінізація наявної податкової бази та залучення коштів в економіку держави (внесення готівкових коштів на рахунки чи переказ коштів із закордону).</w:t>
      </w:r>
    </w:p>
    <w:p w14:paraId="0000000E" w14:textId="792B7FDC" w:rsidR="00DA6D21" w:rsidRPr="003F2A1B" w:rsidRDefault="00DA6D21" w:rsidP="007F1AAB">
      <w:pPr>
        <w:ind w:firstLine="700"/>
        <w:jc w:val="both"/>
        <w:rPr>
          <w:rFonts w:ascii="Times New Roman" w:eastAsia="Times New Roman" w:hAnsi="Times New Roman" w:cs="Times New Roman"/>
          <w:color w:val="000000" w:themeColor="text1"/>
          <w:sz w:val="28"/>
          <w:szCs w:val="28"/>
          <w:lang w:val="uk-UA"/>
        </w:rPr>
      </w:pPr>
    </w:p>
    <w:p w14:paraId="0000000F" w14:textId="1371492E" w:rsidR="00DA6D21" w:rsidRPr="003F2A1B" w:rsidRDefault="000E44F9" w:rsidP="007F1AAB">
      <w:pPr>
        <w:ind w:left="540"/>
        <w:jc w:val="both"/>
        <w:rPr>
          <w:rFonts w:ascii="Times New Roman" w:eastAsia="Times New Roman" w:hAnsi="Times New Roman" w:cs="Times New Roman"/>
          <w:b/>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 xml:space="preserve">3. Загальна характеристика і основні положення </w:t>
      </w:r>
      <w:r w:rsidR="00605928" w:rsidRPr="003F2A1B">
        <w:rPr>
          <w:rFonts w:ascii="Times New Roman" w:eastAsia="Times New Roman" w:hAnsi="Times New Roman" w:cs="Times New Roman"/>
          <w:b/>
          <w:color w:val="000000" w:themeColor="text1"/>
          <w:sz w:val="28"/>
          <w:szCs w:val="28"/>
          <w:lang w:val="uk-UA"/>
        </w:rPr>
        <w:t>про</w:t>
      </w:r>
      <w:r w:rsidR="00E458AA" w:rsidRPr="003F2A1B">
        <w:rPr>
          <w:rFonts w:ascii="Times New Roman" w:eastAsia="Times New Roman" w:hAnsi="Times New Roman" w:cs="Times New Roman"/>
          <w:b/>
          <w:color w:val="000000" w:themeColor="text1"/>
          <w:sz w:val="28"/>
          <w:szCs w:val="28"/>
          <w:lang w:val="uk-UA"/>
        </w:rPr>
        <w:t>е</w:t>
      </w:r>
      <w:r w:rsidR="00605928" w:rsidRPr="003F2A1B">
        <w:rPr>
          <w:rFonts w:ascii="Times New Roman" w:eastAsia="Times New Roman" w:hAnsi="Times New Roman" w:cs="Times New Roman"/>
          <w:b/>
          <w:color w:val="000000" w:themeColor="text1"/>
          <w:sz w:val="28"/>
          <w:szCs w:val="28"/>
          <w:lang w:val="uk-UA"/>
        </w:rPr>
        <w:t xml:space="preserve">кту </w:t>
      </w:r>
      <w:r w:rsidRPr="003F2A1B">
        <w:rPr>
          <w:rFonts w:ascii="Times New Roman" w:eastAsia="Times New Roman" w:hAnsi="Times New Roman" w:cs="Times New Roman"/>
          <w:b/>
          <w:color w:val="000000" w:themeColor="text1"/>
          <w:sz w:val="28"/>
          <w:szCs w:val="28"/>
          <w:lang w:val="uk-UA"/>
        </w:rPr>
        <w:t>акта</w:t>
      </w:r>
    </w:p>
    <w:p w14:paraId="44F4FB3F" w14:textId="5811BEEF"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 xml:space="preserve">Проектом Закону України передбачається у період </w:t>
      </w:r>
      <w:r w:rsidRPr="003F2A1B">
        <w:rPr>
          <w:rFonts w:ascii="Times New Roman" w:hAnsi="Times New Roman" w:cs="Times New Roman"/>
          <w:sz w:val="28"/>
          <w:szCs w:val="28"/>
          <w:lang w:val="uk-UA"/>
        </w:rPr>
        <w:t xml:space="preserve">з 1 </w:t>
      </w:r>
      <w:r>
        <w:rPr>
          <w:rFonts w:ascii="Times New Roman" w:hAnsi="Times New Roman" w:cs="Times New Roman"/>
          <w:sz w:val="28"/>
          <w:szCs w:val="28"/>
          <w:lang w:val="uk-UA"/>
        </w:rPr>
        <w:t>липня 2022</w:t>
      </w:r>
      <w:r w:rsidRPr="003F2A1B">
        <w:rPr>
          <w:rFonts w:ascii="Times New Roman" w:hAnsi="Times New Roman" w:cs="Times New Roman"/>
          <w:sz w:val="28"/>
          <w:szCs w:val="28"/>
          <w:lang w:val="uk-UA"/>
        </w:rPr>
        <w:t xml:space="preserve"> року до 1 липня 202</w:t>
      </w:r>
      <w:r>
        <w:rPr>
          <w:rFonts w:ascii="Times New Roman" w:hAnsi="Times New Roman" w:cs="Times New Roman"/>
          <w:sz w:val="28"/>
          <w:szCs w:val="28"/>
          <w:lang w:val="uk-UA"/>
        </w:rPr>
        <w:t>3</w:t>
      </w:r>
      <w:r w:rsidRPr="003F2A1B">
        <w:rPr>
          <w:rFonts w:ascii="Times New Roman" w:hAnsi="Times New Roman" w:cs="Times New Roman"/>
          <w:sz w:val="28"/>
          <w:szCs w:val="28"/>
          <w:lang w:val="uk-UA"/>
        </w:rPr>
        <w:t xml:space="preserve"> року </w:t>
      </w:r>
      <w:r w:rsidRPr="003F2A1B">
        <w:rPr>
          <w:rFonts w:ascii="Times New Roman" w:hAnsi="Times New Roman" w:cs="Times New Roman"/>
          <w:sz w:val="28"/>
          <w:szCs w:val="28"/>
          <w:shd w:val="clear" w:color="auto" w:fill="FFFFFF"/>
          <w:lang w:val="uk-UA"/>
        </w:rPr>
        <w:t xml:space="preserve">провести </w:t>
      </w:r>
      <w:r w:rsidRPr="003F2A1B">
        <w:rPr>
          <w:rFonts w:ascii="Times New Roman" w:hAnsi="Times New Roman" w:cs="Times New Roman"/>
          <w:sz w:val="28"/>
          <w:szCs w:val="28"/>
          <w:lang w:val="uk-UA"/>
        </w:rPr>
        <w:t xml:space="preserve">одноразове (спеціальне) добровільне </w:t>
      </w:r>
      <w:r w:rsidRPr="003F2A1B">
        <w:rPr>
          <w:rFonts w:ascii="Times New Roman" w:hAnsi="Times New Roman" w:cs="Times New Roman"/>
          <w:sz w:val="28"/>
          <w:szCs w:val="28"/>
          <w:shd w:val="clear" w:color="auto" w:fill="FFFFFF"/>
          <w:lang w:val="uk-UA"/>
        </w:rPr>
        <w:t>декларування активів фізичних осіб.</w:t>
      </w:r>
    </w:p>
    <w:p w14:paraId="055772E9" w14:textId="08330A47" w:rsidR="003F2A1B" w:rsidRPr="003F2A1B" w:rsidRDefault="003F2A1B" w:rsidP="003F2A1B">
      <w:pPr>
        <w:ind w:firstLine="567"/>
        <w:jc w:val="both"/>
        <w:rPr>
          <w:rFonts w:ascii="Times New Roman" w:hAnsi="Times New Roman" w:cs="Times New Roman"/>
          <w:sz w:val="28"/>
          <w:lang w:val="uk-UA"/>
        </w:rPr>
      </w:pPr>
      <w:r w:rsidRPr="003F2A1B">
        <w:rPr>
          <w:rFonts w:ascii="Times New Roman" w:hAnsi="Times New Roman" w:cs="Times New Roman"/>
          <w:sz w:val="28"/>
          <w:lang w:val="uk-UA"/>
        </w:rPr>
        <w:t xml:space="preserve">Для цього фізичні особи – резиденти України, у тому числі самозайняті особи, а також фізичні особи, які не є резидентами України, але які були резидентами на момент отримання (набуття) об'єктів декларування чи на момент нарахування (отримання) доходів, за рахунок яких були отримані (набуті) об'єкти декларування, і які відповідно до Податкового кодексу України є чи були платниками податків, </w:t>
      </w:r>
      <w:r w:rsidRPr="003F2A1B">
        <w:rPr>
          <w:rFonts w:ascii="Times New Roman" w:hAnsi="Times New Roman" w:cs="Times New Roman"/>
          <w:sz w:val="28"/>
          <w:lang w:val="uk-UA"/>
        </w:rPr>
        <w:lastRenderedPageBreak/>
        <w:t>матимуть право подати одноразову (спеціальну) добровільну декларацію із зазначенням активів, що належать суб'єкту декларування на праві приватної власності, якщо такі активи були одержані (набуті) за рахунок доходів, що підлягали в момент їх отримання оподаткуванню в Україні та з яких не були сплачені податки і збори відповідно до вимог законодавства з питань оподаткування та/або міжнародних договорів, згода на обов'язковість яких надана Верховною Радою України, та/або не були задекларовані в порушення податкового законодавства та валютного законодавства протягом будь-якого з податкових періодів до 1 січня 202</w:t>
      </w:r>
      <w:r>
        <w:rPr>
          <w:rFonts w:ascii="Times New Roman" w:hAnsi="Times New Roman" w:cs="Times New Roman"/>
          <w:sz w:val="28"/>
          <w:lang w:val="uk-UA"/>
        </w:rPr>
        <w:t>0</w:t>
      </w:r>
      <w:r w:rsidRPr="003F2A1B">
        <w:rPr>
          <w:rFonts w:ascii="Times New Roman" w:hAnsi="Times New Roman" w:cs="Times New Roman"/>
          <w:sz w:val="28"/>
          <w:lang w:val="uk-UA"/>
        </w:rPr>
        <w:t xml:space="preserve"> року. Таку можливість отримують всі громадяни України, крім осіб, які  за будь-який рік, починаючи з 1 січня 2005 року, подавали або мають подавати декларації відповідно до законів, що визначають чи визначали правові та організаційні засади у сфері 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14:paraId="06E01204" w14:textId="00C4FD2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lang w:val="uk-UA"/>
        </w:rPr>
        <w:t xml:space="preserve">Проектом передбачена можливість поряд із поданням одноразової (спеціальної) добровільної декларації безпосередньо фізичною особою подання одноразової (спеціальної) добровільної декларації знеособлено (без ідентифікації декларанта) через спеціально уповноваженого представника декларанта – нотаріуса у порядку, встановленому Кабінетом Міністрів України. Водночас цією можливістю </w:t>
      </w:r>
      <w:r>
        <w:rPr>
          <w:rFonts w:ascii="Times New Roman" w:hAnsi="Times New Roman" w:cs="Times New Roman"/>
          <w:sz w:val="28"/>
          <w:lang w:val="uk-UA"/>
        </w:rPr>
        <w:t xml:space="preserve">не матимуть право скористатися </w:t>
      </w:r>
      <w:r w:rsidRPr="003F2A1B">
        <w:rPr>
          <w:rFonts w:ascii="Times New Roman" w:hAnsi="Times New Roman" w:cs="Times New Roman"/>
          <w:sz w:val="28"/>
          <w:lang w:val="uk-UA"/>
        </w:rPr>
        <w:t xml:space="preserve">декларанти, які відповідно до Закону України "Про запобігання корупції" вважаються близькими особами осіб, які за будь-який рік, починаючи з 2005 року, подавали або мають подавати декларації відповідно до законів, що визначають чи визначали правові та організаційні засади у сфері </w:t>
      </w:r>
      <w:r w:rsidRPr="003F2A1B">
        <w:rPr>
          <w:rFonts w:ascii="Times New Roman" w:hAnsi="Times New Roman" w:cs="Times New Roman"/>
          <w:sz w:val="28"/>
          <w:szCs w:val="28"/>
          <w:shd w:val="clear" w:color="auto" w:fill="FFFFFF"/>
          <w:lang w:val="uk-UA"/>
        </w:rPr>
        <w:t>запобігання корупції (крім тих, які претендували або претендують на зайняття посад, перебування на яких вимагає чи вимагало від особи подання відповідної декларації, та не були призначені або обрані на відповідні посади).</w:t>
      </w:r>
    </w:p>
    <w:p w14:paraId="5D1FCDDC" w14:textId="7777777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Суб'єктом декларування в одноразовій (спеціальній) добровільній</w:t>
      </w:r>
      <w:r w:rsidRPr="003F2A1B" w:rsidDel="00FB0EC1">
        <w:rPr>
          <w:rFonts w:ascii="Times New Roman" w:hAnsi="Times New Roman" w:cs="Times New Roman"/>
          <w:sz w:val="28"/>
          <w:szCs w:val="28"/>
          <w:shd w:val="clear" w:color="auto" w:fill="FFFFFF"/>
          <w:lang w:val="uk-UA"/>
        </w:rPr>
        <w:t xml:space="preserve"> </w:t>
      </w:r>
      <w:r w:rsidRPr="003F2A1B">
        <w:rPr>
          <w:rFonts w:ascii="Times New Roman" w:hAnsi="Times New Roman" w:cs="Times New Roman"/>
          <w:sz w:val="28"/>
          <w:szCs w:val="28"/>
          <w:shd w:val="clear" w:color="auto" w:fill="FFFFFF"/>
          <w:lang w:val="uk-UA"/>
        </w:rPr>
        <w:t xml:space="preserve">декларації не зазначатиметься інформація про джерела походження задекларованих активів. Задекларовані об'єкти одноразового (спеціального) добровільного декларування потребують підтвердження їх вартості документами (їх копіями) у разі </w:t>
      </w:r>
      <w:r w:rsidRPr="003F2A1B">
        <w:rPr>
          <w:rFonts w:ascii="Times New Roman" w:hAnsi="Times New Roman" w:cs="Times New Roman"/>
          <w:sz w:val="28"/>
          <w:lang w:val="uk-UA"/>
        </w:rPr>
        <w:t>знаходження (реєстрації) активу за межами України та/або</w:t>
      </w:r>
      <w:r w:rsidRPr="003F2A1B">
        <w:rPr>
          <w:rFonts w:ascii="Times New Roman" w:hAnsi="Times New Roman" w:cs="Times New Roman"/>
          <w:sz w:val="28"/>
          <w:szCs w:val="28"/>
          <w:shd w:val="clear" w:color="auto" w:fill="FFFFFF"/>
          <w:lang w:val="uk-UA"/>
        </w:rPr>
        <w:t xml:space="preserve"> декларування валютних цінностей, розміщених на рахунках в Україні, прав грошової вимоги</w:t>
      </w:r>
      <w:r w:rsidRPr="003F2A1B">
        <w:rPr>
          <w:rFonts w:ascii="Times New Roman" w:hAnsi="Times New Roman" w:cs="Times New Roman"/>
          <w:sz w:val="28"/>
          <w:lang w:val="uk-UA"/>
        </w:rPr>
        <w:t xml:space="preserve">. Інші активи, які знаходяться </w:t>
      </w:r>
      <w:r w:rsidRPr="003F2A1B">
        <w:rPr>
          <w:rFonts w:ascii="Times New Roman" w:hAnsi="Times New Roman" w:cs="Times New Roman"/>
          <w:sz w:val="28"/>
          <w:szCs w:val="28"/>
          <w:shd w:val="clear" w:color="auto" w:fill="FFFFFF"/>
          <w:lang w:val="uk-UA"/>
        </w:rPr>
        <w:t xml:space="preserve">(зареєстровані) </w:t>
      </w:r>
      <w:r w:rsidRPr="003F2A1B">
        <w:rPr>
          <w:rFonts w:ascii="Times New Roman" w:hAnsi="Times New Roman" w:cs="Times New Roman"/>
          <w:sz w:val="28"/>
          <w:lang w:val="uk-UA"/>
        </w:rPr>
        <w:t xml:space="preserve"> в Україні, </w:t>
      </w:r>
      <w:r w:rsidRPr="003F2A1B">
        <w:rPr>
          <w:rFonts w:ascii="Times New Roman" w:hAnsi="Times New Roman" w:cs="Times New Roman"/>
          <w:sz w:val="28"/>
          <w:szCs w:val="28"/>
          <w:shd w:val="clear" w:color="auto" w:fill="FFFFFF"/>
          <w:lang w:val="uk-UA"/>
        </w:rPr>
        <w:t>за бажанням декларанта можуть бути підтверджені відповідними супровідними документами із визначенням їх вартості.</w:t>
      </w:r>
    </w:p>
    <w:p w14:paraId="282969C8" w14:textId="7777777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 xml:space="preserve">В одноразовій (спеціальній) добровільній декларації можуть бути відображені такі активи фізичної особи, зокрема, як валютні цінності (крім коштів у готівковій </w:t>
      </w:r>
      <w:r w:rsidRPr="003F2A1B">
        <w:rPr>
          <w:rFonts w:ascii="Times New Roman" w:hAnsi="Times New Roman" w:cs="Times New Roman"/>
          <w:sz w:val="28"/>
          <w:szCs w:val="28"/>
          <w:shd w:val="clear" w:color="auto" w:fill="FFFFFF"/>
          <w:lang w:val="uk-UA"/>
        </w:rPr>
        <w:lastRenderedPageBreak/>
        <w:t>формі), цінні папери, рухоме та нерухоме майно, у тому числі об'єкти незавершеного будівництва, частки (паї) у майні юридичних осіб, що знаходяться (зареєстровані) як в Україні, так і за кордоном.</w:t>
      </w:r>
    </w:p>
    <w:p w14:paraId="57CBF6F8" w14:textId="7777777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Збір з одноразового (спеціального) добровільного декларування визначатиметься за такими ставками:</w:t>
      </w:r>
    </w:p>
    <w:p w14:paraId="46CE75B7" w14:textId="77777777" w:rsidR="003F2A1B" w:rsidRPr="003F2A1B" w:rsidRDefault="003F2A1B" w:rsidP="003F2A1B">
      <w:pPr>
        <w:pStyle w:val="a7"/>
        <w:ind w:left="0" w:firstLine="567"/>
        <w:contextualSpacing w:val="0"/>
        <w:jc w:val="both"/>
        <w:rPr>
          <w:rFonts w:ascii="Times New Roman" w:hAnsi="Times New Roman" w:cs="Times New Roman"/>
          <w:sz w:val="28"/>
          <w:szCs w:val="28"/>
          <w:lang w:val="uk-UA"/>
        </w:rPr>
      </w:pPr>
      <w:r w:rsidRPr="003F2A1B">
        <w:rPr>
          <w:rFonts w:ascii="Times New Roman" w:hAnsi="Times New Roman" w:cs="Times New Roman"/>
          <w:sz w:val="28"/>
          <w:szCs w:val="28"/>
          <w:lang w:val="uk-UA"/>
        </w:rPr>
        <w:t>– 5% щодо валютних цінностей, розміщених на рахунках у банках в Україні і прав грошової вимоги до резидентів України за визначених умов, а також інших активів, що знаходяться (зареєстровані) в Україні;</w:t>
      </w:r>
    </w:p>
    <w:p w14:paraId="7986BD5A" w14:textId="77777777" w:rsidR="003F2A1B" w:rsidRPr="003F2A1B" w:rsidRDefault="003F2A1B" w:rsidP="003F2A1B">
      <w:pPr>
        <w:pStyle w:val="a7"/>
        <w:ind w:left="0" w:firstLine="567"/>
        <w:contextualSpacing w:val="0"/>
        <w:jc w:val="both"/>
        <w:rPr>
          <w:rFonts w:ascii="Times New Roman" w:hAnsi="Times New Roman" w:cs="Times New Roman"/>
          <w:sz w:val="28"/>
          <w:szCs w:val="28"/>
          <w:lang w:val="uk-UA"/>
        </w:rPr>
      </w:pPr>
      <w:r w:rsidRPr="003F2A1B">
        <w:rPr>
          <w:rFonts w:ascii="Times New Roman" w:hAnsi="Times New Roman" w:cs="Times New Roman"/>
          <w:sz w:val="28"/>
          <w:szCs w:val="28"/>
          <w:lang w:val="uk-UA"/>
        </w:rPr>
        <w:t>– 9 % щодо валютних цінностей, розміщених на рахунках у фінансових установах за кордоном і прав грошової вимоги до нерезидентів України за визначених умов, а також інших активів (зокрема рухомого і нерухомого майна, майнових і корпоративних прав, фінансових інструментів), що знаходяться (зареєстровані) за кордоном;</w:t>
      </w:r>
    </w:p>
    <w:p w14:paraId="411B17A9" w14:textId="20307180" w:rsidR="003F2A1B" w:rsidRDefault="003F2A1B" w:rsidP="003F2A1B">
      <w:pPr>
        <w:pStyle w:val="a7"/>
        <w:ind w:left="0" w:firstLine="567"/>
        <w:contextualSpacing w:val="0"/>
        <w:jc w:val="both"/>
        <w:rPr>
          <w:rFonts w:ascii="Times New Roman" w:hAnsi="Times New Roman" w:cs="Times New Roman"/>
          <w:sz w:val="28"/>
          <w:szCs w:val="28"/>
          <w:lang w:val="uk-UA"/>
        </w:rPr>
      </w:pPr>
      <w:r w:rsidRPr="003F2A1B">
        <w:rPr>
          <w:rFonts w:ascii="Times New Roman" w:hAnsi="Times New Roman" w:cs="Times New Roman"/>
          <w:sz w:val="28"/>
          <w:szCs w:val="28"/>
          <w:lang w:val="uk-UA"/>
        </w:rPr>
        <w:t>– 2,5% щодо номінальної вартості державних облігацій України з терміном обігу більше ніж 365 днів без права дострокового погашення, придбаних декларантом у період з 1 січня 2021 року до 20 червня 2022 року до подання одноразової (спеціальної) добровільної декларації.</w:t>
      </w:r>
    </w:p>
    <w:p w14:paraId="7D7EF50B" w14:textId="13E2181C" w:rsidR="003F2A1B" w:rsidRPr="003F2A1B" w:rsidRDefault="003F2A1B" w:rsidP="003F2A1B">
      <w:pPr>
        <w:pStyle w:val="a7"/>
        <w:ind w:left="0" w:firstLine="567"/>
        <w:contextualSpacing w:val="0"/>
        <w:jc w:val="both"/>
        <w:rPr>
          <w:rFonts w:ascii="Times New Roman" w:hAnsi="Times New Roman" w:cs="Times New Roman"/>
          <w:sz w:val="28"/>
          <w:szCs w:val="28"/>
          <w:lang w:val="uk-UA"/>
        </w:rPr>
      </w:pPr>
      <w:r>
        <w:rPr>
          <w:rFonts w:ascii="Times New Roman" w:hAnsi="Times New Roman" w:cs="Times New Roman"/>
          <w:sz w:val="28"/>
          <w:szCs w:val="28"/>
          <w:lang w:val="uk-UA"/>
        </w:rPr>
        <w:t>Також пропонується поділ платежу на три частини протягом 3 років і застосуванням ставок 6 %, 10,5 % та 3 % відповідно.</w:t>
      </w:r>
    </w:p>
    <w:p w14:paraId="476792E0" w14:textId="77777777" w:rsidR="003F2A1B" w:rsidRPr="003F2A1B" w:rsidRDefault="003F2A1B" w:rsidP="003F2A1B">
      <w:pPr>
        <w:pStyle w:val="a7"/>
        <w:ind w:left="0" w:firstLine="567"/>
        <w:contextualSpacing w:val="0"/>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При цьому держава гарантуватиме суб'єкту одноразового (спеціального) добровільного декларування:</w:t>
      </w:r>
    </w:p>
    <w:p w14:paraId="6B7A651A" w14:textId="32217B19"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 xml:space="preserve">а) звільнення у разі сплати ним у повному обсязі суми збору з одноразового (спеціального) добровільного декларування від відповідальності </w:t>
      </w:r>
      <w:r w:rsidRPr="003F2A1B">
        <w:rPr>
          <w:rFonts w:ascii="Times New Roman" w:hAnsi="Times New Roman" w:cs="Times New Roman"/>
          <w:sz w:val="28"/>
          <w:lang w:val="uk-UA"/>
        </w:rPr>
        <w:t xml:space="preserve">за порушення </w:t>
      </w:r>
      <w:r>
        <w:rPr>
          <w:rFonts w:ascii="Times New Roman" w:hAnsi="Times New Roman" w:cs="Times New Roman"/>
          <w:sz w:val="28"/>
          <w:lang w:val="uk-UA"/>
        </w:rPr>
        <w:t xml:space="preserve">трудового, </w:t>
      </w:r>
      <w:r w:rsidRPr="003F2A1B">
        <w:rPr>
          <w:rFonts w:ascii="Times New Roman" w:hAnsi="Times New Roman" w:cs="Times New Roman"/>
          <w:sz w:val="28"/>
          <w:lang w:val="uk-UA"/>
        </w:rPr>
        <w:t>податкового, валютного законодавства та від обов'язку нарахування та сплати податків і зборів щодо доходів, які стали джерелом одержання (набуття) активів, зазначених таким декларантом в одноразовій (спеціальній) добровільній декларації</w:t>
      </w:r>
      <w:r w:rsidRPr="003F2A1B">
        <w:rPr>
          <w:rFonts w:ascii="Times New Roman" w:hAnsi="Times New Roman" w:cs="Times New Roman"/>
          <w:sz w:val="28"/>
          <w:szCs w:val="28"/>
          <w:shd w:val="clear" w:color="auto" w:fill="FFFFFF"/>
          <w:lang w:val="uk-UA"/>
        </w:rPr>
        <w:t>;</w:t>
      </w:r>
    </w:p>
    <w:p w14:paraId="51858C75" w14:textId="7777777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б) нерозголошення відповідними державними органами та їх посадовими особами відомостей, що містяться в одноразових (спеціальних) добровільних деклараціях та доданих до них документах, за виключенням випадків, коли це прямо передбачено законами або рішенням суду;</w:t>
      </w:r>
    </w:p>
    <w:p w14:paraId="0B6A41A5" w14:textId="77777777" w:rsidR="003F2A1B" w:rsidRPr="003F2A1B" w:rsidRDefault="003F2A1B" w:rsidP="003F2A1B">
      <w:pPr>
        <w:ind w:firstLine="567"/>
        <w:jc w:val="both"/>
        <w:rPr>
          <w:rFonts w:ascii="Times New Roman" w:hAnsi="Times New Roman" w:cs="Times New Roman"/>
          <w:sz w:val="28"/>
          <w:szCs w:val="28"/>
          <w:shd w:val="clear" w:color="auto" w:fill="FFFFFF"/>
          <w:lang w:val="uk-UA"/>
        </w:rPr>
      </w:pPr>
      <w:r w:rsidRPr="003F2A1B">
        <w:rPr>
          <w:rFonts w:ascii="Times New Roman" w:hAnsi="Times New Roman" w:cs="Times New Roman"/>
          <w:sz w:val="28"/>
          <w:szCs w:val="28"/>
          <w:shd w:val="clear" w:color="auto" w:fill="FFFFFF"/>
          <w:lang w:val="uk-UA"/>
        </w:rPr>
        <w:t xml:space="preserve">в) заборону, крім визначених законом випадків, на використання відомостей, що містяться в одноразовій (спеціальній) добровільній декларації, у розслідуваннях та/або перевірках відносно декларанта, а також як докази у кримінальних провадженнях, справах про адміністративні правопорушення, цивільних та адміністративних справах (у межах складу та вартості активів, </w:t>
      </w:r>
      <w:r w:rsidRPr="003F2A1B">
        <w:rPr>
          <w:rFonts w:ascii="Times New Roman" w:hAnsi="Times New Roman" w:cs="Times New Roman"/>
          <w:sz w:val="28"/>
          <w:szCs w:val="28"/>
          <w:shd w:val="clear" w:color="auto" w:fill="FFFFFF"/>
          <w:lang w:val="uk-UA"/>
        </w:rPr>
        <w:lastRenderedPageBreak/>
        <w:t>зазначених в одноразовій (спеціальній) добровільній декларації як база для нарахування збору з одноразового (спеціального) добровільного декларування).</w:t>
      </w:r>
    </w:p>
    <w:p w14:paraId="22F3E281" w14:textId="77777777" w:rsidR="00605928" w:rsidRPr="003F2A1B" w:rsidRDefault="00605928" w:rsidP="007F1AAB">
      <w:pPr>
        <w:jc w:val="both"/>
        <w:rPr>
          <w:rFonts w:ascii="Times New Roman" w:eastAsia="Times New Roman" w:hAnsi="Times New Roman" w:cs="Times New Roman"/>
          <w:b/>
          <w:color w:val="000000" w:themeColor="text1"/>
          <w:sz w:val="28"/>
          <w:szCs w:val="28"/>
          <w:lang w:val="uk-UA"/>
        </w:rPr>
      </w:pPr>
    </w:p>
    <w:p w14:paraId="00000016" w14:textId="4BEE7BEE" w:rsidR="00DA6D21" w:rsidRPr="003F2A1B" w:rsidRDefault="000E44F9" w:rsidP="00464DF1">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4. Стан нормативно-правової бази у даній сфері правового регулювання</w:t>
      </w:r>
    </w:p>
    <w:p w14:paraId="00000017" w14:textId="18C0E575" w:rsidR="00DA6D21" w:rsidRPr="003F2A1B" w:rsidRDefault="000E44F9" w:rsidP="00464DF1">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 xml:space="preserve">Нормативно-правову базу у даній сфері правового регулювання становить </w:t>
      </w:r>
      <w:r w:rsidR="003F2A1B">
        <w:rPr>
          <w:rFonts w:ascii="Times New Roman" w:eastAsia="Times New Roman" w:hAnsi="Times New Roman" w:cs="Times New Roman"/>
          <w:color w:val="000000" w:themeColor="text1"/>
          <w:sz w:val="28"/>
          <w:szCs w:val="28"/>
          <w:lang w:val="uk-UA"/>
        </w:rPr>
        <w:t xml:space="preserve">Конституція України, </w:t>
      </w:r>
      <w:r w:rsidRPr="003F2A1B">
        <w:rPr>
          <w:rFonts w:ascii="Times New Roman" w:eastAsia="Times New Roman" w:hAnsi="Times New Roman" w:cs="Times New Roman"/>
          <w:color w:val="000000" w:themeColor="text1"/>
          <w:sz w:val="28"/>
          <w:szCs w:val="28"/>
          <w:lang w:val="uk-UA"/>
        </w:rPr>
        <w:t>Податковий кодекс України</w:t>
      </w:r>
      <w:r w:rsidR="003F2A1B">
        <w:rPr>
          <w:rFonts w:ascii="Times New Roman" w:eastAsia="Times New Roman" w:hAnsi="Times New Roman" w:cs="Times New Roman"/>
          <w:color w:val="000000" w:themeColor="text1"/>
          <w:sz w:val="28"/>
          <w:szCs w:val="28"/>
          <w:lang w:val="uk-UA"/>
        </w:rPr>
        <w:t xml:space="preserve">, </w:t>
      </w:r>
      <w:r w:rsidR="003F2A1B" w:rsidRPr="003F2A1B">
        <w:rPr>
          <w:rFonts w:ascii="Times New Roman" w:eastAsia="Times New Roman" w:hAnsi="Times New Roman" w:cs="Times New Roman"/>
          <w:color w:val="000000" w:themeColor="text1"/>
          <w:sz w:val="28"/>
          <w:szCs w:val="28"/>
          <w:lang w:val="uk-UA"/>
        </w:rPr>
        <w:t>Закон України "Про нотаріат", Закон України "Про банки і банківську діяльність", Закон України "Про захист економічної конкуренції" та Закон України "Про запобігання корупції</w:t>
      </w:r>
      <w:r w:rsidR="003F2A1B">
        <w:rPr>
          <w:rFonts w:ascii="Times New Roman" w:eastAsia="Times New Roman" w:hAnsi="Times New Roman" w:cs="Times New Roman"/>
          <w:color w:val="000000" w:themeColor="text1"/>
          <w:sz w:val="28"/>
          <w:szCs w:val="28"/>
          <w:lang w:val="uk-UA"/>
        </w:rPr>
        <w:t>.</w:t>
      </w:r>
    </w:p>
    <w:p w14:paraId="01452DE2" w14:textId="77777777" w:rsidR="00605928" w:rsidRPr="003F2A1B" w:rsidRDefault="00605928" w:rsidP="00464DF1">
      <w:pPr>
        <w:ind w:firstLine="567"/>
        <w:jc w:val="both"/>
        <w:rPr>
          <w:rFonts w:ascii="Times New Roman" w:eastAsia="Times New Roman" w:hAnsi="Times New Roman" w:cs="Times New Roman"/>
          <w:color w:val="000000" w:themeColor="text1"/>
          <w:sz w:val="28"/>
          <w:szCs w:val="28"/>
          <w:lang w:val="uk-UA"/>
        </w:rPr>
      </w:pPr>
    </w:p>
    <w:p w14:paraId="00000018" w14:textId="49E7FC70" w:rsidR="00DA6D21" w:rsidRPr="003F2A1B" w:rsidRDefault="000E44F9" w:rsidP="00464DF1">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5. Фінансово-економічне обґрунтування</w:t>
      </w:r>
    </w:p>
    <w:p w14:paraId="00000019" w14:textId="63CC1FD7" w:rsidR="00DA6D21" w:rsidRPr="003F2A1B" w:rsidRDefault="000E44F9" w:rsidP="00464DF1">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color w:val="000000" w:themeColor="text1"/>
          <w:sz w:val="28"/>
          <w:szCs w:val="28"/>
          <w:lang w:val="uk-UA"/>
        </w:rPr>
        <w:t>Прийняття цього Закону не потребує збільшення видатків Державного бюджету України.</w:t>
      </w:r>
    </w:p>
    <w:p w14:paraId="55FDE15C" w14:textId="77777777" w:rsidR="00605928" w:rsidRPr="003F2A1B" w:rsidRDefault="00605928" w:rsidP="00464DF1">
      <w:pPr>
        <w:ind w:firstLine="567"/>
        <w:jc w:val="both"/>
        <w:rPr>
          <w:rFonts w:ascii="Times New Roman" w:eastAsia="Times New Roman" w:hAnsi="Times New Roman" w:cs="Times New Roman"/>
          <w:b/>
          <w:color w:val="000000" w:themeColor="text1"/>
          <w:sz w:val="28"/>
          <w:szCs w:val="28"/>
          <w:lang w:val="uk-UA"/>
        </w:rPr>
      </w:pPr>
    </w:p>
    <w:p w14:paraId="0000001A" w14:textId="28EE5C10" w:rsidR="00DA6D21" w:rsidRPr="003F2A1B" w:rsidRDefault="000E44F9" w:rsidP="00464DF1">
      <w:pPr>
        <w:ind w:firstLine="567"/>
        <w:jc w:val="both"/>
        <w:rPr>
          <w:rFonts w:ascii="Times New Roman" w:eastAsia="Times New Roman" w:hAnsi="Times New Roman" w:cs="Times New Roman"/>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 xml:space="preserve">6. Прогноз соціально-економічних та інших наслідків прийняття </w:t>
      </w:r>
      <w:r w:rsidR="00605928" w:rsidRPr="003F2A1B">
        <w:rPr>
          <w:rFonts w:ascii="Times New Roman" w:eastAsia="Times New Roman" w:hAnsi="Times New Roman" w:cs="Times New Roman"/>
          <w:b/>
          <w:color w:val="000000" w:themeColor="text1"/>
          <w:sz w:val="28"/>
          <w:szCs w:val="28"/>
          <w:lang w:val="uk-UA"/>
        </w:rPr>
        <w:t>законопро</w:t>
      </w:r>
      <w:r w:rsidR="00E458AA" w:rsidRPr="003F2A1B">
        <w:rPr>
          <w:rFonts w:ascii="Times New Roman" w:eastAsia="Times New Roman" w:hAnsi="Times New Roman" w:cs="Times New Roman"/>
          <w:b/>
          <w:color w:val="000000" w:themeColor="text1"/>
          <w:sz w:val="28"/>
          <w:szCs w:val="28"/>
          <w:lang w:val="uk-UA"/>
        </w:rPr>
        <w:t>е</w:t>
      </w:r>
      <w:r w:rsidR="00605928" w:rsidRPr="003F2A1B">
        <w:rPr>
          <w:rFonts w:ascii="Times New Roman" w:eastAsia="Times New Roman" w:hAnsi="Times New Roman" w:cs="Times New Roman"/>
          <w:b/>
          <w:color w:val="000000" w:themeColor="text1"/>
          <w:sz w:val="28"/>
          <w:szCs w:val="28"/>
          <w:lang w:val="uk-UA"/>
        </w:rPr>
        <w:t>кту</w:t>
      </w:r>
    </w:p>
    <w:p w14:paraId="52B51401" w14:textId="77777777" w:rsidR="007B08F6" w:rsidRDefault="007B08F6" w:rsidP="007B08F6">
      <w:pPr>
        <w:pStyle w:val="20"/>
        <w:tabs>
          <w:tab w:val="left" w:pos="0"/>
        </w:tabs>
        <w:spacing w:after="0" w:line="240" w:lineRule="auto"/>
        <w:ind w:firstLine="567"/>
        <w:jc w:val="both"/>
        <w:rPr>
          <w:rFonts w:ascii="Times New Roman" w:hAnsi="Times New Roman"/>
          <w:sz w:val="28"/>
          <w:szCs w:val="28"/>
          <w:lang w:eastAsia="ru-RU"/>
        </w:rPr>
      </w:pPr>
      <w:r w:rsidRPr="00374E84">
        <w:rPr>
          <w:rFonts w:ascii="Times New Roman" w:hAnsi="Times New Roman"/>
          <w:sz w:val="28"/>
          <w:szCs w:val="28"/>
          <w:lang w:eastAsia="ru-RU"/>
        </w:rPr>
        <w:t xml:space="preserve">Прийняття Закону </w:t>
      </w:r>
      <w:r>
        <w:rPr>
          <w:rFonts w:ascii="Times New Roman" w:hAnsi="Times New Roman"/>
          <w:sz w:val="28"/>
          <w:szCs w:val="28"/>
          <w:lang w:eastAsia="ru-RU"/>
        </w:rPr>
        <w:t>дасть змогу створити стимули для виведення з тіні доходів, прихованих від оподаткування, сприятиме підвищенню ефективності протидії розмиванню податкової бази, залученню в економіку України додаткових ресурсів та її активізації, підвищенню податкової культури громадян.</w:t>
      </w:r>
    </w:p>
    <w:p w14:paraId="0000001D" w14:textId="07CD4182" w:rsidR="00DA6D21" w:rsidRPr="003F2A1B" w:rsidRDefault="00DA6D21" w:rsidP="007F1AAB">
      <w:pPr>
        <w:jc w:val="both"/>
        <w:rPr>
          <w:rFonts w:ascii="Times New Roman" w:eastAsia="Times New Roman" w:hAnsi="Times New Roman" w:cs="Times New Roman"/>
          <w:b/>
          <w:color w:val="000000" w:themeColor="text1"/>
          <w:sz w:val="28"/>
          <w:szCs w:val="28"/>
          <w:lang w:val="uk-UA"/>
        </w:rPr>
      </w:pPr>
    </w:p>
    <w:p w14:paraId="00000022" w14:textId="082522A5" w:rsidR="00DA6D21" w:rsidRPr="007B08F6" w:rsidRDefault="00E458AA" w:rsidP="007B08F6">
      <w:pPr>
        <w:ind w:firstLine="567"/>
        <w:jc w:val="both"/>
        <w:rPr>
          <w:rFonts w:ascii="Times New Roman" w:eastAsia="Times New Roman" w:hAnsi="Times New Roman" w:cs="Times New Roman"/>
          <w:b/>
          <w:color w:val="000000" w:themeColor="text1"/>
          <w:sz w:val="28"/>
          <w:szCs w:val="28"/>
          <w:lang w:val="uk-UA"/>
        </w:rPr>
      </w:pPr>
      <w:r w:rsidRPr="003F2A1B">
        <w:rPr>
          <w:rFonts w:ascii="Times New Roman" w:eastAsia="Times New Roman" w:hAnsi="Times New Roman" w:cs="Times New Roman"/>
          <w:b/>
          <w:color w:val="000000" w:themeColor="text1"/>
          <w:sz w:val="28"/>
          <w:szCs w:val="28"/>
          <w:lang w:val="uk-UA"/>
        </w:rPr>
        <w:t>Народн</w:t>
      </w:r>
      <w:r w:rsidR="007B08F6">
        <w:rPr>
          <w:rFonts w:ascii="Times New Roman" w:eastAsia="Times New Roman" w:hAnsi="Times New Roman" w:cs="Times New Roman"/>
          <w:b/>
          <w:color w:val="000000" w:themeColor="text1"/>
          <w:sz w:val="28"/>
          <w:szCs w:val="28"/>
          <w:lang w:val="uk-UA"/>
        </w:rPr>
        <w:t xml:space="preserve">ий </w:t>
      </w:r>
      <w:r w:rsidR="000E44F9" w:rsidRPr="003F2A1B">
        <w:rPr>
          <w:rFonts w:ascii="Times New Roman" w:eastAsia="Times New Roman" w:hAnsi="Times New Roman" w:cs="Times New Roman"/>
          <w:b/>
          <w:color w:val="000000" w:themeColor="text1"/>
          <w:sz w:val="28"/>
          <w:szCs w:val="28"/>
          <w:lang w:val="uk-UA"/>
        </w:rPr>
        <w:t xml:space="preserve">депутат України            </w:t>
      </w:r>
      <w:r w:rsidR="007B08F6">
        <w:rPr>
          <w:rFonts w:ascii="Times New Roman" w:eastAsia="Times New Roman" w:hAnsi="Times New Roman" w:cs="Times New Roman"/>
          <w:b/>
          <w:color w:val="000000" w:themeColor="text1"/>
          <w:sz w:val="28"/>
          <w:szCs w:val="28"/>
          <w:lang w:val="uk-UA"/>
        </w:rPr>
        <w:t>Я.І. Железняк</w:t>
      </w:r>
    </w:p>
    <w:sectPr w:rsidR="00DA6D21" w:rsidRPr="007B08F6">
      <w:footerReference w:type="default" r:id="rId11"/>
      <w:pgSz w:w="12240" w:h="15840"/>
      <w:pgMar w:top="720" w:right="1170" w:bottom="81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7C151" w14:textId="77777777" w:rsidR="002A2DA4" w:rsidRDefault="002A2DA4" w:rsidP="00212FE8">
      <w:pPr>
        <w:spacing w:line="240" w:lineRule="auto"/>
      </w:pPr>
      <w:r>
        <w:separator/>
      </w:r>
    </w:p>
  </w:endnote>
  <w:endnote w:type="continuationSeparator" w:id="0">
    <w:p w14:paraId="0D06E026" w14:textId="77777777" w:rsidR="002A2DA4" w:rsidRDefault="002A2DA4" w:rsidP="00212F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695289"/>
      <w:docPartObj>
        <w:docPartGallery w:val="Page Numbers (Bottom of Page)"/>
        <w:docPartUnique/>
      </w:docPartObj>
    </w:sdtPr>
    <w:sdtEndPr>
      <w:rPr>
        <w:rFonts w:ascii="Times New Roman" w:hAnsi="Times New Roman" w:cs="Times New Roman"/>
        <w:sz w:val="28"/>
      </w:rPr>
    </w:sdtEndPr>
    <w:sdtContent>
      <w:p w14:paraId="1D707BB3" w14:textId="09335A3E" w:rsidR="007B08F6" w:rsidRPr="007B08F6" w:rsidRDefault="007B08F6" w:rsidP="007B08F6">
        <w:pPr>
          <w:pStyle w:val="af0"/>
          <w:jc w:val="right"/>
          <w:rPr>
            <w:rFonts w:ascii="Times New Roman" w:hAnsi="Times New Roman" w:cs="Times New Roman"/>
            <w:sz w:val="28"/>
          </w:rPr>
        </w:pPr>
        <w:r w:rsidRPr="007B08F6">
          <w:rPr>
            <w:rFonts w:ascii="Times New Roman" w:hAnsi="Times New Roman" w:cs="Times New Roman"/>
            <w:sz w:val="28"/>
          </w:rPr>
          <w:fldChar w:fldCharType="begin"/>
        </w:r>
        <w:r w:rsidRPr="007B08F6">
          <w:rPr>
            <w:rFonts w:ascii="Times New Roman" w:hAnsi="Times New Roman" w:cs="Times New Roman"/>
            <w:sz w:val="28"/>
          </w:rPr>
          <w:instrText>PAGE   \* MERGEFORMAT</w:instrText>
        </w:r>
        <w:r w:rsidRPr="007B08F6">
          <w:rPr>
            <w:rFonts w:ascii="Times New Roman" w:hAnsi="Times New Roman" w:cs="Times New Roman"/>
            <w:sz w:val="28"/>
          </w:rPr>
          <w:fldChar w:fldCharType="separate"/>
        </w:r>
        <w:r w:rsidR="009C4E20" w:rsidRPr="009C4E20">
          <w:rPr>
            <w:rFonts w:ascii="Times New Roman" w:hAnsi="Times New Roman" w:cs="Times New Roman"/>
            <w:noProof/>
            <w:sz w:val="28"/>
            <w:lang w:val="ru-RU"/>
          </w:rPr>
          <w:t>2</w:t>
        </w:r>
        <w:r w:rsidRPr="007B08F6">
          <w:rPr>
            <w:rFonts w:ascii="Times New Roman" w:hAnsi="Times New Roman" w:cs="Times New Roman"/>
            <w:sz w:val="28"/>
          </w:rPr>
          <w:fldChar w:fldCharType="end"/>
        </w:r>
      </w:p>
    </w:sdtContent>
  </w:sdt>
  <w:p w14:paraId="46240D7F" w14:textId="77777777" w:rsidR="007B08F6" w:rsidRDefault="007B08F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786944" w14:textId="77777777" w:rsidR="002A2DA4" w:rsidRDefault="002A2DA4" w:rsidP="00212FE8">
      <w:pPr>
        <w:spacing w:line="240" w:lineRule="auto"/>
      </w:pPr>
      <w:r>
        <w:separator/>
      </w:r>
    </w:p>
  </w:footnote>
  <w:footnote w:type="continuationSeparator" w:id="0">
    <w:p w14:paraId="717F6208" w14:textId="77777777" w:rsidR="002A2DA4" w:rsidRDefault="002A2DA4" w:rsidP="00212F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F6952"/>
    <w:multiLevelType w:val="hybridMultilevel"/>
    <w:tmpl w:val="A970A590"/>
    <w:lvl w:ilvl="0" w:tplc="638431FA">
      <w:start w:val="1"/>
      <w:numFmt w:val="decimal"/>
      <w:lvlText w:val="%1."/>
      <w:lvlJc w:val="left"/>
      <w:pPr>
        <w:ind w:left="1005" w:hanging="465"/>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1" w15:restartNumberingAfterBreak="0">
    <w:nsid w:val="3ACC6388"/>
    <w:multiLevelType w:val="hybridMultilevel"/>
    <w:tmpl w:val="5714FE2E"/>
    <w:lvl w:ilvl="0" w:tplc="0422000F">
      <w:start w:val="1"/>
      <w:numFmt w:val="decimal"/>
      <w:lvlText w:val="%1."/>
      <w:lvlJc w:val="left"/>
      <w:pPr>
        <w:ind w:left="1260" w:hanging="360"/>
      </w:p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D21"/>
    <w:rsid w:val="000325FD"/>
    <w:rsid w:val="0006111D"/>
    <w:rsid w:val="00082954"/>
    <w:rsid w:val="0009060E"/>
    <w:rsid w:val="000E44F9"/>
    <w:rsid w:val="00200CF7"/>
    <w:rsid w:val="00212FE8"/>
    <w:rsid w:val="00262124"/>
    <w:rsid w:val="00290A14"/>
    <w:rsid w:val="002A2DA4"/>
    <w:rsid w:val="002E6777"/>
    <w:rsid w:val="003172E9"/>
    <w:rsid w:val="003571A6"/>
    <w:rsid w:val="0038737A"/>
    <w:rsid w:val="003F2A1B"/>
    <w:rsid w:val="00464DF1"/>
    <w:rsid w:val="00540B8B"/>
    <w:rsid w:val="00545551"/>
    <w:rsid w:val="005B0041"/>
    <w:rsid w:val="00605928"/>
    <w:rsid w:val="00621662"/>
    <w:rsid w:val="006629A1"/>
    <w:rsid w:val="0069278E"/>
    <w:rsid w:val="006A38DE"/>
    <w:rsid w:val="006D24A2"/>
    <w:rsid w:val="006E142C"/>
    <w:rsid w:val="00796DA6"/>
    <w:rsid w:val="007A5BDD"/>
    <w:rsid w:val="007B08F6"/>
    <w:rsid w:val="007F1AAB"/>
    <w:rsid w:val="008634DA"/>
    <w:rsid w:val="00886513"/>
    <w:rsid w:val="009138C5"/>
    <w:rsid w:val="009A3BB2"/>
    <w:rsid w:val="009C4E20"/>
    <w:rsid w:val="00A14CE3"/>
    <w:rsid w:val="00A46825"/>
    <w:rsid w:val="00A5191F"/>
    <w:rsid w:val="00A642A5"/>
    <w:rsid w:val="00A85AD6"/>
    <w:rsid w:val="00A86E24"/>
    <w:rsid w:val="00B37EAE"/>
    <w:rsid w:val="00BE68C8"/>
    <w:rsid w:val="00BE7D7E"/>
    <w:rsid w:val="00C06FD2"/>
    <w:rsid w:val="00C34A8C"/>
    <w:rsid w:val="00CF58F6"/>
    <w:rsid w:val="00DA6D21"/>
    <w:rsid w:val="00DD067D"/>
    <w:rsid w:val="00DD36FE"/>
    <w:rsid w:val="00DE7BA1"/>
    <w:rsid w:val="00DF6570"/>
    <w:rsid w:val="00E3298A"/>
    <w:rsid w:val="00E40C17"/>
    <w:rsid w:val="00E458AA"/>
    <w:rsid w:val="00E65944"/>
    <w:rsid w:val="00E92C34"/>
    <w:rsid w:val="00EA60F2"/>
    <w:rsid w:val="00EB3514"/>
    <w:rsid w:val="00F21F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CB97D"/>
  <w15:docId w15:val="{10BA8E7B-186E-4465-9C09-9A137D085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BE68C8"/>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E68C8"/>
    <w:rPr>
      <w:rFonts w:ascii="Segoe UI" w:hAnsi="Segoe UI" w:cs="Segoe UI"/>
      <w:sz w:val="18"/>
      <w:szCs w:val="18"/>
    </w:rPr>
  </w:style>
  <w:style w:type="paragraph" w:styleId="a7">
    <w:name w:val="List Paragraph"/>
    <w:basedOn w:val="a"/>
    <w:uiPriority w:val="34"/>
    <w:qFormat/>
    <w:rsid w:val="008634DA"/>
    <w:pPr>
      <w:ind w:left="720"/>
      <w:contextualSpacing/>
    </w:pPr>
  </w:style>
  <w:style w:type="paragraph" w:styleId="a8">
    <w:name w:val="footnote text"/>
    <w:basedOn w:val="a"/>
    <w:link w:val="a9"/>
    <w:uiPriority w:val="99"/>
    <w:semiHidden/>
    <w:unhideWhenUsed/>
    <w:rsid w:val="00212FE8"/>
    <w:pPr>
      <w:spacing w:line="240" w:lineRule="auto"/>
    </w:pPr>
    <w:rPr>
      <w:sz w:val="20"/>
      <w:szCs w:val="20"/>
    </w:rPr>
  </w:style>
  <w:style w:type="character" w:customStyle="1" w:styleId="a9">
    <w:name w:val="Текст виноски Знак"/>
    <w:basedOn w:val="a0"/>
    <w:link w:val="a8"/>
    <w:uiPriority w:val="99"/>
    <w:semiHidden/>
    <w:rsid w:val="00212FE8"/>
    <w:rPr>
      <w:sz w:val="20"/>
      <w:szCs w:val="20"/>
    </w:rPr>
  </w:style>
  <w:style w:type="character" w:styleId="aa">
    <w:name w:val="footnote reference"/>
    <w:basedOn w:val="a0"/>
    <w:uiPriority w:val="99"/>
    <w:semiHidden/>
    <w:unhideWhenUsed/>
    <w:rsid w:val="00212FE8"/>
    <w:rPr>
      <w:vertAlign w:val="superscript"/>
    </w:rPr>
  </w:style>
  <w:style w:type="character" w:styleId="ab">
    <w:name w:val="Hyperlink"/>
    <w:basedOn w:val="a0"/>
    <w:uiPriority w:val="99"/>
    <w:unhideWhenUsed/>
    <w:rsid w:val="00212FE8"/>
    <w:rPr>
      <w:color w:val="2474B2"/>
      <w:u w:val="single"/>
    </w:rPr>
  </w:style>
  <w:style w:type="character" w:styleId="ac">
    <w:name w:val="FollowedHyperlink"/>
    <w:basedOn w:val="a0"/>
    <w:uiPriority w:val="99"/>
    <w:semiHidden/>
    <w:unhideWhenUsed/>
    <w:rsid w:val="00212FE8"/>
    <w:rPr>
      <w:color w:val="800080" w:themeColor="followedHyperlink"/>
      <w:u w:val="single"/>
    </w:rPr>
  </w:style>
  <w:style w:type="table" w:styleId="ad">
    <w:name w:val="Table Grid"/>
    <w:basedOn w:val="a1"/>
    <w:uiPriority w:val="59"/>
    <w:rsid w:val="00DD067D"/>
    <w:pPr>
      <w:spacing w:line="240" w:lineRule="auto"/>
    </w:pPr>
    <w:rPr>
      <w:rFonts w:asciiTheme="minorHAnsi" w:eastAsia="Times New Roman" w:hAnsiTheme="minorHAnsi" w:cstheme="minorHAnsi"/>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заголовок 1"/>
    <w:basedOn w:val="a"/>
    <w:next w:val="a"/>
    <w:uiPriority w:val="99"/>
    <w:rsid w:val="00262124"/>
    <w:pPr>
      <w:keepNext/>
      <w:autoSpaceDE w:val="0"/>
      <w:autoSpaceDN w:val="0"/>
      <w:spacing w:line="240" w:lineRule="auto"/>
      <w:jc w:val="center"/>
    </w:pPr>
    <w:rPr>
      <w:rFonts w:ascii="Times New Roman" w:eastAsia="Times New Roman" w:hAnsi="Times New Roman" w:cs="Times New Roman"/>
      <w:b/>
      <w:bCs/>
      <w:sz w:val="28"/>
      <w:szCs w:val="28"/>
      <w:lang w:val="uk-UA" w:eastAsia="ru-RU"/>
    </w:rPr>
  </w:style>
  <w:style w:type="paragraph" w:styleId="20">
    <w:name w:val="Body Text 2"/>
    <w:basedOn w:val="a"/>
    <w:link w:val="21"/>
    <w:uiPriority w:val="99"/>
    <w:semiHidden/>
    <w:rsid w:val="007B08F6"/>
    <w:pPr>
      <w:spacing w:after="120" w:line="480" w:lineRule="auto"/>
    </w:pPr>
    <w:rPr>
      <w:rFonts w:ascii="Calibri" w:eastAsia="Times New Roman" w:hAnsi="Calibri" w:cs="Times New Roman"/>
      <w:lang w:val="uk-UA" w:eastAsia="en-US"/>
    </w:rPr>
  </w:style>
  <w:style w:type="character" w:customStyle="1" w:styleId="21">
    <w:name w:val="Основний текст 2 Знак"/>
    <w:basedOn w:val="a0"/>
    <w:link w:val="20"/>
    <w:uiPriority w:val="99"/>
    <w:semiHidden/>
    <w:rsid w:val="007B08F6"/>
    <w:rPr>
      <w:rFonts w:ascii="Calibri" w:eastAsia="Times New Roman" w:hAnsi="Calibri" w:cs="Times New Roman"/>
      <w:lang w:val="uk-UA" w:eastAsia="en-US"/>
    </w:rPr>
  </w:style>
  <w:style w:type="paragraph" w:styleId="ae">
    <w:name w:val="header"/>
    <w:basedOn w:val="a"/>
    <w:link w:val="af"/>
    <w:uiPriority w:val="99"/>
    <w:unhideWhenUsed/>
    <w:rsid w:val="007B08F6"/>
    <w:pPr>
      <w:tabs>
        <w:tab w:val="center" w:pos="4986"/>
        <w:tab w:val="right" w:pos="9973"/>
      </w:tabs>
      <w:spacing w:line="240" w:lineRule="auto"/>
    </w:pPr>
  </w:style>
  <w:style w:type="character" w:customStyle="1" w:styleId="af">
    <w:name w:val="Верхній колонтитул Знак"/>
    <w:basedOn w:val="a0"/>
    <w:link w:val="ae"/>
    <w:uiPriority w:val="99"/>
    <w:rsid w:val="007B08F6"/>
  </w:style>
  <w:style w:type="paragraph" w:styleId="af0">
    <w:name w:val="footer"/>
    <w:basedOn w:val="a"/>
    <w:link w:val="af1"/>
    <w:uiPriority w:val="99"/>
    <w:unhideWhenUsed/>
    <w:rsid w:val="007B08F6"/>
    <w:pPr>
      <w:tabs>
        <w:tab w:val="center" w:pos="4986"/>
        <w:tab w:val="right" w:pos="9973"/>
      </w:tabs>
      <w:spacing w:line="240" w:lineRule="auto"/>
    </w:pPr>
  </w:style>
  <w:style w:type="character" w:customStyle="1" w:styleId="af1">
    <w:name w:val="Нижній колонтитул Знак"/>
    <w:basedOn w:val="a0"/>
    <w:link w:val="af0"/>
    <w:uiPriority w:val="99"/>
    <w:rsid w:val="007B08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9E7C6-01CB-4C66-8D2D-891EEB720B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AEC267-F119-47F8-BC90-E1549D7A0B9A}">
  <ds:schemaRefs>
    <ds:schemaRef ds:uri="http://schemas.microsoft.com/sharepoint/v3/contenttype/forms"/>
  </ds:schemaRefs>
</ds:datastoreItem>
</file>

<file path=customXml/itemProps3.xml><?xml version="1.0" encoding="utf-8"?>
<ds:datastoreItem xmlns:ds="http://schemas.openxmlformats.org/officeDocument/2006/customXml" ds:itemID="{419C2D8A-0B48-4D8C-A788-5F2A22D49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9573A4-8BFA-45BE-8307-2DEFDE679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8533</Words>
  <Characters>4865</Characters>
  <Application>Microsoft Office Word</Application>
  <DocSecurity>0</DocSecurity>
  <Lines>40</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2021-03-10T13:11:00Z</dcterms:created>
  <dcterms:modified xsi:type="dcterms:W3CDTF">2021-03-10T13:11:00Z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