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EC" w:rsidRPr="00380DEC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380DEC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380DEC" w:rsidRDefault="00F517EC" w:rsidP="00082190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9A75E9" w:rsidRPr="00380DEC" w:rsidRDefault="00F517EC" w:rsidP="00082190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щодо проєкту Закону України «Про</w:t>
      </w:r>
      <w:r w:rsidR="00F47FE1" w:rsidRPr="00380DEC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="009A75E9" w:rsidRPr="00380DEC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внесення змін до Закону України "Про пестициди і агрохімікати" щодо вдосконалення вимог до маркування пестицидів і агрохімікатів»</w:t>
      </w:r>
    </w:p>
    <w:p w:rsidR="00F517EC" w:rsidRPr="00380DEC" w:rsidRDefault="009A75E9" w:rsidP="00082190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F517EC"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 № </w:t>
      </w: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5237 від 12.03.2021</w:t>
      </w:r>
      <w:r w:rsidR="00D53492"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r w:rsidR="00625841"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н.д. Соломчук Д.В</w:t>
      </w: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та інші</w:t>
      </w:r>
      <w:r w:rsidR="00F517EC"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  <w:r w:rsidR="00F517EC" w:rsidRPr="00380DEC">
        <w:rPr>
          <w:rFonts w:ascii="Times New Roman" w:eastAsia="Times New Roman" w:hAnsi="Times New Roman"/>
          <w:b/>
          <w:sz w:val="28"/>
          <w:szCs w:val="28"/>
          <w:vertAlign w:val="superscript"/>
          <w:lang w:val="uk-UA" w:eastAsia="ru-RU"/>
        </w:rPr>
        <w:footnoteReference w:id="1"/>
      </w:r>
    </w:p>
    <w:p w:rsidR="00F517EC" w:rsidRPr="00380DEC" w:rsidRDefault="00F517EC" w:rsidP="00082190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47FE1" w:rsidRPr="00380DEC" w:rsidRDefault="00F47FE1" w:rsidP="00082190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380DEC" w:rsidRDefault="00D53492" w:rsidP="00082190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380DEC" w:rsidRDefault="00D53492" w:rsidP="00082190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1. Загальна характеристика законопроєкту.</w:t>
      </w:r>
    </w:p>
    <w:p w:rsidR="00082190" w:rsidRPr="00082190" w:rsidRDefault="00D53492" w:rsidP="00082190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Метою розроблення проєкту Закону, як зазна</w:t>
      </w:r>
      <w:r w:rsidR="00082190"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чено у пояснювальній записці, </w:t>
      </w:r>
      <w:r w:rsidR="00082190" w:rsidRPr="00082190">
        <w:rPr>
          <w:rFonts w:ascii="Times New Roman" w:eastAsia="Times New Roman" w:hAnsi="Times New Roman"/>
          <w:sz w:val="28"/>
          <w:szCs w:val="28"/>
          <w:lang w:val="uk-UA"/>
        </w:rPr>
        <w:t>є удосконалення правового регулювання у сфері поводження із пестицидами і агрохімікатами, враховуючи</w:t>
      </w:r>
      <w:r w:rsidR="00082190" w:rsidRPr="0008219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необхідність</w:t>
      </w:r>
      <w:r w:rsidR="00082190" w:rsidRPr="00082190">
        <w:rPr>
          <w:rFonts w:ascii="Times New Roman" w:eastAsia="Times New Roman" w:hAnsi="Times New Roman"/>
          <w:sz w:val="28"/>
          <w:szCs w:val="28"/>
          <w:lang w:val="uk-UA"/>
        </w:rPr>
        <w:t>:</w:t>
      </w:r>
    </w:p>
    <w:p w:rsidR="00082190" w:rsidRPr="00082190" w:rsidRDefault="00082190" w:rsidP="00082190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120" w:line="240" w:lineRule="auto"/>
        <w:ind w:left="-426" w:firstLine="426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82190">
        <w:rPr>
          <w:rFonts w:ascii="Times New Roman" w:eastAsia="Times New Roman" w:hAnsi="Times New Roman"/>
          <w:sz w:val="28"/>
          <w:szCs w:val="28"/>
          <w:lang w:val="uk-UA" w:eastAsia="uk-UA"/>
        </w:rPr>
        <w:t>мінімізації ризиків негативного впливу пестицидів і агрохімікатів на нецільові об’єкти, у тому числі бджіл</w:t>
      </w:r>
      <w:r w:rsidRPr="00082190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;</w:t>
      </w:r>
    </w:p>
    <w:p w:rsidR="00082190" w:rsidRPr="00380DEC" w:rsidRDefault="00082190" w:rsidP="00082190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120" w:line="240" w:lineRule="auto"/>
        <w:ind w:left="-426" w:firstLine="426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082190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підвищення рівня обізнаності фермерів щодо порядку безпечного застосування пестицидів і агрохімікатів;</w:t>
      </w:r>
    </w:p>
    <w:p w:rsidR="00D53492" w:rsidRPr="00380DEC" w:rsidRDefault="00082190" w:rsidP="00082190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120" w:line="240" w:lineRule="auto"/>
        <w:ind w:left="-426" w:firstLine="426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380DE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наближення законодавства України до законодавства ЄС, зокрема до положень Регламенту 1107/2009.</w:t>
      </w:r>
    </w:p>
    <w:p w:rsidR="00082190" w:rsidRPr="00380DEC" w:rsidRDefault="00082190" w:rsidP="00082190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53492" w:rsidRPr="00380DEC" w:rsidRDefault="00D53492" w:rsidP="00082190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80DEC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2.  </w:t>
      </w:r>
      <w:r w:rsidRPr="00380D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Належність законопроєкту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D53492" w:rsidRPr="00380DEC" w:rsidRDefault="00D53492" w:rsidP="00082190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Предмет правового регулювання законопроєкту охоплюється:</w:t>
      </w:r>
    </w:p>
    <w:p w:rsidR="00501B10" w:rsidRPr="00380DEC" w:rsidRDefault="00D53492" w:rsidP="00082190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01B10" w:rsidRPr="00380DE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Регламентом 1107/2009 Європейського Парламенту та Ради від 21 жовтня 2009 року щодо введення в обіг засобів захисту рослин і про скасування Директив Ради 79/117/ЕЕС та 91/414/ЕЕС.</w:t>
      </w:r>
    </w:p>
    <w:p w:rsidR="003761DE" w:rsidRPr="00380DEC" w:rsidRDefault="003761DE" w:rsidP="00082190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lastRenderedPageBreak/>
        <w:t>Директивою 2009/128/ЄС Європейського Парламенту та Ради від 21 жовтня 2009 року, яка встановлює рамки для дій Співтовариства з метою досягнення доцільного використання пестицидів.</w:t>
      </w:r>
    </w:p>
    <w:p w:rsidR="00653DE3" w:rsidRPr="00380DEC" w:rsidRDefault="00653DE3" w:rsidP="00082190">
      <w:pPr>
        <w:spacing w:after="120" w:line="240" w:lineRule="auto"/>
        <w:ind w:left="502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1D6464" w:rsidRPr="00380DEC" w:rsidRDefault="00D53492" w:rsidP="00082190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80DEC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3.  </w:t>
      </w: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Відповідність законопроєкту міжнародно-правовим зобов’язанням України в сфері європейської інтеграції та праву ЄС.</w:t>
      </w:r>
    </w:p>
    <w:p w:rsidR="001D6464" w:rsidRPr="0025675B" w:rsidRDefault="001D6464" w:rsidP="0025675B">
      <w:pPr>
        <w:pStyle w:val="ae"/>
        <w:numPr>
          <w:ilvl w:val="0"/>
          <w:numId w:val="4"/>
        </w:numPr>
        <w:spacing w:after="120" w:line="240" w:lineRule="auto"/>
        <w:ind w:left="-426" w:firstLine="360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 передбачає проведення «</w:t>
      </w:r>
      <w:r w:rsidRPr="0025675B">
        <w:rPr>
          <w:rFonts w:ascii="Times New Roman" w:hAnsi="Times New Roman"/>
          <w:sz w:val="28"/>
          <w:szCs w:val="28"/>
          <w:lang w:val="uk-UA" w:eastAsia="uk-UA"/>
        </w:rPr>
        <w:t>е</w:t>
      </w:r>
      <w:r w:rsidR="009E5F68" w:rsidRPr="0025675B">
        <w:rPr>
          <w:rFonts w:ascii="Times New Roman" w:hAnsi="Times New Roman"/>
          <w:sz w:val="28"/>
          <w:szCs w:val="28"/>
          <w:lang w:val="uk-UA" w:eastAsia="uk-UA"/>
        </w:rPr>
        <w:t>колого-експертної</w:t>
      </w:r>
      <w:r w:rsidRPr="0025675B">
        <w:rPr>
          <w:rFonts w:ascii="Times New Roman" w:hAnsi="Times New Roman"/>
          <w:sz w:val="28"/>
          <w:szCs w:val="28"/>
          <w:lang w:val="uk-UA" w:eastAsia="uk-UA"/>
        </w:rPr>
        <w:t xml:space="preserve"> оцінки матеріалів, поданих для державної реєстрації пестицидів і агрохімікатів, </w:t>
      </w:r>
      <w:r w:rsidR="009E5F68" w:rsidRPr="0025675B">
        <w:rPr>
          <w:rFonts w:ascii="Times New Roman" w:hAnsi="Times New Roman"/>
          <w:sz w:val="28"/>
          <w:szCs w:val="28"/>
          <w:lang w:val="uk-UA" w:eastAsia="uk-UA"/>
        </w:rPr>
        <w:t xml:space="preserve">яка </w:t>
      </w:r>
      <w:r w:rsidRPr="0025675B">
        <w:rPr>
          <w:rFonts w:ascii="Times New Roman" w:hAnsi="Times New Roman"/>
          <w:sz w:val="28"/>
          <w:szCs w:val="28"/>
          <w:lang w:val="uk-UA" w:eastAsia="uk-UA"/>
        </w:rPr>
        <w:t>включає оцінку їх екологічної небезпечності для нецільових об’єктів, у тому числі бджіл».</w:t>
      </w:r>
    </w:p>
    <w:p w:rsidR="001D6464" w:rsidRPr="00380DEC" w:rsidRDefault="001D6464" w:rsidP="0025675B">
      <w:pPr>
        <w:spacing w:after="120" w:line="240" w:lineRule="auto"/>
        <w:ind w:left="-426" w:firstLine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0DEC">
        <w:rPr>
          <w:rFonts w:ascii="Times New Roman" w:hAnsi="Times New Roman"/>
          <w:sz w:val="28"/>
          <w:szCs w:val="28"/>
          <w:lang w:val="uk-UA" w:eastAsia="uk-UA"/>
        </w:rPr>
        <w:t xml:space="preserve">Таке положення законопроєкту </w:t>
      </w:r>
      <w:r w:rsidRPr="009E5F68">
        <w:rPr>
          <w:rFonts w:ascii="Times New Roman" w:hAnsi="Times New Roman"/>
          <w:i/>
          <w:sz w:val="28"/>
          <w:szCs w:val="28"/>
          <w:lang w:val="uk-UA" w:eastAsia="uk-UA"/>
        </w:rPr>
        <w:t xml:space="preserve">не суперечить </w:t>
      </w:r>
      <w:r w:rsidR="009E5F68" w:rsidRPr="009E5F68">
        <w:rPr>
          <w:rFonts w:ascii="Times New Roman" w:hAnsi="Times New Roman"/>
          <w:i/>
          <w:sz w:val="28"/>
          <w:szCs w:val="28"/>
          <w:lang w:val="uk-UA" w:eastAsia="uk-UA"/>
        </w:rPr>
        <w:t xml:space="preserve">та узгоджується </w:t>
      </w:r>
      <w:r w:rsidRPr="009E5F68">
        <w:rPr>
          <w:rFonts w:ascii="Times New Roman" w:hAnsi="Times New Roman"/>
          <w:i/>
          <w:sz w:val="28"/>
          <w:szCs w:val="28"/>
          <w:lang w:val="uk-UA" w:eastAsia="uk-UA"/>
        </w:rPr>
        <w:t xml:space="preserve">з статтею 4 </w:t>
      </w:r>
      <w:r w:rsidRPr="009E5F6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Регламенту 1107/2009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, яка зазначає, що активна речовина засобу захисту рослин повинна бути затверджена відповідним органом влади на основі відповідних наукови</w:t>
      </w:r>
      <w:r w:rsidR="009E5F68">
        <w:rPr>
          <w:rFonts w:ascii="Times New Roman" w:eastAsia="Times New Roman" w:hAnsi="Times New Roman"/>
          <w:sz w:val="28"/>
          <w:szCs w:val="28"/>
          <w:lang w:val="uk-UA" w:eastAsia="ru-RU"/>
        </w:rPr>
        <w:t>х та технологічних досліджень. На додаток, ця стаття зазначає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 w:rsidR="009E5F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така 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речовина не повинна </w:t>
      </w:r>
      <w:r w:rsidR="00380DEC"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впливати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негативно на </w:t>
      </w:r>
      <w:r w:rsidR="009E5F68">
        <w:rPr>
          <w:rFonts w:ascii="Times New Roman" w:eastAsia="Times New Roman" w:hAnsi="Times New Roman"/>
          <w:sz w:val="28"/>
          <w:szCs w:val="28"/>
          <w:lang w:val="uk-UA" w:eastAsia="ru-RU"/>
        </w:rPr>
        <w:t>здоров’я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людей та тварин, а також </w:t>
      </w:r>
      <w:r w:rsidR="009E5F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повинна 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мати прийнятний ефект впливу на екологічне середовище.</w:t>
      </w:r>
    </w:p>
    <w:p w:rsidR="00501B10" w:rsidRPr="0025675B" w:rsidRDefault="00501B10" w:rsidP="0025675B">
      <w:pPr>
        <w:pStyle w:val="ae"/>
        <w:numPr>
          <w:ilvl w:val="0"/>
          <w:numId w:val="4"/>
        </w:numPr>
        <w:spacing w:after="120" w:line="240" w:lineRule="auto"/>
        <w:ind w:left="-426" w:firstLine="36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Законопроєкт </w:t>
      </w:r>
      <w:r w:rsidR="009E5F68"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</w:t>
      </w: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передбачає, що </w:t>
      </w:r>
      <w:r w:rsidR="00586108"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586108" w:rsidRPr="0025675B">
        <w:rPr>
          <w:rFonts w:ascii="Times New Roman" w:eastAsia="Times New Roman" w:hAnsi="Times New Roman"/>
          <w:sz w:val="28"/>
          <w:szCs w:val="28"/>
          <w:lang w:val="uk-UA" w:eastAsia="uk-UA"/>
        </w:rPr>
        <w:t>к</w:t>
      </w:r>
      <w:r w:rsidRPr="0025675B">
        <w:rPr>
          <w:rFonts w:ascii="Times New Roman" w:eastAsia="Times New Roman" w:hAnsi="Times New Roman"/>
          <w:sz w:val="28"/>
          <w:szCs w:val="28"/>
          <w:lang w:val="uk-UA" w:eastAsia="uk-UA"/>
        </w:rPr>
        <w:t>ожна товарна одиниця пестициду і агрохімікату, крім тих, що використовуються для державних випробувань та/або наукових досліджень, повинна супроводжуватися етикеткою, вимоги до змісту якої затверджуються центральним органом виконавчої влади, що забезпечує формування державної політики у сфері охорони навколишнього природного середовища</w:t>
      </w:r>
      <w:r w:rsidR="00586108" w:rsidRPr="0025675B">
        <w:rPr>
          <w:rFonts w:ascii="Times New Roman" w:eastAsia="Times New Roman" w:hAnsi="Times New Roman"/>
          <w:sz w:val="28"/>
          <w:szCs w:val="28"/>
          <w:lang w:val="uk-UA" w:eastAsia="uk-UA"/>
        </w:rPr>
        <w:t>»</w:t>
      </w:r>
      <w:r w:rsidRPr="0025675B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586108" w:rsidRPr="00380DEC" w:rsidRDefault="00586108" w:rsidP="0025675B">
      <w:pPr>
        <w:spacing w:after="120" w:line="240" w:lineRule="auto"/>
        <w:ind w:left="-426" w:firstLine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Такі положення законопроєкту </w:t>
      </w:r>
      <w:r w:rsidR="0025675B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не суперечать</w:t>
      </w:r>
      <w:r w:rsidRPr="009E5F68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 xml:space="preserve"> статті 55 </w:t>
      </w:r>
      <w:r w:rsidRPr="009E5F6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Регламенту 1107/2009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, яка зазначає, що «правильне використання засобів захисту рослин включає застосування принципів належної практики захисту рослин та дотримання умов, встановлених відповідно до статті 31 та</w:t>
      </w:r>
      <w:r w:rsidR="009E5F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тих умов, які зазначені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етикетці».</w:t>
      </w:r>
    </w:p>
    <w:p w:rsidR="009E5F68" w:rsidRPr="0025675B" w:rsidRDefault="00E9438E" w:rsidP="0025675B">
      <w:pPr>
        <w:pStyle w:val="ae"/>
        <w:numPr>
          <w:ilvl w:val="0"/>
          <w:numId w:val="4"/>
        </w:numPr>
        <w:spacing w:after="120" w:line="240" w:lineRule="auto"/>
        <w:ind w:left="-426" w:firstLine="360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Законопроєкт </w:t>
      </w:r>
      <w:r w:rsidR="00285E5E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встановлює</w:t>
      </w: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вимоги щодо інформації, яка повинна бути зазначена на етикетці. Так законопроєкт передбачає, що «н</w:t>
      </w:r>
      <w:r w:rsidRPr="0025675B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а етикетці кожної товарної одиниці пестициду та агрохімікату обов’язково зазначаються </w:t>
      </w:r>
      <w:r w:rsidRPr="0025675B">
        <w:rPr>
          <w:rFonts w:ascii="Times New Roman" w:hAnsi="Times New Roman"/>
          <w:sz w:val="28"/>
          <w:szCs w:val="28"/>
          <w:lang w:val="uk-UA" w:eastAsia="uk-UA"/>
        </w:rPr>
        <w:t>заборони та обмеження щодо їх застосування, встановлені, у тому числі, за результатами проведення оцінки екологічної небезпечності для нецільових об’єктів, у тому числі бджіл».</w:t>
      </w:r>
    </w:p>
    <w:p w:rsidR="00E9438E" w:rsidRPr="00380DEC" w:rsidRDefault="00E9438E" w:rsidP="0025675B">
      <w:pPr>
        <w:spacing w:after="120" w:line="240" w:lineRule="auto"/>
        <w:ind w:left="-426" w:firstLine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0DEC">
        <w:rPr>
          <w:rFonts w:ascii="Times New Roman" w:hAnsi="Times New Roman"/>
          <w:sz w:val="28"/>
          <w:szCs w:val="28"/>
          <w:lang w:val="uk-UA" w:eastAsia="uk-UA"/>
        </w:rPr>
        <w:t xml:space="preserve">Це положення законопроєкту </w:t>
      </w:r>
      <w:r w:rsidR="009E5F68" w:rsidRPr="009E5F68">
        <w:rPr>
          <w:rFonts w:ascii="Times New Roman" w:hAnsi="Times New Roman"/>
          <w:i/>
          <w:sz w:val="28"/>
          <w:szCs w:val="28"/>
          <w:lang w:val="uk-UA" w:eastAsia="uk-UA"/>
        </w:rPr>
        <w:t xml:space="preserve">не суперечить та узгоджується з </w:t>
      </w:r>
      <w:r w:rsidRPr="009E5F68">
        <w:rPr>
          <w:rFonts w:ascii="Times New Roman" w:hAnsi="Times New Roman"/>
          <w:i/>
          <w:sz w:val="28"/>
          <w:szCs w:val="28"/>
          <w:lang w:val="uk-UA" w:eastAsia="uk-UA"/>
        </w:rPr>
        <w:t xml:space="preserve">п.4 статті 31 </w:t>
      </w:r>
      <w:r w:rsidRPr="009E5F6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Регламенту 1107/2009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який </w:t>
      </w:r>
      <w:r w:rsidR="00422F03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 w:rsidRPr="00380DEC">
        <w:rPr>
          <w:rFonts w:ascii="Times New Roman" w:eastAsia="Times New Roman" w:hAnsi="Times New Roman"/>
          <w:sz w:val="28"/>
          <w:szCs w:val="28"/>
          <w:lang w:val="uk-UA" w:eastAsia="uk-UA"/>
        </w:rPr>
        <w:t>«</w:t>
      </w:r>
      <w:r w:rsidR="0029788E"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бути зазначено на етикетці 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обмеження щодо розповсюдження та використання засобу захисту рослин з метою захисту здоров'я розповсюджувачів, користувачів, сторонніх осіб, мешканців, зацікавлених споживачів чи працівників або навколишнього середовища, з урахуванням вимог, встановлених іншими п</w:t>
      </w:r>
      <w:r w:rsidR="0029788E">
        <w:rPr>
          <w:rFonts w:ascii="Times New Roman" w:eastAsia="Times New Roman" w:hAnsi="Times New Roman"/>
          <w:sz w:val="28"/>
          <w:szCs w:val="28"/>
          <w:lang w:val="uk-UA" w:eastAsia="ru-RU"/>
        </w:rPr>
        <w:t>оложеннями Співтовариства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».</w:t>
      </w:r>
    </w:p>
    <w:p w:rsidR="00943E02" w:rsidRPr="0025675B" w:rsidRDefault="005E19FC" w:rsidP="0025675B">
      <w:pPr>
        <w:pStyle w:val="ae"/>
        <w:numPr>
          <w:ilvl w:val="0"/>
          <w:numId w:val="4"/>
        </w:numPr>
        <w:spacing w:after="120" w:line="240" w:lineRule="auto"/>
        <w:ind w:left="-426" w:firstLine="36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додаток, законопроєкт </w:t>
      </w:r>
      <w:r w:rsidR="00285E5E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встановлює</w:t>
      </w: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9788E"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>зобов’язання зазначати</w:t>
      </w: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</w:t>
      </w:r>
      <w:r w:rsidR="00082190"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етикетці пестициду та агрохімік</w:t>
      </w:r>
      <w:r w:rsidRPr="0025675B">
        <w:rPr>
          <w:rFonts w:ascii="Times New Roman" w:eastAsia="Times New Roman" w:hAnsi="Times New Roman"/>
          <w:sz w:val="28"/>
          <w:szCs w:val="28"/>
          <w:lang w:val="uk-UA" w:eastAsia="ru-RU"/>
        </w:rPr>
        <w:t>ату «</w:t>
      </w:r>
      <w:r w:rsidRPr="0025675B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порядок їх застосування із зазначенням культур і об'єктів, для оброблення яких їх призначено, способів, норм і кратності використання, термінів очікування до збору врожаю та виходу на оброблені ділянки (для пестицидів)». </w:t>
      </w:r>
    </w:p>
    <w:p w:rsidR="005E19FC" w:rsidRPr="00943E02" w:rsidRDefault="005E19FC" w:rsidP="0025675B">
      <w:pPr>
        <w:spacing w:after="120" w:line="240" w:lineRule="auto"/>
        <w:ind w:left="-426" w:firstLine="36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943E02">
        <w:rPr>
          <w:rFonts w:ascii="Times New Roman" w:hAnsi="Times New Roman"/>
          <w:sz w:val="28"/>
          <w:szCs w:val="28"/>
          <w:lang w:val="uk-UA"/>
        </w:rPr>
        <w:lastRenderedPageBreak/>
        <w:t xml:space="preserve">Таке положення законопроєкту </w:t>
      </w:r>
      <w:r w:rsidRPr="00347D89">
        <w:rPr>
          <w:rFonts w:ascii="Times New Roman" w:hAnsi="Times New Roman"/>
          <w:i/>
          <w:sz w:val="28"/>
          <w:szCs w:val="28"/>
          <w:lang w:val="uk-UA"/>
        </w:rPr>
        <w:t>не суперечить та узгоджується з положенням п.3 статті 31 Регламенту 1107/2009</w:t>
      </w:r>
      <w:r w:rsidR="0029788E" w:rsidRPr="00943E02">
        <w:rPr>
          <w:rFonts w:ascii="Times New Roman" w:hAnsi="Times New Roman"/>
          <w:sz w:val="28"/>
          <w:szCs w:val="28"/>
          <w:lang w:val="uk-UA"/>
        </w:rPr>
        <w:t>, яке</w:t>
      </w:r>
      <w:r w:rsidRPr="00943E0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1657">
        <w:rPr>
          <w:rFonts w:ascii="Times New Roman" w:hAnsi="Times New Roman"/>
          <w:sz w:val="28"/>
          <w:szCs w:val="28"/>
          <w:lang w:val="uk-UA"/>
        </w:rPr>
        <w:t>встановлює</w:t>
      </w:r>
      <w:r w:rsidRPr="00943E0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2190" w:rsidRPr="00943E02">
        <w:rPr>
          <w:rFonts w:ascii="Times New Roman" w:hAnsi="Times New Roman"/>
          <w:sz w:val="28"/>
          <w:szCs w:val="28"/>
          <w:lang w:val="uk-UA"/>
        </w:rPr>
        <w:t>зобов’язання</w:t>
      </w:r>
      <w:r w:rsidRPr="00943E0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788E" w:rsidRPr="00943E02">
        <w:rPr>
          <w:rFonts w:ascii="Times New Roman" w:hAnsi="Times New Roman"/>
          <w:sz w:val="28"/>
          <w:szCs w:val="28"/>
          <w:lang w:val="uk-UA"/>
        </w:rPr>
        <w:t xml:space="preserve">зазначати на етикетці </w:t>
      </w:r>
      <w:r w:rsidRPr="00943E02">
        <w:rPr>
          <w:rFonts w:ascii="Times New Roman" w:hAnsi="Times New Roman"/>
          <w:sz w:val="28"/>
          <w:szCs w:val="28"/>
          <w:lang w:val="uk-UA"/>
        </w:rPr>
        <w:t>наступне:</w:t>
      </w:r>
    </w:p>
    <w:p w:rsidR="005E19FC" w:rsidRPr="00943E02" w:rsidRDefault="00380DEC" w:rsidP="00943E02">
      <w:pPr>
        <w:spacing w:after="120" w:line="240" w:lineRule="auto"/>
        <w:rPr>
          <w:rFonts w:ascii="Times New Roman" w:hAnsi="Times New Roman"/>
          <w:sz w:val="28"/>
          <w:szCs w:val="28"/>
          <w:lang w:val="uk-UA"/>
        </w:rPr>
      </w:pPr>
      <w:r w:rsidRPr="00943E02">
        <w:rPr>
          <w:rFonts w:ascii="Times New Roman" w:hAnsi="Times New Roman"/>
          <w:sz w:val="28"/>
          <w:szCs w:val="28"/>
          <w:lang w:val="uk-UA"/>
        </w:rPr>
        <w:t>«</w:t>
      </w:r>
      <w:r w:rsidR="005E19FC" w:rsidRPr="00943E02">
        <w:rPr>
          <w:rFonts w:ascii="Times New Roman" w:hAnsi="Times New Roman"/>
          <w:sz w:val="28"/>
          <w:szCs w:val="28"/>
          <w:lang w:val="uk-UA"/>
        </w:rPr>
        <w:t>(a) максимальна доза на гектар у кожному застосуванні;</w:t>
      </w:r>
    </w:p>
    <w:p w:rsidR="005E19FC" w:rsidRPr="00943E02" w:rsidRDefault="005E19FC" w:rsidP="00943E02">
      <w:pPr>
        <w:spacing w:after="120" w:line="240" w:lineRule="auto"/>
        <w:rPr>
          <w:rFonts w:ascii="Times New Roman" w:hAnsi="Times New Roman"/>
          <w:sz w:val="28"/>
          <w:szCs w:val="28"/>
          <w:lang w:val="uk-UA"/>
        </w:rPr>
      </w:pPr>
      <w:r w:rsidRPr="00943E02">
        <w:rPr>
          <w:rFonts w:ascii="Times New Roman" w:hAnsi="Times New Roman"/>
          <w:sz w:val="28"/>
          <w:szCs w:val="28"/>
          <w:lang w:val="uk-UA"/>
        </w:rPr>
        <w:t>(б) період між останнім застосуванням і збором врожаю;</w:t>
      </w:r>
    </w:p>
    <w:p w:rsidR="00D53492" w:rsidRPr="00166FFA" w:rsidRDefault="005E19FC" w:rsidP="00943E02">
      <w:pPr>
        <w:spacing w:after="120" w:line="240" w:lineRule="auto"/>
        <w:rPr>
          <w:rFonts w:ascii="Times New Roman" w:hAnsi="Times New Roman"/>
          <w:sz w:val="28"/>
          <w:szCs w:val="28"/>
          <w:lang w:val="uk-UA"/>
        </w:rPr>
      </w:pPr>
      <w:r w:rsidRPr="00943E02">
        <w:rPr>
          <w:rFonts w:ascii="Times New Roman" w:hAnsi="Times New Roman"/>
          <w:sz w:val="28"/>
          <w:szCs w:val="28"/>
          <w:lang w:val="uk-UA"/>
        </w:rPr>
        <w:t>(в) максимальна кількість застосувань на рік</w:t>
      </w:r>
      <w:r w:rsidR="00380DEC" w:rsidRPr="00943E02">
        <w:rPr>
          <w:rFonts w:ascii="Times New Roman" w:hAnsi="Times New Roman"/>
          <w:sz w:val="28"/>
          <w:szCs w:val="28"/>
          <w:lang w:val="uk-UA"/>
        </w:rPr>
        <w:t>»</w:t>
      </w:r>
      <w:r w:rsidRPr="00943E02">
        <w:rPr>
          <w:rFonts w:ascii="Times New Roman" w:hAnsi="Times New Roman"/>
          <w:sz w:val="28"/>
          <w:szCs w:val="28"/>
          <w:lang w:val="uk-UA"/>
        </w:rPr>
        <w:t>.</w:t>
      </w:r>
    </w:p>
    <w:p w:rsidR="00943E02" w:rsidRPr="00380DEC" w:rsidRDefault="00943E02" w:rsidP="00082190">
      <w:pPr>
        <w:tabs>
          <w:tab w:val="left" w:pos="851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3492" w:rsidRPr="00380DEC" w:rsidRDefault="00D53492" w:rsidP="00082190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bookmark2"/>
      <w:r w:rsidRPr="00380DEC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4.</w:t>
      </w:r>
      <w:r w:rsidRPr="00380DEC">
        <w:rPr>
          <w:rFonts w:ascii="Times New Roman" w:eastAsia="Verdana" w:hAnsi="Times New Roman"/>
          <w:bCs/>
          <w:sz w:val="28"/>
          <w:szCs w:val="28"/>
          <w:lang w:val="uk-UA" w:eastAsia="ru-RU"/>
        </w:rPr>
        <w:t>   </w:t>
      </w: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Висновок Комітету з питань інтеграції України до Європейського Союзу. </w:t>
      </w:r>
    </w:p>
    <w:bookmarkEnd w:id="0"/>
    <w:p w:rsidR="00380DEC" w:rsidRPr="00380DEC" w:rsidRDefault="00D53492" w:rsidP="00380DEC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Проєкт Закону </w:t>
      </w:r>
      <w:r w:rsidRPr="00380D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 суперечить</w:t>
      </w:r>
      <w:r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0DEC" w:rsidRPr="00380DEC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міжнародно-правовим зобов’язанням України у сфері європейської інтеграції.</w:t>
      </w:r>
    </w:p>
    <w:p w:rsidR="00380DEC" w:rsidRPr="00380DEC" w:rsidRDefault="00380DEC" w:rsidP="00082190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380DEC" w:rsidRDefault="00F517EC" w:rsidP="00F272B4">
      <w:pPr>
        <w:spacing w:after="0" w:line="240" w:lineRule="auto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360FF8" w:rsidRPr="00380DEC" w:rsidRDefault="00360FF8" w:rsidP="002F7B7A">
      <w:pPr>
        <w:spacing w:after="0" w:line="240" w:lineRule="auto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1" w:name="_GoBack"/>
      <w:bookmarkEnd w:id="1"/>
    </w:p>
    <w:sectPr w:rsidR="00360FF8" w:rsidRPr="00380DEC" w:rsidSect="00CC2FA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1B1" w:rsidRDefault="00BC11B1" w:rsidP="005E306B">
      <w:pPr>
        <w:spacing w:after="0" w:line="240" w:lineRule="auto"/>
      </w:pPr>
      <w:r>
        <w:separator/>
      </w:r>
    </w:p>
  </w:endnote>
  <w:endnote w:type="continuationSeparator" w:id="0">
    <w:p w:rsidR="00BC11B1" w:rsidRDefault="00BC11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1558878"/>
      <w:docPartObj>
        <w:docPartGallery w:val="Page Numbers (Bottom of Page)"/>
        <w:docPartUnique/>
      </w:docPartObj>
    </w:sdtPr>
    <w:sdtEndPr/>
    <w:sdtContent>
      <w:p w:rsidR="006F3878" w:rsidRDefault="006F387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B7A" w:rsidRPr="002F7B7A">
          <w:rPr>
            <w:noProof/>
            <w:lang w:val="uk-UA"/>
          </w:rPr>
          <w:t>2</w:t>
        </w:r>
        <w:r>
          <w:fldChar w:fldCharType="end"/>
        </w:r>
      </w:p>
    </w:sdtContent>
  </w:sdt>
  <w:p w:rsidR="006F3878" w:rsidRDefault="006F38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C11B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1B1" w:rsidRDefault="00BC11B1" w:rsidP="005E306B">
      <w:pPr>
        <w:spacing w:after="0" w:line="240" w:lineRule="auto"/>
      </w:pPr>
      <w:r>
        <w:separator/>
      </w:r>
    </w:p>
  </w:footnote>
  <w:footnote w:type="continuationSeparator" w:id="0">
    <w:p w:rsidR="00BC11B1" w:rsidRDefault="00BC11B1" w:rsidP="005E306B">
      <w:pPr>
        <w:spacing w:after="0" w:line="240" w:lineRule="auto"/>
      </w:pPr>
      <w:r>
        <w:continuationSeparator/>
      </w:r>
    </w:p>
  </w:footnote>
  <w:footnote w:id="1">
    <w:p w:rsidR="00F517EC" w:rsidRPr="000D2D10" w:rsidRDefault="00F517EC" w:rsidP="00F517EC">
      <w:pPr>
        <w:pStyle w:val="ac"/>
        <w:ind w:left="-426"/>
        <w:jc w:val="both"/>
      </w:pPr>
      <w:r>
        <w:rPr>
          <w:rStyle w:val="ab"/>
        </w:rPr>
        <w:footnoteRef/>
      </w:r>
      <w:r>
        <w:t xml:space="preserve"> </w:t>
      </w:r>
      <w:r w:rsidRPr="009969AA">
        <w:rPr>
          <w:sz w:val="24"/>
          <w:szCs w:val="24"/>
          <w:lang w:eastAsia="uk-UA"/>
        </w:rPr>
        <w:t>Комітет розглянув проє</w:t>
      </w:r>
      <w:r w:rsidR="00F47FE1">
        <w:rPr>
          <w:sz w:val="24"/>
          <w:szCs w:val="24"/>
          <w:lang w:eastAsia="uk-UA"/>
        </w:rPr>
        <w:t>кт Закону на своєму засіданні 2</w:t>
      </w:r>
      <w:r w:rsidR="00501B10">
        <w:rPr>
          <w:sz w:val="24"/>
          <w:szCs w:val="24"/>
          <w:lang w:eastAsia="uk-UA"/>
        </w:rPr>
        <w:t xml:space="preserve"> лютого 2022 року (протокол № 96</w:t>
      </w:r>
      <w:r w:rsidRPr="009969AA">
        <w:rPr>
          <w:sz w:val="24"/>
          <w:szCs w:val="24"/>
          <w:lang w:eastAsia="uk-UA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21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49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536"/>
    <w:multiLevelType w:val="hybridMultilevel"/>
    <w:tmpl w:val="A5342F66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8D55E0F"/>
    <w:multiLevelType w:val="hybridMultilevel"/>
    <w:tmpl w:val="EC087704"/>
    <w:lvl w:ilvl="0" w:tplc="0422000F">
      <w:start w:val="1"/>
      <w:numFmt w:val="decimal"/>
      <w:lvlText w:val="%1."/>
      <w:lvlJc w:val="left"/>
      <w:pPr>
        <w:ind w:left="294" w:hanging="360"/>
      </w:p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82190"/>
    <w:rsid w:val="000F1586"/>
    <w:rsid w:val="000F175D"/>
    <w:rsid w:val="001005C8"/>
    <w:rsid w:val="00110664"/>
    <w:rsid w:val="00141617"/>
    <w:rsid w:val="00166FFA"/>
    <w:rsid w:val="00187AF7"/>
    <w:rsid w:val="001903A2"/>
    <w:rsid w:val="0019108F"/>
    <w:rsid w:val="0019322A"/>
    <w:rsid w:val="001966F0"/>
    <w:rsid w:val="001D3C24"/>
    <w:rsid w:val="001D6464"/>
    <w:rsid w:val="001E238F"/>
    <w:rsid w:val="001E2C27"/>
    <w:rsid w:val="001F6A06"/>
    <w:rsid w:val="0021032F"/>
    <w:rsid w:val="002247E9"/>
    <w:rsid w:val="00235CD7"/>
    <w:rsid w:val="00236343"/>
    <w:rsid w:val="0025675B"/>
    <w:rsid w:val="00267C5F"/>
    <w:rsid w:val="00285E5E"/>
    <w:rsid w:val="0029788E"/>
    <w:rsid w:val="002A5D4C"/>
    <w:rsid w:val="002B5FC1"/>
    <w:rsid w:val="002C276F"/>
    <w:rsid w:val="002D0561"/>
    <w:rsid w:val="002E0A18"/>
    <w:rsid w:val="002E31BF"/>
    <w:rsid w:val="002E44DA"/>
    <w:rsid w:val="002F7B7A"/>
    <w:rsid w:val="00317BB0"/>
    <w:rsid w:val="00342CDE"/>
    <w:rsid w:val="00347D89"/>
    <w:rsid w:val="00360FF8"/>
    <w:rsid w:val="00363436"/>
    <w:rsid w:val="003761DE"/>
    <w:rsid w:val="00380DEC"/>
    <w:rsid w:val="003D0996"/>
    <w:rsid w:val="003D14B2"/>
    <w:rsid w:val="003D1CBA"/>
    <w:rsid w:val="003E44B4"/>
    <w:rsid w:val="00412CB7"/>
    <w:rsid w:val="00422F03"/>
    <w:rsid w:val="00424B1C"/>
    <w:rsid w:val="0043132E"/>
    <w:rsid w:val="00437A69"/>
    <w:rsid w:val="00451750"/>
    <w:rsid w:val="004852FA"/>
    <w:rsid w:val="004C53C1"/>
    <w:rsid w:val="004E4F5C"/>
    <w:rsid w:val="004F6A56"/>
    <w:rsid w:val="004F7B8A"/>
    <w:rsid w:val="00501B10"/>
    <w:rsid w:val="0050620F"/>
    <w:rsid w:val="0051601C"/>
    <w:rsid w:val="00545919"/>
    <w:rsid w:val="0055005A"/>
    <w:rsid w:val="0056039F"/>
    <w:rsid w:val="0056352F"/>
    <w:rsid w:val="00586108"/>
    <w:rsid w:val="005A4728"/>
    <w:rsid w:val="005B71F5"/>
    <w:rsid w:val="005C1C39"/>
    <w:rsid w:val="005C674D"/>
    <w:rsid w:val="005E19FC"/>
    <w:rsid w:val="005E306B"/>
    <w:rsid w:val="005E4898"/>
    <w:rsid w:val="005F20B5"/>
    <w:rsid w:val="00625841"/>
    <w:rsid w:val="00626A3E"/>
    <w:rsid w:val="006307D8"/>
    <w:rsid w:val="00653DE3"/>
    <w:rsid w:val="00660B13"/>
    <w:rsid w:val="006629F8"/>
    <w:rsid w:val="0066623D"/>
    <w:rsid w:val="00687E94"/>
    <w:rsid w:val="006C744E"/>
    <w:rsid w:val="006C7F77"/>
    <w:rsid w:val="006F10E8"/>
    <w:rsid w:val="006F3806"/>
    <w:rsid w:val="006F3878"/>
    <w:rsid w:val="00713E93"/>
    <w:rsid w:val="007204E1"/>
    <w:rsid w:val="00720A49"/>
    <w:rsid w:val="0073224C"/>
    <w:rsid w:val="0075720E"/>
    <w:rsid w:val="007A0252"/>
    <w:rsid w:val="007F5D91"/>
    <w:rsid w:val="008015D5"/>
    <w:rsid w:val="0080545D"/>
    <w:rsid w:val="0084269F"/>
    <w:rsid w:val="00873E59"/>
    <w:rsid w:val="00881657"/>
    <w:rsid w:val="00897B1B"/>
    <w:rsid w:val="008B7F7F"/>
    <w:rsid w:val="008C4918"/>
    <w:rsid w:val="00917F24"/>
    <w:rsid w:val="00942E39"/>
    <w:rsid w:val="00943E02"/>
    <w:rsid w:val="00945B68"/>
    <w:rsid w:val="00957D31"/>
    <w:rsid w:val="00972883"/>
    <w:rsid w:val="009865D4"/>
    <w:rsid w:val="009A720A"/>
    <w:rsid w:val="009A75E9"/>
    <w:rsid w:val="009E5F68"/>
    <w:rsid w:val="00A00059"/>
    <w:rsid w:val="00A5290D"/>
    <w:rsid w:val="00A60747"/>
    <w:rsid w:val="00A610A8"/>
    <w:rsid w:val="00A7635E"/>
    <w:rsid w:val="00A76A60"/>
    <w:rsid w:val="00A7782C"/>
    <w:rsid w:val="00A833C8"/>
    <w:rsid w:val="00AC4ABF"/>
    <w:rsid w:val="00AD7F82"/>
    <w:rsid w:val="00B311E8"/>
    <w:rsid w:val="00B55DE0"/>
    <w:rsid w:val="00B6717E"/>
    <w:rsid w:val="00B67B1A"/>
    <w:rsid w:val="00B809F6"/>
    <w:rsid w:val="00B829B7"/>
    <w:rsid w:val="00BB1827"/>
    <w:rsid w:val="00BC11B1"/>
    <w:rsid w:val="00BD0801"/>
    <w:rsid w:val="00BF1E95"/>
    <w:rsid w:val="00C11FB6"/>
    <w:rsid w:val="00C25388"/>
    <w:rsid w:val="00C27AE9"/>
    <w:rsid w:val="00C44D75"/>
    <w:rsid w:val="00C86266"/>
    <w:rsid w:val="00CA7044"/>
    <w:rsid w:val="00CB69B6"/>
    <w:rsid w:val="00CC2FA6"/>
    <w:rsid w:val="00CC39A1"/>
    <w:rsid w:val="00CD4A38"/>
    <w:rsid w:val="00CE3E1B"/>
    <w:rsid w:val="00CE6A4B"/>
    <w:rsid w:val="00CF6ACA"/>
    <w:rsid w:val="00D00713"/>
    <w:rsid w:val="00D10F4B"/>
    <w:rsid w:val="00D2186F"/>
    <w:rsid w:val="00D22048"/>
    <w:rsid w:val="00D242C2"/>
    <w:rsid w:val="00D37FA2"/>
    <w:rsid w:val="00D46BD6"/>
    <w:rsid w:val="00D52549"/>
    <w:rsid w:val="00D53492"/>
    <w:rsid w:val="00D56455"/>
    <w:rsid w:val="00D57E1B"/>
    <w:rsid w:val="00D604FD"/>
    <w:rsid w:val="00D83918"/>
    <w:rsid w:val="00D91A4F"/>
    <w:rsid w:val="00DF0115"/>
    <w:rsid w:val="00E3142C"/>
    <w:rsid w:val="00E73887"/>
    <w:rsid w:val="00E85C22"/>
    <w:rsid w:val="00E870BB"/>
    <w:rsid w:val="00E9438E"/>
    <w:rsid w:val="00F272B4"/>
    <w:rsid w:val="00F33CBD"/>
    <w:rsid w:val="00F34192"/>
    <w:rsid w:val="00F47FE1"/>
    <w:rsid w:val="00F517EC"/>
    <w:rsid w:val="00F55423"/>
    <w:rsid w:val="00F61157"/>
    <w:rsid w:val="00F85D51"/>
    <w:rsid w:val="00F91DD3"/>
    <w:rsid w:val="00F97400"/>
    <w:rsid w:val="00FA53E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88309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  <w:style w:type="table" w:customStyle="1" w:styleId="1">
    <w:name w:val="Сетка таблицы1"/>
    <w:basedOn w:val="a1"/>
    <w:uiPriority w:val="39"/>
    <w:rsid w:val="006C744E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a0"/>
    <w:rsid w:val="005E19FC"/>
  </w:style>
  <w:style w:type="paragraph" w:styleId="ae">
    <w:name w:val="List Paragraph"/>
    <w:basedOn w:val="a"/>
    <w:uiPriority w:val="34"/>
    <w:qFormat/>
    <w:rsid w:val="00256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3A8996-5B6F-4E62-9D18-52FF0276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2859</Words>
  <Characters>1631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64</cp:revision>
  <cp:lastPrinted>2022-01-28T09:37:00Z</cp:lastPrinted>
  <dcterms:created xsi:type="dcterms:W3CDTF">2022-01-13T13:11:00Z</dcterms:created>
  <dcterms:modified xsi:type="dcterms:W3CDTF">2022-02-02T12:50:00Z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