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ED5" w:rsidRDefault="00A038D0">
      <w:pPr>
        <w:pStyle w:val="a5"/>
      </w:pPr>
      <w:bookmarkStart w:id="0" w:name="_GoBack"/>
      <w:bookmarkEnd w:id="0"/>
      <w:r>
        <w:t>ПОЯСНЮВАЛЬНА ЗАПИСКА</w:t>
      </w:r>
    </w:p>
    <w:p w:rsidR="00563ED5" w:rsidRDefault="00563ED5">
      <w:pPr>
        <w:widowControl w:val="0"/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8"/>
          <w:lang w:val="uk-UA"/>
        </w:rPr>
      </w:pPr>
      <w:r>
        <w:rPr>
          <w:rFonts w:ascii="Times New Roman" w:hAnsi="Times New Roman"/>
          <w:b/>
          <w:color w:val="000000"/>
          <w:sz w:val="28"/>
          <w:lang w:val="uk-UA"/>
        </w:rPr>
        <w:t>до проекту Закону України «</w:t>
      </w:r>
      <w:r w:rsidR="005B34B6" w:rsidRPr="005B34B6">
        <w:rPr>
          <w:rFonts w:ascii="Times New Roman" w:hAnsi="Times New Roman"/>
          <w:b/>
          <w:color w:val="000000"/>
          <w:sz w:val="28"/>
          <w:lang w:val="uk-UA"/>
        </w:rPr>
        <w:t>Про внесення змін до деяких законодавчих актів України (щодо одночасного переходу прав на земельну ділянку у зв`язку з переходом прав на об'єкт нерухомого майна, який на ній розташовано)</w:t>
      </w:r>
      <w:r>
        <w:rPr>
          <w:rFonts w:ascii="Times New Roman" w:hAnsi="Times New Roman"/>
          <w:b/>
          <w:color w:val="000000"/>
          <w:sz w:val="28"/>
          <w:lang w:val="uk-UA"/>
        </w:rPr>
        <w:t>»</w:t>
      </w:r>
    </w:p>
    <w:p w:rsidR="00563ED5" w:rsidRDefault="00563ED5">
      <w:pPr>
        <w:widowControl w:val="0"/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8"/>
          <w:lang w:val="uk-UA"/>
        </w:rPr>
      </w:pPr>
    </w:p>
    <w:p w:rsidR="00563ED5" w:rsidRDefault="00563ED5" w:rsidP="00A038D0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uppressAutoHyphens/>
        <w:spacing w:after="120" w:line="240" w:lineRule="auto"/>
        <w:ind w:left="0" w:firstLine="709"/>
        <w:jc w:val="both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>Обґрунтування необхідності ухвалення акта</w:t>
      </w:r>
    </w:p>
    <w:p w:rsidR="00563ED5" w:rsidRDefault="00563ED5" w:rsidP="00A038D0">
      <w:pPr>
        <w:tabs>
          <w:tab w:val="num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>Проект Закону розроблено з метою</w:t>
      </w:r>
      <w:r>
        <w:rPr>
          <w:rFonts w:ascii="Times New Roman" w:hAnsi="Times New Roman"/>
          <w:sz w:val="28"/>
          <w:lang w:val="uk-UA"/>
        </w:rPr>
        <w:t xml:space="preserve"> усунення прогалин та удосконалення окремих норм земельного, цивільного законодавства та законодавства про державну реєстрацію речових прав на нерухоме майно, які регулюють перехід прав </w:t>
      </w:r>
      <w:r>
        <w:rPr>
          <w:rFonts w:ascii="Times New Roman" w:hAnsi="Times New Roman"/>
          <w:color w:val="000000"/>
          <w:sz w:val="28"/>
          <w:lang w:val="uk-UA"/>
        </w:rPr>
        <w:t>на земельну ділянку у зв`язку з переходом прав на об'єкт нерухомого майна, який на ній розташовано, а також зворотній порядок одночасного переходу прав на нерухоме майно у випадку переходу прав на земельну ділянку</w:t>
      </w:r>
      <w:r w:rsidR="00A038D0">
        <w:rPr>
          <w:rFonts w:ascii="Times New Roman" w:hAnsi="Times New Roman"/>
          <w:color w:val="000000"/>
          <w:sz w:val="28"/>
          <w:lang w:val="uk-UA"/>
        </w:rPr>
        <w:t>,</w:t>
      </w:r>
      <w:r>
        <w:rPr>
          <w:rFonts w:ascii="Times New Roman" w:hAnsi="Times New Roman"/>
          <w:color w:val="000000"/>
          <w:sz w:val="28"/>
          <w:lang w:val="uk-UA"/>
        </w:rPr>
        <w:t xml:space="preserve"> на якій воно розташовано.</w:t>
      </w:r>
    </w:p>
    <w:p w:rsidR="00563ED5" w:rsidRDefault="00563ED5" w:rsidP="00A038D0">
      <w:pPr>
        <w:tabs>
          <w:tab w:val="num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Частиною </w:t>
      </w:r>
      <w:r w:rsidR="00A038D0">
        <w:rPr>
          <w:rFonts w:ascii="Times New Roman" w:hAnsi="Times New Roman"/>
          <w:sz w:val="28"/>
          <w:lang w:val="uk-UA"/>
        </w:rPr>
        <w:t>другою</w:t>
      </w:r>
      <w:r>
        <w:rPr>
          <w:rFonts w:ascii="Times New Roman" w:hAnsi="Times New Roman"/>
          <w:sz w:val="28"/>
          <w:lang w:val="uk-UA"/>
        </w:rPr>
        <w:t xml:space="preserve"> статті 120 Земельного кодексу України та частиною третьою статті 7 Закону України «Про оренду землі» передбачено «автоматичне» припинення договору про встановлення права користування земельною ділянкою, в тому числі оренди земельної ділянки у разі набуття права власності на житловий будинок, будівлю або споруду, що розташовані на ній, та, відповідно, виникнення права користування такою земельною ділянкою в нового власника нерухомості. </w:t>
      </w:r>
    </w:p>
    <w:p w:rsidR="00563ED5" w:rsidRDefault="00563ED5" w:rsidP="00A038D0">
      <w:pPr>
        <w:tabs>
          <w:tab w:val="num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Проте зазначена норма потребує суттєвого доопрацювання, оскільки не працює на практиці і законодавство вимагає дотримання встановленого порядку укладення та припинення договорів. </w:t>
      </w:r>
    </w:p>
    <w:p w:rsidR="00563ED5" w:rsidRDefault="00563ED5" w:rsidP="00A038D0">
      <w:pPr>
        <w:tabs>
          <w:tab w:val="num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Так, відповідно до частини першої статті 654 Цивільного кодексу України зміна або розірвання договору вчиняється в такій самій формі, що й договір, що змінюється або розривається, якщо інше не встановлено договором або законом чи не випливає із звичаїв ділового обороту. </w:t>
      </w:r>
    </w:p>
    <w:p w:rsidR="00563ED5" w:rsidRDefault="00563ED5">
      <w:pPr>
        <w:tabs>
          <w:tab w:val="num" w:pos="1134"/>
        </w:tabs>
        <w:suppressAutoHyphens/>
        <w:spacing w:after="12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При цьому договори щодо відчуження нерухомого майна</w:t>
      </w:r>
      <w:r w:rsidR="00A038D0">
        <w:rPr>
          <w:rFonts w:ascii="Times New Roman" w:hAnsi="Times New Roman"/>
          <w:sz w:val="28"/>
          <w:lang w:val="uk-UA"/>
        </w:rPr>
        <w:t>,</w:t>
      </w:r>
      <w:r>
        <w:rPr>
          <w:rFonts w:ascii="Times New Roman" w:hAnsi="Times New Roman"/>
          <w:sz w:val="28"/>
          <w:lang w:val="uk-UA"/>
        </w:rPr>
        <w:t xml:space="preserve"> в тому числі земельної ділянки, підлягають нотаріальному посвідченню, а відповідно до Закону України «Про державну реєстрацію речових прав на нерухоме майно та їх обтяжень» вказані договори є підставою для державної реєстрації переходу прав на нерухоме майно.</w:t>
      </w:r>
    </w:p>
    <w:p w:rsidR="00563ED5" w:rsidRDefault="00563ED5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u w:val="single"/>
          <w:lang w:val="uk-UA"/>
        </w:rPr>
      </w:pPr>
    </w:p>
    <w:p w:rsidR="00563ED5" w:rsidRDefault="00563ED5" w:rsidP="00A038D0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hanging="153"/>
        <w:jc w:val="both"/>
        <w:rPr>
          <w:rFonts w:ascii="Times New Roman" w:hAnsi="Times New Roman"/>
          <w:b/>
          <w:color w:val="000000"/>
          <w:sz w:val="28"/>
          <w:lang w:val="uk-UA"/>
        </w:rPr>
      </w:pPr>
      <w:r>
        <w:rPr>
          <w:rFonts w:ascii="Times New Roman" w:hAnsi="Times New Roman"/>
          <w:b/>
          <w:color w:val="000000"/>
          <w:sz w:val="28"/>
          <w:lang w:val="uk-UA"/>
        </w:rPr>
        <w:t>Цілі та завдання ухвалення акта</w:t>
      </w:r>
    </w:p>
    <w:p w:rsidR="00563ED5" w:rsidRDefault="00563ED5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>Проект Закону розроблено з метою усунення прогалин у правовому регулюванні питань, пов’язаних з оформленням та переходом прав на земельну ділянку у разі набуття права власності на нерухоме майно (житловий будинок, будівлю або споруду), що розміщені на ній.</w:t>
      </w:r>
    </w:p>
    <w:p w:rsidR="00563ED5" w:rsidRDefault="00563ED5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lang w:val="uk-UA"/>
        </w:rPr>
      </w:pPr>
    </w:p>
    <w:p w:rsidR="00563ED5" w:rsidRDefault="00563ED5" w:rsidP="00A038D0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hanging="153"/>
        <w:jc w:val="both"/>
        <w:rPr>
          <w:rFonts w:ascii="Times New Roman" w:hAnsi="Times New Roman"/>
          <w:b/>
          <w:color w:val="000000"/>
          <w:sz w:val="28"/>
          <w:lang w:val="uk-UA"/>
        </w:rPr>
      </w:pPr>
      <w:r>
        <w:rPr>
          <w:rFonts w:ascii="Times New Roman" w:hAnsi="Times New Roman"/>
          <w:b/>
          <w:color w:val="000000"/>
          <w:sz w:val="28"/>
          <w:lang w:val="uk-UA"/>
        </w:rPr>
        <w:t>Загальна характеристика та основні положення проекту</w:t>
      </w:r>
    </w:p>
    <w:p w:rsidR="00563ED5" w:rsidRDefault="00563ED5" w:rsidP="00A038D0">
      <w:pPr>
        <w:tabs>
          <w:tab w:val="num" w:pos="1134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Усунення даних проблем видається можливим шляхом встановлення обов’язковості одночасного оформлення прав на земельну ділянку </w:t>
      </w:r>
      <w:r>
        <w:rPr>
          <w:rFonts w:ascii="Times New Roman" w:hAnsi="Times New Roman"/>
          <w:color w:val="000000"/>
          <w:sz w:val="28"/>
          <w:lang w:val="uk-UA"/>
        </w:rPr>
        <w:t xml:space="preserve">у зв`язку з </w:t>
      </w:r>
      <w:r>
        <w:rPr>
          <w:rFonts w:ascii="Times New Roman" w:hAnsi="Times New Roman"/>
          <w:color w:val="000000"/>
          <w:sz w:val="28"/>
          <w:lang w:val="uk-UA"/>
        </w:rPr>
        <w:lastRenderedPageBreak/>
        <w:t>переходом прав на об'єкт нерухомого майна (житловий будинок, будівлю або споруду), який на ній розташовано, а також зворотній порядок одночасного переходу прав на нерухоме майно у випадку переходу прав на земельну ділянку на якій розташовано вказане нерухоме майно (житловий будинок, будівля або споруда)</w:t>
      </w:r>
      <w:r>
        <w:rPr>
          <w:rFonts w:ascii="Times New Roman" w:hAnsi="Times New Roman"/>
          <w:sz w:val="28"/>
          <w:lang w:val="uk-UA"/>
        </w:rPr>
        <w:t>.</w:t>
      </w:r>
    </w:p>
    <w:p w:rsidR="00563ED5" w:rsidRDefault="00563ED5" w:rsidP="00A038D0">
      <w:pPr>
        <w:tabs>
          <w:tab w:val="num" w:pos="1134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Пропонується уніфікувати вказані правила для переходу прав власності та всіх видів користування земельною ділянкою у випадку переходу права власності або права користування земельною ділянкою (сервітут, суперфіцій, емфітевзис (сільськогосподарські будівлі), постійне користування тощо) у разі набуття права власності на розташовані на такій земельній ділянці об`єкт</w:t>
      </w:r>
      <w:r w:rsidR="00A038D0">
        <w:rPr>
          <w:rFonts w:ascii="Times New Roman" w:hAnsi="Times New Roman"/>
          <w:sz w:val="28"/>
          <w:lang w:val="uk-UA"/>
        </w:rPr>
        <w:t>и</w:t>
      </w:r>
      <w:r>
        <w:rPr>
          <w:rFonts w:ascii="Times New Roman" w:hAnsi="Times New Roman"/>
          <w:sz w:val="28"/>
          <w:lang w:val="uk-UA"/>
        </w:rPr>
        <w:t xml:space="preserve"> нерухомого майна (житловий будинок, будівлю або споруду) шляхом внесення змін до статті 120 Земельного кодексу України та</w:t>
      </w:r>
      <w:r w:rsidR="00A038D0">
        <w:rPr>
          <w:rFonts w:ascii="Times New Roman" w:hAnsi="Times New Roman"/>
          <w:sz w:val="28"/>
          <w:lang w:val="uk-UA"/>
        </w:rPr>
        <w:t xml:space="preserve"> статті</w:t>
      </w:r>
      <w:r>
        <w:rPr>
          <w:rFonts w:ascii="Times New Roman" w:hAnsi="Times New Roman"/>
          <w:sz w:val="28"/>
          <w:lang w:val="uk-UA"/>
        </w:rPr>
        <w:t xml:space="preserve"> 377 Цивільного кодексу України.</w:t>
      </w:r>
    </w:p>
    <w:p w:rsidR="00563ED5" w:rsidRDefault="00563ED5" w:rsidP="00A038D0">
      <w:pPr>
        <w:tabs>
          <w:tab w:val="num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Одночасно законом пропонується доповнити ст. 120 Земельного кодексу України новою частиною </w:t>
      </w:r>
      <w:r w:rsidR="00A038D0">
        <w:rPr>
          <w:rFonts w:ascii="Times New Roman" w:hAnsi="Times New Roman"/>
          <w:sz w:val="28"/>
          <w:lang w:val="uk-UA"/>
        </w:rPr>
        <w:t>чотирнадцятою</w:t>
      </w:r>
      <w:r>
        <w:rPr>
          <w:rFonts w:ascii="Times New Roman" w:hAnsi="Times New Roman"/>
          <w:sz w:val="28"/>
          <w:lang w:val="uk-UA"/>
        </w:rPr>
        <w:t>, відповідно до якої визначити, що предметом правочину, який передбачає перехід права власності на об'єкт нерухомого майна (жилий будинок (крім багатоквартирного), іншу будівлю або споруду або окрему частку у праві спільної власності на такий об'єкт, об’єкт незавершеного будівництва), який розміщений на земельній ділянці (крім земель державної, комунальної власності), що перебуває у власності відчужувача (попереднього власника) об’єкта нерухомого майна, повинна бути також така земельна ділянка (або окрема частка у праві спільної власності на неї). Істотною умовою такого правочину є умова щодо одночасного переходу права власності на таку земельну ділянку (частку у праві спільної власності на неї) від відчужувача до набувача такого об’єкту нерухомого майна (окремої частки у праві власності на неї).</w:t>
      </w:r>
    </w:p>
    <w:p w:rsidR="00563ED5" w:rsidRDefault="00563ED5" w:rsidP="00A038D0">
      <w:pPr>
        <w:tabs>
          <w:tab w:val="num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Відповідні зміни також вносяться до статті 377 Цивільного кодексу</w:t>
      </w:r>
      <w:r w:rsidR="00A038D0">
        <w:rPr>
          <w:rFonts w:ascii="Times New Roman" w:hAnsi="Times New Roman"/>
          <w:sz w:val="28"/>
          <w:lang w:val="uk-UA"/>
        </w:rPr>
        <w:t xml:space="preserve"> України</w:t>
      </w:r>
      <w:r>
        <w:rPr>
          <w:rFonts w:ascii="Times New Roman" w:hAnsi="Times New Roman"/>
          <w:sz w:val="28"/>
          <w:lang w:val="uk-UA"/>
        </w:rPr>
        <w:t>, статті 7 Закону України «Про оренду землі». Такий підхід спрямований</w:t>
      </w:r>
      <w:r w:rsidR="00A038D0">
        <w:rPr>
          <w:rFonts w:ascii="Times New Roman" w:hAnsi="Times New Roman"/>
          <w:sz w:val="28"/>
          <w:lang w:val="uk-UA"/>
        </w:rPr>
        <w:t xml:space="preserve"> на</w:t>
      </w:r>
      <w:r>
        <w:rPr>
          <w:rFonts w:ascii="Times New Roman" w:hAnsi="Times New Roman"/>
          <w:sz w:val="28"/>
          <w:lang w:val="uk-UA"/>
        </w:rPr>
        <w:t xml:space="preserve"> конкретизацію норм та безспірність правового регулювання. </w:t>
      </w:r>
    </w:p>
    <w:p w:rsidR="00563ED5" w:rsidRDefault="00563ED5" w:rsidP="00A038D0">
      <w:pPr>
        <w:tabs>
          <w:tab w:val="num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Таким чином, вказаний законопроект сприяє усуненню правових колізій та уніфікації процедур</w:t>
      </w:r>
      <w:r w:rsidR="00A038D0">
        <w:rPr>
          <w:rFonts w:ascii="Times New Roman" w:hAnsi="Times New Roman"/>
          <w:sz w:val="28"/>
          <w:lang w:val="uk-UA"/>
        </w:rPr>
        <w:t>,</w:t>
      </w:r>
      <w:r>
        <w:rPr>
          <w:rFonts w:ascii="Times New Roman" w:hAnsi="Times New Roman"/>
          <w:sz w:val="28"/>
          <w:lang w:val="uk-UA"/>
        </w:rPr>
        <w:t xml:space="preserve"> пов'язаних з вдосконаленням порядку одночасного переходу прав на земельну ділянку у разі набуття права власності на розташовані на ній житловий будинок, будівлю або споруду та чіткого визначення процедури оформлення вказаних прав та здійснення </w:t>
      </w:r>
      <w:r w:rsidR="00A038D0">
        <w:rPr>
          <w:rFonts w:ascii="Times New Roman" w:hAnsi="Times New Roman"/>
          <w:sz w:val="28"/>
          <w:lang w:val="uk-UA"/>
        </w:rPr>
        <w:t>ї</w:t>
      </w:r>
      <w:r>
        <w:rPr>
          <w:rFonts w:ascii="Times New Roman" w:hAnsi="Times New Roman"/>
          <w:sz w:val="28"/>
          <w:lang w:val="uk-UA"/>
        </w:rPr>
        <w:t>х державної реєстрації.</w:t>
      </w:r>
    </w:p>
    <w:p w:rsidR="00563ED5" w:rsidRDefault="00563ED5">
      <w:pPr>
        <w:tabs>
          <w:tab w:val="num" w:pos="1134"/>
        </w:tabs>
        <w:suppressAutoHyphens/>
        <w:spacing w:after="120" w:line="240" w:lineRule="auto"/>
        <w:ind w:firstLine="709"/>
        <w:jc w:val="both"/>
        <w:rPr>
          <w:rFonts w:ascii="Times New Roman" w:hAnsi="Times New Roman"/>
          <w:color w:val="FF0000"/>
          <w:sz w:val="28"/>
          <w:lang w:val="uk-UA"/>
        </w:rPr>
      </w:pPr>
    </w:p>
    <w:p w:rsidR="00563ED5" w:rsidRDefault="00563ED5" w:rsidP="00A038D0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color w:val="000000"/>
          <w:sz w:val="28"/>
          <w:lang w:val="uk-UA"/>
        </w:rPr>
      </w:pPr>
      <w:r>
        <w:rPr>
          <w:rFonts w:ascii="Times New Roman" w:hAnsi="Times New Roman"/>
          <w:b/>
          <w:color w:val="000000"/>
          <w:sz w:val="28"/>
          <w:lang w:val="uk-UA"/>
        </w:rPr>
        <w:t>Стан нормативно-правової бази у вказаній сфері правового регулювання</w:t>
      </w:r>
    </w:p>
    <w:p w:rsidR="00563ED5" w:rsidRDefault="00563ED5" w:rsidP="00A038D0">
      <w:pPr>
        <w:tabs>
          <w:tab w:val="num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>Нормативно-правовою базою у цій сфері правового регулювання є Цивільний кодекс України, Земельний кодекс України, Закон України «Про оренду землі», Закон України «Про державну реєстрацію речових прав на нерухоме майно та їх обтяжень» та Закон України “Про іпотеку”.</w:t>
      </w:r>
    </w:p>
    <w:p w:rsidR="00563ED5" w:rsidRDefault="00563ED5" w:rsidP="00A038D0">
      <w:pPr>
        <w:tabs>
          <w:tab w:val="num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>Прийняття запропонованого проекту Закону не потребуватиме внесення змін та доповнень до інших законодавчих актів України.</w:t>
      </w:r>
    </w:p>
    <w:p w:rsidR="00563ED5" w:rsidRDefault="00563ED5" w:rsidP="00A038D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color w:val="000000"/>
          <w:sz w:val="28"/>
          <w:lang w:val="uk-UA"/>
        </w:rPr>
      </w:pPr>
      <w:r>
        <w:rPr>
          <w:rFonts w:ascii="Times New Roman" w:hAnsi="Times New Roman"/>
          <w:b/>
          <w:color w:val="000000"/>
          <w:sz w:val="28"/>
          <w:lang w:val="uk-UA"/>
        </w:rPr>
        <w:t xml:space="preserve">Фінансово-економічне обґрунтування </w:t>
      </w:r>
    </w:p>
    <w:p w:rsidR="00563ED5" w:rsidRDefault="00563ED5" w:rsidP="00A038D0">
      <w:pPr>
        <w:tabs>
          <w:tab w:val="num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lastRenderedPageBreak/>
        <w:t>Реалізація проекту Закону не потребуватиме додаткових витрат з Державного бюджету України.</w:t>
      </w:r>
    </w:p>
    <w:p w:rsidR="00563ED5" w:rsidRDefault="00563ED5">
      <w:pPr>
        <w:tabs>
          <w:tab w:val="num" w:pos="1134"/>
        </w:tabs>
        <w:suppressAutoHyphens/>
        <w:spacing w:after="120" w:line="240" w:lineRule="auto"/>
        <w:ind w:firstLine="709"/>
        <w:jc w:val="both"/>
        <w:rPr>
          <w:rFonts w:ascii="Times New Roman" w:hAnsi="Times New Roman"/>
          <w:color w:val="000000"/>
          <w:sz w:val="28"/>
          <w:lang w:val="uk-UA"/>
        </w:rPr>
      </w:pPr>
    </w:p>
    <w:p w:rsidR="00563ED5" w:rsidRDefault="00563ED5" w:rsidP="00A038D0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lang w:val="uk-UA"/>
        </w:rPr>
      </w:pPr>
      <w:r>
        <w:rPr>
          <w:rFonts w:ascii="Times New Roman" w:hAnsi="Times New Roman"/>
          <w:b/>
          <w:color w:val="000000"/>
          <w:sz w:val="28"/>
          <w:lang w:val="uk-UA"/>
        </w:rPr>
        <w:t>6.</w:t>
      </w:r>
      <w:r>
        <w:rPr>
          <w:rFonts w:ascii="Times New Roman" w:hAnsi="Times New Roman"/>
          <w:b/>
          <w:color w:val="000000"/>
          <w:sz w:val="28"/>
          <w:lang w:val="uk-UA"/>
        </w:rPr>
        <w:tab/>
        <w:t>Прогноз соціально-економічних та інших наслідків ухвалення акта</w:t>
      </w:r>
    </w:p>
    <w:p w:rsidR="00563ED5" w:rsidRDefault="00563ED5" w:rsidP="00A038D0">
      <w:pPr>
        <w:tabs>
          <w:tab w:val="num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>Реалізація цього закону сприятиме правовій визначеності, оскільки надасть змогу встановити процедуру одночасного переходу прав на земельну ділянку у разі набуття права власності на об`єкт нерухомого майна (житловий будинок, будівлю або споруду), що на ній розташований.</w:t>
      </w:r>
    </w:p>
    <w:p w:rsidR="00563ED5" w:rsidRDefault="00563ED5">
      <w:pPr>
        <w:spacing w:after="120" w:line="240" w:lineRule="auto"/>
        <w:rPr>
          <w:rFonts w:ascii="Times New Roman" w:hAnsi="Times New Roman"/>
          <w:b/>
          <w:color w:val="000000"/>
          <w:sz w:val="28"/>
          <w:lang w:val="uk-UA"/>
        </w:rPr>
      </w:pPr>
    </w:p>
    <w:p w:rsidR="00DF008C" w:rsidRDefault="00DF008C">
      <w:pPr>
        <w:spacing w:after="120" w:line="240" w:lineRule="auto"/>
        <w:rPr>
          <w:rFonts w:ascii="Times New Roman" w:hAnsi="Times New Roman"/>
          <w:b/>
          <w:color w:val="000000"/>
          <w:sz w:val="28"/>
          <w:lang w:val="uk-UA"/>
        </w:rPr>
      </w:pPr>
    </w:p>
    <w:p w:rsidR="00563ED5" w:rsidRDefault="00563ED5" w:rsidP="00A038D0">
      <w:pPr>
        <w:suppressAutoHyphens/>
        <w:spacing w:after="0" w:line="240" w:lineRule="auto"/>
        <w:ind w:firstLine="708"/>
        <w:rPr>
          <w:rFonts w:ascii="Times New Roman" w:hAnsi="Times New Roman"/>
          <w:b/>
          <w:color w:val="000000"/>
          <w:sz w:val="28"/>
          <w:lang w:val="uk-UA"/>
        </w:rPr>
      </w:pPr>
      <w:r>
        <w:rPr>
          <w:rFonts w:ascii="Times New Roman" w:hAnsi="Times New Roman"/>
          <w:b/>
          <w:color w:val="000000"/>
          <w:sz w:val="28"/>
        </w:rPr>
        <w:t>Народ</w:t>
      </w:r>
      <w:r>
        <w:rPr>
          <w:rFonts w:ascii="Times New Roman" w:hAnsi="Times New Roman"/>
          <w:b/>
          <w:color w:val="000000"/>
          <w:sz w:val="28"/>
          <w:lang w:val="uk-UA"/>
        </w:rPr>
        <w:t>н</w:t>
      </w:r>
      <w:r w:rsidR="00EA484D">
        <w:rPr>
          <w:rFonts w:ascii="Times New Roman" w:hAnsi="Times New Roman"/>
          <w:b/>
          <w:color w:val="000000"/>
          <w:sz w:val="28"/>
          <w:lang w:val="uk-UA"/>
        </w:rPr>
        <w:t xml:space="preserve">і </w:t>
      </w:r>
      <w:r>
        <w:rPr>
          <w:rFonts w:ascii="Times New Roman" w:hAnsi="Times New Roman"/>
          <w:b/>
          <w:color w:val="000000"/>
          <w:sz w:val="28"/>
          <w:lang w:val="uk-UA"/>
        </w:rPr>
        <w:t>депутат</w:t>
      </w:r>
      <w:r w:rsidR="00EA484D">
        <w:rPr>
          <w:rFonts w:ascii="Times New Roman" w:hAnsi="Times New Roman"/>
          <w:b/>
          <w:color w:val="000000"/>
          <w:sz w:val="28"/>
          <w:lang w:val="uk-UA"/>
        </w:rPr>
        <w:t>и</w:t>
      </w:r>
      <w:r>
        <w:rPr>
          <w:rFonts w:ascii="Times New Roman" w:hAnsi="Times New Roman"/>
          <w:b/>
          <w:color w:val="000000"/>
          <w:sz w:val="28"/>
          <w:lang w:val="uk-UA"/>
        </w:rPr>
        <w:t xml:space="preserve"> України</w:t>
      </w:r>
      <w:r w:rsidR="005B34B6">
        <w:rPr>
          <w:rFonts w:ascii="Times New Roman" w:hAnsi="Times New Roman"/>
          <w:b/>
          <w:color w:val="000000"/>
          <w:sz w:val="28"/>
          <w:lang w:val="uk-UA"/>
        </w:rPr>
        <w:tab/>
      </w:r>
      <w:r w:rsidR="005B34B6">
        <w:rPr>
          <w:rFonts w:ascii="Times New Roman" w:hAnsi="Times New Roman"/>
          <w:b/>
          <w:color w:val="000000"/>
          <w:sz w:val="28"/>
          <w:lang w:val="uk-UA"/>
        </w:rPr>
        <w:tab/>
      </w:r>
      <w:r w:rsidR="005B34B6">
        <w:rPr>
          <w:rFonts w:ascii="Times New Roman" w:hAnsi="Times New Roman"/>
          <w:b/>
          <w:color w:val="000000"/>
          <w:sz w:val="28"/>
          <w:lang w:val="uk-UA"/>
        </w:rPr>
        <w:tab/>
      </w:r>
      <w:r w:rsidR="005B34B6">
        <w:rPr>
          <w:rFonts w:ascii="Times New Roman" w:hAnsi="Times New Roman"/>
          <w:b/>
          <w:color w:val="000000"/>
          <w:sz w:val="28"/>
          <w:lang w:val="uk-UA"/>
        </w:rPr>
        <w:tab/>
      </w:r>
      <w:r w:rsidR="005B34B6">
        <w:rPr>
          <w:rFonts w:ascii="Times New Roman" w:hAnsi="Times New Roman"/>
          <w:b/>
          <w:color w:val="000000"/>
          <w:sz w:val="28"/>
          <w:lang w:val="uk-UA"/>
        </w:rPr>
        <w:tab/>
      </w:r>
      <w:r>
        <w:rPr>
          <w:rFonts w:ascii="Times New Roman" w:hAnsi="Times New Roman"/>
          <w:b/>
          <w:color w:val="000000"/>
          <w:sz w:val="28"/>
          <w:lang w:val="uk-UA"/>
        </w:rPr>
        <w:tab/>
      </w:r>
      <w:r>
        <w:rPr>
          <w:rFonts w:ascii="Times New Roman" w:hAnsi="Times New Roman"/>
          <w:b/>
          <w:color w:val="000000"/>
          <w:sz w:val="28"/>
          <w:lang w:val="uk-UA"/>
        </w:rPr>
        <w:tab/>
      </w:r>
      <w:r>
        <w:rPr>
          <w:rFonts w:ascii="Times New Roman" w:hAnsi="Times New Roman"/>
          <w:b/>
          <w:color w:val="000000"/>
          <w:sz w:val="28"/>
          <w:lang w:val="uk-UA"/>
        </w:rPr>
        <w:tab/>
        <w:t xml:space="preserve">                      </w:t>
      </w:r>
    </w:p>
    <w:p w:rsidR="00563ED5" w:rsidRDefault="00563ED5">
      <w:pPr>
        <w:suppressAutoHyphens/>
        <w:spacing w:after="0" w:line="240" w:lineRule="auto"/>
        <w:rPr>
          <w:rFonts w:ascii="Times New Roman" w:hAnsi="Times New Roman"/>
          <w:b/>
          <w:color w:val="000000"/>
          <w:sz w:val="28"/>
          <w:lang w:val="uk-UA"/>
        </w:rPr>
      </w:pPr>
    </w:p>
    <w:sectPr w:rsidR="00563ED5">
      <w:footerReference w:type="default" r:id="rId10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880" w:rsidRDefault="007E1880">
      <w:pPr>
        <w:spacing w:after="0" w:line="240" w:lineRule="auto"/>
      </w:pPr>
      <w:r>
        <w:separator/>
      </w:r>
    </w:p>
  </w:endnote>
  <w:endnote w:type="continuationSeparator" w:id="0">
    <w:p w:rsidR="007E1880" w:rsidRDefault="007E1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ED5" w:rsidRDefault="00563ED5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 w:rsidR="00CC11C6">
      <w:rPr>
        <w:noProof/>
      </w:rPr>
      <w:t>1</w:t>
    </w:r>
    <w:r>
      <w:fldChar w:fldCharType="end"/>
    </w:r>
  </w:p>
  <w:p w:rsidR="00563ED5" w:rsidRDefault="00563ED5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880" w:rsidRDefault="007E1880">
      <w:pPr>
        <w:spacing w:after="0" w:line="240" w:lineRule="auto"/>
      </w:pPr>
      <w:r>
        <w:separator/>
      </w:r>
    </w:p>
  </w:footnote>
  <w:footnote w:type="continuationSeparator" w:id="0">
    <w:p w:rsidR="007E1880" w:rsidRDefault="007E18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24F3491B"/>
    <w:multiLevelType w:val="multilevel"/>
    <w:tmpl w:val="638C65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443A8"/>
    <w:multiLevelType w:val="multilevel"/>
    <w:tmpl w:val="9C560F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8D0"/>
    <w:rsid w:val="00322A94"/>
    <w:rsid w:val="00563ED5"/>
    <w:rsid w:val="005B34B6"/>
    <w:rsid w:val="007E1880"/>
    <w:rsid w:val="009C34F5"/>
    <w:rsid w:val="00A038D0"/>
    <w:rsid w:val="00CC11C6"/>
    <w:rsid w:val="00DF008C"/>
    <w:rsid w:val="00EA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15974B-8291-4BB8-A6BE-FF0C48C68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hAnsi="Calibri"/>
      <w:sz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pPr>
      <w:ind w:left="720"/>
    </w:pPr>
  </w:style>
  <w:style w:type="paragraph" w:styleId="a3">
    <w:name w:val="header"/>
    <w:basedOn w:val="a"/>
    <w:semiHidden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a0"/>
  </w:style>
  <w:style w:type="paragraph" w:styleId="a4">
    <w:name w:val="footer"/>
    <w:basedOn w:val="a"/>
    <w:semiHidden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a0"/>
  </w:style>
  <w:style w:type="paragraph" w:styleId="a5">
    <w:name w:val="Title"/>
    <w:basedOn w:val="a"/>
    <w:qFormat/>
    <w:pPr>
      <w:jc w:val="center"/>
    </w:pPr>
    <w:rPr>
      <w:rFonts w:ascii="Times New Roman" w:hAnsi="Times New Roman"/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968B06-F667-44B5-9C01-CF0FBAD7E1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112514-9571-41F6-BCBA-1EB16E8ABC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04F283-F553-4A81-874A-C023FFA5459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3652</Words>
  <Characters>2082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2021-03-16T10:08:00Z</dcterms:created>
  <dcterms:modified xsi:type="dcterms:W3CDTF">2021-03-16T10:08:00Z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