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FE251E" w:rsidRDefault="00941255">
      <w:pPr>
        <w:ind w:left="496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Проект</w:t>
      </w:r>
    </w:p>
    <w:p w14:paraId="00000002" w14:textId="1FE54565" w:rsidR="00FE251E" w:rsidRDefault="00941255">
      <w:pPr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вноситься народним</w:t>
      </w:r>
      <w:r w:rsidR="00C553CF">
        <w:rPr>
          <w:rFonts w:ascii="Times New Roman" w:eastAsia="Times New Roman" w:hAnsi="Times New Roman" w:cs="Times New Roman"/>
          <w:sz w:val="28"/>
          <w:szCs w:val="28"/>
        </w:rPr>
        <w:t xml:space="preserve">и депутатами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України</w:t>
      </w:r>
    </w:p>
    <w:p w14:paraId="00000004" w14:textId="7C91BFC6" w:rsidR="00FE251E" w:rsidRPr="00C553CF" w:rsidRDefault="00941255" w:rsidP="00C553CF">
      <w:pPr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Марусяк О. Р.</w:t>
      </w:r>
      <w:r w:rsidR="00C553CF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посв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>. № 51)</w:t>
      </w:r>
    </w:p>
    <w:p w14:paraId="5F91F22C" w14:textId="64F5F257" w:rsidR="00C553CF" w:rsidRPr="00C553CF" w:rsidRDefault="00C553CF">
      <w:pPr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3CF">
        <w:rPr>
          <w:rFonts w:ascii="Times New Roman" w:eastAsia="Times New Roman" w:hAnsi="Times New Roman" w:cs="Times New Roman"/>
          <w:sz w:val="28"/>
          <w:szCs w:val="28"/>
        </w:rPr>
        <w:t xml:space="preserve">та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іншими </w:t>
      </w:r>
    </w:p>
    <w:p w14:paraId="00000005" w14:textId="4EADB688" w:rsidR="00FE251E" w:rsidRDefault="00543D74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/>
        <w:jc w:val="center"/>
        <w:rPr>
          <w:rFonts w:ascii="Times New Roman" w:eastAsia="Times New Roman" w:hAnsi="Times New Roman" w:cs="Times New Roman"/>
          <w:b/>
          <w:i/>
          <w:smallCap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mallCaps/>
          <w:color w:val="000000"/>
          <w:sz w:val="28"/>
          <w:szCs w:val="28"/>
        </w:rPr>
        <w:t>Закон Украї</w:t>
      </w:r>
      <w:r w:rsidR="00941255">
        <w:rPr>
          <w:rFonts w:ascii="Times New Roman" w:eastAsia="Times New Roman" w:hAnsi="Times New Roman" w:cs="Times New Roman"/>
          <w:b/>
          <w:i/>
          <w:smallCaps/>
          <w:color w:val="000000"/>
          <w:sz w:val="28"/>
          <w:szCs w:val="28"/>
        </w:rPr>
        <w:t>ни</w:t>
      </w:r>
    </w:p>
    <w:p w14:paraId="00000006" w14:textId="77777777" w:rsidR="00FE251E" w:rsidRDefault="00941255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360" w:after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 внесення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змiн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Закону України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“Про державне регулювання діяльності щодо організації та проведення азартних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ігорˮ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_____________________________________________</w:t>
      </w:r>
    </w:p>
    <w:p w14:paraId="00000007" w14:textId="77777777" w:rsidR="00FE251E" w:rsidRDefault="00941255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Верховна Рада України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 о с т а н о в л я є:</w:t>
      </w:r>
    </w:p>
    <w:p w14:paraId="00000008" w14:textId="77777777" w:rsidR="00FE251E" w:rsidRDefault="00941255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І. Внести до Закону України “Про державне регулювання діяльності щодо організації та проведення азартних ігор” (Офіційний вісник України, 2020 р., № 66,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5, стаття 2129, код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100417/2020) такі зміни:</w:t>
      </w:r>
    </w:p>
    <w:p w14:paraId="00000009" w14:textId="77777777" w:rsidR="00FE251E" w:rsidRDefault="00941255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Частину третю статті 7 – виключити.</w:t>
      </w:r>
    </w:p>
    <w:p w14:paraId="0000000A" w14:textId="77777777" w:rsidR="00FE251E" w:rsidRDefault="00941255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У статті 12:</w:t>
      </w:r>
    </w:p>
    <w:p w14:paraId="0000000B" w14:textId="77777777" w:rsidR="00FE251E" w:rsidRDefault="00941255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частину другу доповнити останнім реченням наступного змісту:</w:t>
      </w:r>
    </w:p>
    <w:p w14:paraId="0000000C" w14:textId="77777777" w:rsidR="00FE251E" w:rsidRDefault="00941255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«Права інтелектуальної власності на Державну систему онлайн-моніторингу та її програмне забезпечення є державною власністю.»;</w:t>
      </w:r>
    </w:p>
    <w:p w14:paraId="0000000D" w14:textId="77777777" w:rsidR="00FE251E" w:rsidRDefault="00941255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частину шосту доповнити останнім реченням наступного змісту:</w:t>
      </w:r>
    </w:p>
    <w:p w14:paraId="0000000E" w14:textId="77777777" w:rsidR="00FE251E" w:rsidRDefault="00941255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«Забороняється залучення третіх осіб до адміністрування Державної системи онлайн-моніторингу.».</w:t>
      </w:r>
    </w:p>
    <w:p w14:paraId="00000012" w14:textId="4CA5D13E" w:rsidR="00FE251E" w:rsidRDefault="00DD4BEB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4BE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3</w:t>
      </w:r>
      <w:r w:rsidR="009412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DB61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другому реченні частини </w:t>
      </w:r>
      <w:proofErr w:type="gramStart"/>
      <w:r w:rsidR="00DB61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третьої </w:t>
      </w:r>
      <w:r w:rsidR="009412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статті</w:t>
      </w:r>
      <w:proofErr w:type="gramEnd"/>
      <w:r w:rsidR="009412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23 після слів «повинні розміщуватися», слово «виключно» – виключити.</w:t>
      </w:r>
    </w:p>
    <w:p w14:paraId="00000013" w14:textId="06287DBE" w:rsidR="00FE251E" w:rsidRDefault="00DD4BEB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941255">
        <w:rPr>
          <w:rFonts w:ascii="Times New Roman" w:eastAsia="Times New Roman" w:hAnsi="Times New Roman" w:cs="Times New Roman"/>
          <w:color w:val="000000"/>
          <w:sz w:val="28"/>
          <w:szCs w:val="28"/>
        </w:rPr>
        <w:t>. Статтю 38 доповнити новою частиною 7 наступного змісту:</w:t>
      </w:r>
    </w:p>
    <w:p w14:paraId="00000014" w14:textId="77777777" w:rsidR="00FE251E" w:rsidRDefault="00941255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«7. Обмеження встановлене абзацом третім частини 4 цієї статті не застосовується у разі якщо дошкільні заклади освіти, заклади загальної середньої освіти, позашкільної, спеціалізованої, професійної (професійно-технічної) та фахової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передвищої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освіти відкриваються після відкриття залу гральних автоматів, оператор азартних ігор в залах гральних автоматів може продовжувати діяльність в таких приміщеннях до спливу терміну дії ліцензії.».</w:t>
      </w:r>
    </w:p>
    <w:p w14:paraId="00000017" w14:textId="1C0AF421" w:rsidR="00FE251E" w:rsidRDefault="00DD4BEB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941255">
        <w:rPr>
          <w:rFonts w:ascii="Times New Roman" w:eastAsia="Times New Roman" w:hAnsi="Times New Roman" w:cs="Times New Roman"/>
          <w:color w:val="000000"/>
          <w:sz w:val="28"/>
          <w:szCs w:val="28"/>
        </w:rPr>
        <w:t>. Частину третю статті 56 – виключити.</w:t>
      </w:r>
    </w:p>
    <w:p w14:paraId="00000018" w14:textId="059360E7" w:rsidR="00FE251E" w:rsidRDefault="00DD4BEB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941255">
        <w:rPr>
          <w:rFonts w:ascii="Times New Roman" w:eastAsia="Times New Roman" w:hAnsi="Times New Roman" w:cs="Times New Roman"/>
          <w:color w:val="000000"/>
          <w:sz w:val="28"/>
          <w:szCs w:val="28"/>
        </w:rPr>
        <w:t>. Абзац другий частини першої розділу ХІ «Прикінцеві та перехідні положення» викласти в наступній редакції:</w:t>
      </w:r>
    </w:p>
    <w:p w14:paraId="00000019" w14:textId="77777777" w:rsidR="00FE251E" w:rsidRDefault="00941255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«Абзацу сьомого частини першої  та пункту 5 частини шостої статті 2, пунктів 14, 15, 28 частини першої статті 8, пунктів 9 та 23 частини першої статті 15, частини першої, другої, п’ятої, сьомої, одинадцятої, тринадцятої, шістнадцятої, сімнадцятої статті, 22, частини четвертої статті 23, частини третьої статті 27, пункту 5 частини п’ятої статті 36, пункту 6 частини третьої статті 37, частина четверта статті 46, пункт перший частини шостої статті 46, пунктів 1, 2 частини четвертої статті 58, які набирають чинності після встановлення Уповноваженим органом переліку компаній (установ, лабораторій), які проводять сертифікацію грального обладнання, що підлягає сертифікації, та сертифікатів, які автоматично визнаються в Україні, але не пізніше 1 січня 2022 року;».</w:t>
      </w:r>
    </w:p>
    <w:p w14:paraId="0000001A" w14:textId="77777777" w:rsidR="00FE251E" w:rsidRDefault="00941255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ІІ. Цей Закон набирає чинності з дня, наступного за днем його опублікування.</w:t>
      </w:r>
    </w:p>
    <w:p w14:paraId="0000001B" w14:textId="77777777" w:rsidR="00FE251E" w:rsidRDefault="00941255">
      <w:pPr>
        <w:spacing w:before="72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Голова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  <w:t>Верховної Ради України</w:t>
      </w:r>
    </w:p>
    <w:sectPr w:rsidR="00FE251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701" w:header="567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6332F2" w14:textId="77777777" w:rsidR="009D5A72" w:rsidRDefault="009D5A72">
      <w:r>
        <w:separator/>
      </w:r>
    </w:p>
  </w:endnote>
  <w:endnote w:type="continuationSeparator" w:id="0">
    <w:p w14:paraId="70840930" w14:textId="77777777" w:rsidR="009D5A72" w:rsidRDefault="009D5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ntiqua">
    <w:altName w:val="Times New Roman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1" w14:textId="77777777" w:rsidR="00FE251E" w:rsidRDefault="00FE251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3" w14:textId="77777777" w:rsidR="00FE251E" w:rsidRDefault="00FE251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2" w14:textId="77777777" w:rsidR="00FE251E" w:rsidRDefault="00FE251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2F9645" w14:textId="77777777" w:rsidR="009D5A72" w:rsidRDefault="009D5A72">
      <w:r>
        <w:separator/>
      </w:r>
    </w:p>
  </w:footnote>
  <w:footnote w:type="continuationSeparator" w:id="0">
    <w:p w14:paraId="0C92FFA1" w14:textId="77777777" w:rsidR="009D5A72" w:rsidRDefault="009D5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E" w14:textId="77777777" w:rsidR="00FE251E" w:rsidRDefault="00941255">
    <w:pPr>
      <w:jc w:val="center"/>
    </w:pPr>
    <w:r>
      <w:fldChar w:fldCharType="begin"/>
    </w:r>
    <w:r>
      <w:instrText>PAGE</w:instrText>
    </w:r>
    <w:r>
      <w:fldChar w:fldCharType="end"/>
    </w:r>
  </w:p>
  <w:p w14:paraId="0000001F" w14:textId="77777777" w:rsidR="00FE251E" w:rsidRDefault="00FE251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C" w14:textId="000A25E3" w:rsidR="00FE251E" w:rsidRDefault="00941255">
    <w:pPr>
      <w:jc w:val="center"/>
    </w:pPr>
    <w:r>
      <w:fldChar w:fldCharType="begin"/>
    </w:r>
    <w:r>
      <w:instrText>PAGE</w:instrText>
    </w:r>
    <w:r>
      <w:fldChar w:fldCharType="separate"/>
    </w:r>
    <w:r w:rsidR="00516450">
      <w:rPr>
        <w:noProof/>
      </w:rPr>
      <w:t>2</w:t>
    </w:r>
    <w:r>
      <w:fldChar w:fldCharType="end"/>
    </w:r>
  </w:p>
  <w:p w14:paraId="0000001D" w14:textId="77777777" w:rsidR="00FE251E" w:rsidRDefault="00FE251E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0" w14:textId="77777777" w:rsidR="00FE251E" w:rsidRDefault="00FE251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51E"/>
    <w:rsid w:val="00516450"/>
    <w:rsid w:val="00543D74"/>
    <w:rsid w:val="00643256"/>
    <w:rsid w:val="008B76F1"/>
    <w:rsid w:val="00906BE3"/>
    <w:rsid w:val="00941255"/>
    <w:rsid w:val="009D5A72"/>
    <w:rsid w:val="00C553CF"/>
    <w:rsid w:val="00DB61CA"/>
    <w:rsid w:val="00DD4BEB"/>
    <w:rsid w:val="00F9430D"/>
    <w:rsid w:val="00FE2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5158E"/>
  <w15:docId w15:val="{3C52C9BB-DB28-4BC1-B6CA-4018AD5A8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ntiqua" w:eastAsia="Antiqua" w:hAnsi="Antiqua" w:cs="Antiqua"/>
        <w:sz w:val="26"/>
        <w:szCs w:val="26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widowControl w:val="0"/>
      <w:ind w:left="179"/>
      <w:outlineLvl w:val="1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200B68-BC96-4B50-AF4B-F7724B95F38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F784E20-FD88-4ED4-B9EA-E21C6AB226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06D6E2-3294-43CE-B4DD-0B1A7F5416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1635</Words>
  <Characters>933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2021-03-24T11:57:00Z</dcterms:created>
  <dcterms:modified xsi:type="dcterms:W3CDTF">2021-03-24T11:57:00Z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