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F25" w:rsidRDefault="0069726E">
      <w:pPr>
        <w:spacing w:before="120" w:after="120" w:line="24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 О Р І В Н Я Л Ь Н А    Т А Б Л И Ц Я</w:t>
      </w:r>
    </w:p>
    <w:p w:rsidR="005D1F25" w:rsidRDefault="0069726E">
      <w:pPr>
        <w:spacing w:before="120" w:after="12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проекту Закону України «Про внесення змін до Закону України «Про державне регулювання діяльності щодо організації та проведення азартних ігор» </w:t>
      </w:r>
    </w:p>
    <w:p w:rsidR="005D1F25" w:rsidRDefault="005D1F25">
      <w:pPr>
        <w:spacing w:before="120" w:after="120" w:line="240" w:lineRule="auto"/>
        <w:jc w:val="center"/>
        <w:rPr>
          <w:rFonts w:ascii="Times New Roman" w:eastAsia="Times New Roman" w:hAnsi="Times New Roman" w:cs="Times New Roman"/>
          <w:b/>
          <w:sz w:val="28"/>
          <w:szCs w:val="28"/>
        </w:rPr>
      </w:pPr>
    </w:p>
    <w:tbl>
      <w:tblPr>
        <w:tblStyle w:val="a5"/>
        <w:tblW w:w="145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0"/>
        <w:gridCol w:w="7280"/>
      </w:tblGrid>
      <w:tr w:rsidR="005D1F25">
        <w:tc>
          <w:tcPr>
            <w:tcW w:w="7280" w:type="dxa"/>
            <w:tcBorders>
              <w:top w:val="single" w:sz="4" w:space="0" w:color="000000"/>
              <w:left w:val="single" w:sz="4" w:space="0" w:color="000000"/>
              <w:bottom w:val="single" w:sz="4" w:space="0" w:color="000000"/>
              <w:right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Чинна редакція</w:t>
            </w:r>
          </w:p>
        </w:tc>
        <w:tc>
          <w:tcPr>
            <w:tcW w:w="7280" w:type="dxa"/>
            <w:tcBorders>
              <w:top w:val="single" w:sz="4" w:space="0" w:color="000000"/>
              <w:left w:val="single" w:sz="4" w:space="0" w:color="000000"/>
              <w:bottom w:val="single" w:sz="4" w:space="0" w:color="000000"/>
              <w:right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Запропонована редакція з урахуванням змін</w:t>
            </w:r>
          </w:p>
        </w:tc>
      </w:tr>
      <w:tr w:rsidR="005D1F25">
        <w:trPr>
          <w:trHeight w:val="680"/>
        </w:trPr>
        <w:tc>
          <w:tcPr>
            <w:tcW w:w="14560" w:type="dxa"/>
            <w:gridSpan w:val="2"/>
            <w:tcBorders>
              <w:top w:val="single" w:sz="4" w:space="0" w:color="000000"/>
              <w:left w:val="single" w:sz="4" w:space="0" w:color="000000"/>
              <w:bottom w:val="single" w:sz="4" w:space="0" w:color="000000"/>
              <w:right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48"/>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Закону України «Про державне регулювання діяльності щодо організації та проведення азартних ігор»</w:t>
            </w:r>
          </w:p>
        </w:tc>
      </w:tr>
      <w:tr w:rsidR="005D1F25">
        <w:tc>
          <w:tcPr>
            <w:tcW w:w="7280" w:type="dxa"/>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t>Стаття 7.</w:t>
            </w:r>
            <w:r>
              <w:rPr>
                <w:rFonts w:ascii="Times New Roman" w:eastAsia="Times New Roman" w:hAnsi="Times New Roman" w:cs="Times New Roman"/>
                <w:color w:val="000000"/>
                <w:sz w:val="28"/>
                <w:szCs w:val="28"/>
                <w:highlight w:val="white"/>
              </w:rPr>
              <w:t> Склад та структура Уповноваженого органу</w:t>
            </w:r>
            <w:bookmarkStart w:id="1" w:name="gjdgxs" w:colFirst="0" w:colLast="0"/>
            <w:bookmarkEnd w:id="1"/>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Голова та члени Уповноваженого органу призначаються на посади та звільняються з посад Кабінетом Міністрів України за результатами конкурсу у порядку, визначеному цим Законом.</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 w:name="30j0zll" w:colFirst="0" w:colLast="0"/>
            <w:bookmarkEnd w:id="2"/>
            <w:r>
              <w:rPr>
                <w:rFonts w:ascii="Times New Roman" w:eastAsia="Times New Roman" w:hAnsi="Times New Roman" w:cs="Times New Roman"/>
                <w:sz w:val="28"/>
                <w:szCs w:val="28"/>
              </w:rPr>
              <w:t>Конкурсна комісія утворюється при Кабінеті Міністрів України.</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 w:name="1fob9te" w:colFirst="0" w:colLast="0"/>
            <w:bookmarkEnd w:id="3"/>
            <w:r>
              <w:rPr>
                <w:rFonts w:ascii="Times New Roman" w:eastAsia="Times New Roman" w:hAnsi="Times New Roman" w:cs="Times New Roman"/>
                <w:sz w:val="28"/>
                <w:szCs w:val="28"/>
              </w:rPr>
              <w:t>Склад Конкурсної комісії затверджується Кабінетом Міністрів України. До складу Конкурсної комісії входять п’ять осіб за поданням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4" w:name="3znysh7" w:colFirst="0" w:colLast="0"/>
            <w:bookmarkEnd w:id="4"/>
            <w:r>
              <w:rPr>
                <w:rFonts w:ascii="Times New Roman" w:eastAsia="Times New Roman" w:hAnsi="Times New Roman" w:cs="Times New Roman"/>
                <w:sz w:val="28"/>
                <w:szCs w:val="28"/>
              </w:rPr>
              <w:t>Конкурсна комісія вважається повноважною у разі затвердження в її складі не менше чотирьох осіб.</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5" w:name="2et92p0" w:colFirst="0" w:colLast="0"/>
            <w:bookmarkEnd w:id="5"/>
            <w:r>
              <w:rPr>
                <w:rFonts w:ascii="Times New Roman" w:eastAsia="Times New Roman" w:hAnsi="Times New Roman" w:cs="Times New Roman"/>
                <w:sz w:val="28"/>
                <w:szCs w:val="28"/>
              </w:rPr>
              <w:lastRenderedPageBreak/>
              <w:t>Членами Конкурсної комісії можуть бути особи, які мають повну вищу освіту, бездоганну ділову репутацію, високі професійні та моральні якості, суспільний авторитет.</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6" w:name="tyjcwt" w:colFirst="0" w:colLast="0"/>
            <w:bookmarkEnd w:id="6"/>
            <w:r>
              <w:rPr>
                <w:rFonts w:ascii="Times New Roman" w:eastAsia="Times New Roman" w:hAnsi="Times New Roman" w:cs="Times New Roman"/>
                <w:sz w:val="28"/>
                <w:szCs w:val="28"/>
              </w:rPr>
              <w:t>Членами Конкурсної комісії не можуть бути особи, які є прямо чи опосередковано власниками корпоративних прав організаторів азартних ігор, виробників грального обладнання чи надавачів послуг у сфері азартних ігор, отримують від них фінансову або матеріальну винагороду та допомогу чи займають будь-яку посаду у структурних підрозділах організатора азартних ігор чи надавача послуг у сфері азартних ігор, у тому числі на громадських засадах.</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7" w:name="3dy6vkm" w:colFirst="0" w:colLast="0"/>
            <w:bookmarkEnd w:id="7"/>
            <w:r>
              <w:rPr>
                <w:rFonts w:ascii="Times New Roman" w:eastAsia="Times New Roman" w:hAnsi="Times New Roman" w:cs="Times New Roman"/>
                <w:sz w:val="28"/>
                <w:szCs w:val="28"/>
              </w:rPr>
              <w:t>Член Конкурсної комісії не має права брати участь у конкурсному відборі на зайняття посади члена Уповноваженого органу. Особа, яка була членом Конкурсної комісії, не має права брати участь у конкурсному відборі на зайняття посади члена Уповноваженого органу протягом 12 місяців з дня припинення нею повноважень члена Конкурсної комісії.</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8" w:name="1t3h5sf" w:colFirst="0" w:colLast="0"/>
            <w:bookmarkEnd w:id="8"/>
            <w:r>
              <w:rPr>
                <w:rFonts w:ascii="Times New Roman" w:eastAsia="Times New Roman" w:hAnsi="Times New Roman" w:cs="Times New Roman"/>
                <w:sz w:val="28"/>
                <w:szCs w:val="28"/>
              </w:rPr>
              <w:t>Строк повноважень члена Конкурсної комісії становить три роки та може бути припинений достроково Кабінетом Міністрів України за ініціативою комітету Верховної Ради України, до предмета відання якого належать питання діяльності із випуску та проведення лотерей, оподаткування суб’єктів такої діяльності, гральний бізнес, або за власною ініціативою члена Конкурсної комісії.</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9" w:name="4d34og8" w:colFirst="0" w:colLast="0"/>
            <w:bookmarkEnd w:id="9"/>
            <w:r>
              <w:rPr>
                <w:rFonts w:ascii="Times New Roman" w:eastAsia="Times New Roman" w:hAnsi="Times New Roman" w:cs="Times New Roman"/>
                <w:sz w:val="28"/>
                <w:szCs w:val="28"/>
              </w:rPr>
              <w:lastRenderedPageBreak/>
              <w:t>Члени Конкурсної комісії виконують свої функції на громадських засадах.</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0" w:name="2s8eyo1" w:colFirst="0" w:colLast="0"/>
            <w:bookmarkEnd w:id="10"/>
            <w:r>
              <w:rPr>
                <w:rFonts w:ascii="Times New Roman" w:eastAsia="Times New Roman" w:hAnsi="Times New Roman" w:cs="Times New Roman"/>
                <w:sz w:val="28"/>
                <w:szCs w:val="28"/>
              </w:rPr>
              <w:t>Конкурсна комісія обирає голову шляхом голосування. Рішення Конкурсної комісії з зазначеного питання приймається простою більшістю голосів її членів.</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1" w:name="17dp8vu" w:colFirst="0" w:colLast="0"/>
            <w:bookmarkEnd w:id="11"/>
            <w:r>
              <w:rPr>
                <w:rFonts w:ascii="Times New Roman" w:eastAsia="Times New Roman" w:hAnsi="Times New Roman" w:cs="Times New Roman"/>
                <w:sz w:val="28"/>
                <w:szCs w:val="28"/>
              </w:rPr>
              <w:t>Регламент роботи Конкурсної комісії затверджує Конкурсна комісія.</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2" w:name="3rdcrjn" w:colFirst="0" w:colLast="0"/>
            <w:bookmarkEnd w:id="12"/>
            <w:r>
              <w:rPr>
                <w:rFonts w:ascii="Times New Roman" w:eastAsia="Times New Roman" w:hAnsi="Times New Roman" w:cs="Times New Roman"/>
                <w:sz w:val="28"/>
                <w:szCs w:val="28"/>
              </w:rPr>
              <w:t xml:space="preserve">Засідання Конкурсної комісії проводяться у формі відкритих слухань. На офіційному </w:t>
            </w:r>
            <w:proofErr w:type="spellStart"/>
            <w:r>
              <w:rPr>
                <w:rFonts w:ascii="Times New Roman" w:eastAsia="Times New Roman" w:hAnsi="Times New Roman" w:cs="Times New Roman"/>
                <w:sz w:val="28"/>
                <w:szCs w:val="28"/>
              </w:rPr>
              <w:t>вебсайті</w:t>
            </w:r>
            <w:proofErr w:type="spellEnd"/>
            <w:r>
              <w:rPr>
                <w:rFonts w:ascii="Times New Roman" w:eastAsia="Times New Roman" w:hAnsi="Times New Roman" w:cs="Times New Roman"/>
                <w:sz w:val="28"/>
                <w:szCs w:val="28"/>
              </w:rPr>
              <w:t xml:space="preserve"> Кабінету Міністрів України забезпечується відео- та </w:t>
            </w:r>
            <w:proofErr w:type="spellStart"/>
            <w:r>
              <w:rPr>
                <w:rFonts w:ascii="Times New Roman" w:eastAsia="Times New Roman" w:hAnsi="Times New Roman" w:cs="Times New Roman"/>
                <w:sz w:val="28"/>
                <w:szCs w:val="28"/>
              </w:rPr>
              <w:t>аудіофіксація</w:t>
            </w:r>
            <w:proofErr w:type="spellEnd"/>
            <w:r>
              <w:rPr>
                <w:rFonts w:ascii="Times New Roman" w:eastAsia="Times New Roman" w:hAnsi="Times New Roman" w:cs="Times New Roman"/>
                <w:sz w:val="28"/>
                <w:szCs w:val="28"/>
              </w:rPr>
              <w:t xml:space="preserve"> засідання Конкурсної комісії. Протоколи засідань Конкурсної комісії розміщуються на офіційному </w:t>
            </w:r>
            <w:proofErr w:type="spellStart"/>
            <w:r>
              <w:rPr>
                <w:rFonts w:ascii="Times New Roman" w:eastAsia="Times New Roman" w:hAnsi="Times New Roman" w:cs="Times New Roman"/>
                <w:sz w:val="28"/>
                <w:szCs w:val="28"/>
              </w:rPr>
              <w:t>вебсайті</w:t>
            </w:r>
            <w:proofErr w:type="spellEnd"/>
            <w:r>
              <w:rPr>
                <w:rFonts w:ascii="Times New Roman" w:eastAsia="Times New Roman" w:hAnsi="Times New Roman" w:cs="Times New Roman"/>
                <w:sz w:val="28"/>
                <w:szCs w:val="28"/>
              </w:rPr>
              <w:t xml:space="preserve"> Кабінету Міністрів України протягом трьох робочих днів після проведення засідання.</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3" w:name="26in1rg" w:colFirst="0" w:colLast="0"/>
            <w:bookmarkEnd w:id="13"/>
            <w:r>
              <w:rPr>
                <w:rFonts w:ascii="Times New Roman" w:eastAsia="Times New Roman" w:hAnsi="Times New Roman" w:cs="Times New Roman"/>
                <w:sz w:val="28"/>
                <w:szCs w:val="28"/>
              </w:rPr>
              <w:t>На засіданнях Конкурсної комісії як спостерігачі можуть бути присутні народні депутати України, представники громадськості.</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4" w:name="lnxbz9" w:colFirst="0" w:colLast="0"/>
            <w:bookmarkEnd w:id="14"/>
            <w:r>
              <w:rPr>
                <w:rFonts w:ascii="Times New Roman" w:eastAsia="Times New Roman" w:hAnsi="Times New Roman" w:cs="Times New Roman"/>
                <w:sz w:val="28"/>
                <w:szCs w:val="28"/>
              </w:rPr>
              <w:t>Забороняється незаконне втручання державних органів, органів місцевого самоврядування, їх посадових і службових осіб, політичних партій, громадських об’єднань, інших фізичних або юридичних осіб у діяльність Конкурсної комісії.</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5" w:name="35nkun2" w:colFirst="0" w:colLast="0"/>
            <w:bookmarkEnd w:id="15"/>
            <w:r>
              <w:rPr>
                <w:rFonts w:ascii="Times New Roman" w:eastAsia="Times New Roman" w:hAnsi="Times New Roman" w:cs="Times New Roman"/>
                <w:sz w:val="28"/>
                <w:szCs w:val="28"/>
              </w:rPr>
              <w:t xml:space="preserve">Інформація про порядок денний, час і місце проведення засідання Конкурсної комісії оприлюднюється на офіційному </w:t>
            </w:r>
            <w:proofErr w:type="spellStart"/>
            <w:r>
              <w:rPr>
                <w:rFonts w:ascii="Times New Roman" w:eastAsia="Times New Roman" w:hAnsi="Times New Roman" w:cs="Times New Roman"/>
                <w:sz w:val="28"/>
                <w:szCs w:val="28"/>
              </w:rPr>
              <w:t>вебсайті</w:t>
            </w:r>
            <w:proofErr w:type="spellEnd"/>
            <w:r>
              <w:rPr>
                <w:rFonts w:ascii="Times New Roman" w:eastAsia="Times New Roman" w:hAnsi="Times New Roman" w:cs="Times New Roman"/>
                <w:sz w:val="28"/>
                <w:szCs w:val="28"/>
              </w:rPr>
              <w:t xml:space="preserve"> Кабінету Міністрів України не пізніш як за два робочі дні до дня проведення засідання.</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6" w:name="1ksv4uv" w:colFirst="0" w:colLast="0"/>
            <w:bookmarkEnd w:id="16"/>
            <w:r>
              <w:rPr>
                <w:rFonts w:ascii="Times New Roman" w:eastAsia="Times New Roman" w:hAnsi="Times New Roman" w:cs="Times New Roman"/>
                <w:sz w:val="28"/>
                <w:szCs w:val="28"/>
              </w:rPr>
              <w:lastRenderedPageBreak/>
              <w:t>Роботу Конкурсної комісії забезпечує Секретаріат Кабінету Міністрів України.</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7" w:name="44sinio" w:colFirst="0" w:colLast="0"/>
            <w:bookmarkEnd w:id="17"/>
            <w:r>
              <w:rPr>
                <w:rFonts w:ascii="Times New Roman" w:eastAsia="Times New Roman" w:hAnsi="Times New Roman" w:cs="Times New Roman"/>
                <w:sz w:val="28"/>
                <w:szCs w:val="28"/>
              </w:rPr>
              <w:t>Конкурсна комісія оголошує прийом документів на відкритий конкурс:</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8" w:name="2jxsxqh" w:colFirst="0" w:colLast="0"/>
            <w:bookmarkEnd w:id="18"/>
            <w:r>
              <w:rPr>
                <w:rFonts w:ascii="Times New Roman" w:eastAsia="Times New Roman" w:hAnsi="Times New Roman" w:cs="Times New Roman"/>
                <w:sz w:val="28"/>
                <w:szCs w:val="28"/>
              </w:rPr>
              <w:t>1) у разі утворення Уповноваженого органу - не пізніше 10 днів з дня затвердження не менш як чотирьох членів Конкурсної комісії;</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19" w:name="z337ya" w:colFirst="0" w:colLast="0"/>
            <w:bookmarkEnd w:id="19"/>
            <w:r>
              <w:rPr>
                <w:rFonts w:ascii="Times New Roman" w:eastAsia="Times New Roman" w:hAnsi="Times New Roman" w:cs="Times New Roman"/>
                <w:sz w:val="28"/>
                <w:szCs w:val="28"/>
              </w:rPr>
              <w:t>2) у разі закінчення строку повноважень члена (членів) Уповноваженого органу, визначеного цим Законом, - не менш як за три місяці до дня закінчення строку повноважень;</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0" w:name="3j2qqm3" w:colFirst="0" w:colLast="0"/>
            <w:bookmarkEnd w:id="20"/>
            <w:r>
              <w:rPr>
                <w:rFonts w:ascii="Times New Roman" w:eastAsia="Times New Roman" w:hAnsi="Times New Roman" w:cs="Times New Roman"/>
                <w:sz w:val="28"/>
                <w:szCs w:val="28"/>
              </w:rPr>
              <w:t>3) у разі дострокового припинення повноважень члена (членів) Уповноваженого органу відповідно до цього Закону - протягом п’яти робочих днів з дня припинення повноважень.</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1" w:name="1y810tw" w:colFirst="0" w:colLast="0"/>
            <w:bookmarkEnd w:id="21"/>
            <w:r>
              <w:rPr>
                <w:rFonts w:ascii="Times New Roman" w:eastAsia="Times New Roman" w:hAnsi="Times New Roman" w:cs="Times New Roman"/>
                <w:sz w:val="28"/>
                <w:szCs w:val="28"/>
              </w:rPr>
              <w:t xml:space="preserve">Прийом документів на відкритий конкурс здійснюється протягом 30 календарних днів з дня оголошення конкурсу. Порядок та умови проведення відкритого конкурсу затверджуються Конкурсною комісією та розміщуються на офіційному </w:t>
            </w:r>
            <w:proofErr w:type="spellStart"/>
            <w:r>
              <w:rPr>
                <w:rFonts w:ascii="Times New Roman" w:eastAsia="Times New Roman" w:hAnsi="Times New Roman" w:cs="Times New Roman"/>
                <w:sz w:val="28"/>
                <w:szCs w:val="28"/>
              </w:rPr>
              <w:t>вебсайті</w:t>
            </w:r>
            <w:proofErr w:type="spellEnd"/>
            <w:r>
              <w:rPr>
                <w:rFonts w:ascii="Times New Roman" w:eastAsia="Times New Roman" w:hAnsi="Times New Roman" w:cs="Times New Roman"/>
                <w:sz w:val="28"/>
                <w:szCs w:val="28"/>
              </w:rPr>
              <w:t xml:space="preserve"> Кабінету Міністрів України та у загальнодержавних друкованих засобах масової інформації.</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2" w:name="4i7ojhp" w:colFirst="0" w:colLast="0"/>
            <w:bookmarkEnd w:id="22"/>
            <w:r>
              <w:rPr>
                <w:rFonts w:ascii="Times New Roman" w:eastAsia="Times New Roman" w:hAnsi="Times New Roman" w:cs="Times New Roman"/>
                <w:sz w:val="28"/>
                <w:szCs w:val="28"/>
              </w:rPr>
              <w:t>Порядок та умови проведення відкритого конкурсу мають містити, зокрема:</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3" w:name="2xcytpi" w:colFirst="0" w:colLast="0"/>
            <w:bookmarkEnd w:id="23"/>
            <w:r>
              <w:rPr>
                <w:rFonts w:ascii="Times New Roman" w:eastAsia="Times New Roman" w:hAnsi="Times New Roman" w:cs="Times New Roman"/>
                <w:sz w:val="28"/>
                <w:szCs w:val="28"/>
              </w:rPr>
              <w:t xml:space="preserve">1) вимоги щодо критеріїв оцінювання професійної компетентності кандидатів, відповідно до яких Конкурсна </w:t>
            </w:r>
            <w:r>
              <w:rPr>
                <w:rFonts w:ascii="Times New Roman" w:eastAsia="Times New Roman" w:hAnsi="Times New Roman" w:cs="Times New Roman"/>
                <w:sz w:val="28"/>
                <w:szCs w:val="28"/>
              </w:rPr>
              <w:lastRenderedPageBreak/>
              <w:t>комісія складає рейтинг кандидатів на посаду члена (членів) Уповноваженого органу;</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4" w:name="1ci93xb" w:colFirst="0" w:colLast="0"/>
            <w:bookmarkEnd w:id="24"/>
            <w:r>
              <w:rPr>
                <w:rFonts w:ascii="Times New Roman" w:eastAsia="Times New Roman" w:hAnsi="Times New Roman" w:cs="Times New Roman"/>
                <w:sz w:val="28"/>
                <w:szCs w:val="28"/>
              </w:rPr>
              <w:t>2) перелік документів для подання особою, яка претендує на участь у відкритому конкурсі;</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5" w:name="3whwml4" w:colFirst="0" w:colLast="0"/>
            <w:bookmarkEnd w:id="25"/>
            <w:r>
              <w:rPr>
                <w:rFonts w:ascii="Times New Roman" w:eastAsia="Times New Roman" w:hAnsi="Times New Roman" w:cs="Times New Roman"/>
                <w:sz w:val="28"/>
                <w:szCs w:val="28"/>
              </w:rPr>
              <w:t>3) вимоги щодо забезпечення прозорості проведення конкурсу та процедури ухвалення рішення;</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6" w:name="2bn6wsx" w:colFirst="0" w:colLast="0"/>
            <w:bookmarkEnd w:id="26"/>
            <w:r>
              <w:rPr>
                <w:rFonts w:ascii="Times New Roman" w:eastAsia="Times New Roman" w:hAnsi="Times New Roman" w:cs="Times New Roman"/>
                <w:sz w:val="28"/>
                <w:szCs w:val="28"/>
              </w:rPr>
              <w:t>4) вимоги щодо зберігання матеріалів конкурсу протягом строку повноважень члена Уповноваженого органу.</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7" w:name="qsh70q" w:colFirst="0" w:colLast="0"/>
            <w:bookmarkEnd w:id="27"/>
            <w:r>
              <w:rPr>
                <w:rFonts w:ascii="Times New Roman" w:eastAsia="Times New Roman" w:hAnsi="Times New Roman" w:cs="Times New Roman"/>
                <w:sz w:val="28"/>
                <w:szCs w:val="28"/>
              </w:rPr>
              <w:t>Рішення Конкурсної комісії приймаються простою більшістю голосів її членів. У разі рівного розподілу голосів голос голови Конкурсної комісії є вирішальним.</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8" w:name="3as4poj" w:colFirst="0" w:colLast="0"/>
            <w:bookmarkEnd w:id="28"/>
            <w:r>
              <w:rPr>
                <w:rFonts w:ascii="Times New Roman" w:eastAsia="Times New Roman" w:hAnsi="Times New Roman" w:cs="Times New Roman"/>
                <w:sz w:val="28"/>
                <w:szCs w:val="28"/>
              </w:rPr>
              <w:t>За результатами проведення конкурсу Конкурсна комісія не пізніше двох робочих днів з дня прийняття рішення вносить на розгляд Кабінету Міністрів України подання щодо призначення на посаду Голови та/або члена (членів) Уповноваженого органу кандидатур, які набрали найбільшу загальну кількість балів за результатами складання загального рейтингу кандидатів, у кількості:</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29" w:name="1pxezwc" w:colFirst="0" w:colLast="0"/>
            <w:bookmarkEnd w:id="29"/>
            <w:r>
              <w:rPr>
                <w:rFonts w:ascii="Times New Roman" w:eastAsia="Times New Roman" w:hAnsi="Times New Roman" w:cs="Times New Roman"/>
                <w:sz w:val="28"/>
                <w:szCs w:val="28"/>
              </w:rPr>
              <w:t>1) на одну вакансію - два кандидати;</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0" w:name="49x2ik5" w:colFirst="0" w:colLast="0"/>
            <w:bookmarkEnd w:id="30"/>
            <w:r>
              <w:rPr>
                <w:rFonts w:ascii="Times New Roman" w:eastAsia="Times New Roman" w:hAnsi="Times New Roman" w:cs="Times New Roman"/>
                <w:sz w:val="28"/>
                <w:szCs w:val="28"/>
              </w:rPr>
              <w:t>2) на дві вакансії - три кандидати;</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1" w:name="2p2csry" w:colFirst="0" w:colLast="0"/>
            <w:bookmarkEnd w:id="31"/>
            <w:r>
              <w:rPr>
                <w:rFonts w:ascii="Times New Roman" w:eastAsia="Times New Roman" w:hAnsi="Times New Roman" w:cs="Times New Roman"/>
                <w:sz w:val="28"/>
                <w:szCs w:val="28"/>
              </w:rPr>
              <w:t>3) на три вакансії - чотири кандидати;</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2" w:name="147n2zr" w:colFirst="0" w:colLast="0"/>
            <w:bookmarkEnd w:id="32"/>
            <w:r>
              <w:rPr>
                <w:rFonts w:ascii="Times New Roman" w:eastAsia="Times New Roman" w:hAnsi="Times New Roman" w:cs="Times New Roman"/>
                <w:sz w:val="28"/>
                <w:szCs w:val="28"/>
              </w:rPr>
              <w:t>4) на чотири вакансії - шість кандидатів;</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3" w:name="3o7alnk" w:colFirst="0" w:colLast="0"/>
            <w:bookmarkEnd w:id="33"/>
            <w:r>
              <w:rPr>
                <w:rFonts w:ascii="Times New Roman" w:eastAsia="Times New Roman" w:hAnsi="Times New Roman" w:cs="Times New Roman"/>
                <w:sz w:val="28"/>
                <w:szCs w:val="28"/>
              </w:rPr>
              <w:t>5) на п’ять вакансій - сім кандидатів;</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4" w:name="23ckvvd" w:colFirst="0" w:colLast="0"/>
            <w:bookmarkEnd w:id="34"/>
            <w:r>
              <w:rPr>
                <w:rFonts w:ascii="Times New Roman" w:eastAsia="Times New Roman" w:hAnsi="Times New Roman" w:cs="Times New Roman"/>
                <w:sz w:val="28"/>
                <w:szCs w:val="28"/>
              </w:rPr>
              <w:lastRenderedPageBreak/>
              <w:t>6) на шість вакансій - вісім кандидатів;</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5" w:name="ihv636" w:colFirst="0" w:colLast="0"/>
            <w:bookmarkEnd w:id="35"/>
            <w:r>
              <w:rPr>
                <w:rFonts w:ascii="Times New Roman" w:eastAsia="Times New Roman" w:hAnsi="Times New Roman" w:cs="Times New Roman"/>
                <w:sz w:val="28"/>
                <w:szCs w:val="28"/>
              </w:rPr>
              <w:t>7) на сім вакансій - дев’ять кандидатів.</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6" w:name="32hioqz" w:colFirst="0" w:colLast="0"/>
            <w:bookmarkEnd w:id="36"/>
            <w:r>
              <w:rPr>
                <w:rFonts w:ascii="Times New Roman" w:eastAsia="Times New Roman" w:hAnsi="Times New Roman" w:cs="Times New Roman"/>
                <w:sz w:val="28"/>
                <w:szCs w:val="28"/>
              </w:rPr>
              <w:t xml:space="preserve">Конкурсна комісія оприлюднює на офіційному </w:t>
            </w:r>
            <w:proofErr w:type="spellStart"/>
            <w:r>
              <w:rPr>
                <w:rFonts w:ascii="Times New Roman" w:eastAsia="Times New Roman" w:hAnsi="Times New Roman" w:cs="Times New Roman"/>
                <w:sz w:val="28"/>
                <w:szCs w:val="28"/>
              </w:rPr>
              <w:t>вебсайті</w:t>
            </w:r>
            <w:proofErr w:type="spellEnd"/>
            <w:r>
              <w:rPr>
                <w:rFonts w:ascii="Times New Roman" w:eastAsia="Times New Roman" w:hAnsi="Times New Roman" w:cs="Times New Roman"/>
                <w:sz w:val="28"/>
                <w:szCs w:val="28"/>
              </w:rPr>
              <w:t xml:space="preserve"> Кабінету Міністрів України інформацію про кандидатів, які отримали найвищий рейтинг та подані на розгляд Кабінету Міністрів України.</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7" w:name="1hmsyys" w:colFirst="0" w:colLast="0"/>
            <w:bookmarkEnd w:id="37"/>
            <w:r>
              <w:rPr>
                <w:rFonts w:ascii="Times New Roman" w:eastAsia="Times New Roman" w:hAnsi="Times New Roman" w:cs="Times New Roman"/>
                <w:sz w:val="28"/>
                <w:szCs w:val="28"/>
              </w:rPr>
              <w:t>Кабінет Міністрів України приймає рішення про призначення на посаду Голови та/або члена (членів) Уповноваженого органу зі списку кандидатів, поданих Конкурсною комісією, протягом 10 робочих днів з дня внесення Конкурсною комісією відповідного подання.</w:t>
            </w:r>
          </w:p>
          <w:p w:rsidR="005D1F25" w:rsidRDefault="0069726E">
            <w:pPr>
              <w:widowControl w:val="0"/>
              <w:shd w:val="clear" w:color="auto" w:fill="FFFFFF"/>
              <w:spacing w:before="120" w:after="120" w:line="240" w:lineRule="auto"/>
              <w:ind w:firstLine="450"/>
              <w:jc w:val="both"/>
              <w:rPr>
                <w:rFonts w:ascii="Times New Roman" w:eastAsia="Times New Roman" w:hAnsi="Times New Roman" w:cs="Times New Roman"/>
                <w:sz w:val="28"/>
                <w:szCs w:val="28"/>
              </w:rPr>
            </w:pPr>
            <w:bookmarkStart w:id="38" w:name="41mghml" w:colFirst="0" w:colLast="0"/>
            <w:bookmarkEnd w:id="38"/>
            <w:r>
              <w:rPr>
                <w:rFonts w:ascii="Times New Roman" w:eastAsia="Times New Roman" w:hAnsi="Times New Roman" w:cs="Times New Roman"/>
                <w:sz w:val="28"/>
                <w:szCs w:val="28"/>
              </w:rPr>
              <w:t>Голова та члени Уповноваженого органу призначаються на посади розпорядженням Кабінету Міністрів України.</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5D1F25">
            <w:pPr>
              <w:widowControl w:val="0"/>
              <w:pBdr>
                <w:top w:val="nil"/>
                <w:left w:val="nil"/>
                <w:bottom w:val="nil"/>
                <w:right w:val="nil"/>
                <w:between w:val="nil"/>
              </w:pBdr>
              <w:spacing w:before="120" w:after="120" w:line="240" w:lineRule="auto"/>
              <w:ind w:firstLine="450"/>
              <w:jc w:val="both"/>
              <w:rPr>
                <w:rFonts w:ascii="Times New Roman" w:eastAsia="Times New Roman" w:hAnsi="Times New Roman" w:cs="Times New Roman"/>
                <w:b/>
                <w:color w:val="000000"/>
                <w:sz w:val="28"/>
                <w:szCs w:val="28"/>
              </w:rPr>
            </w:pPr>
            <w:bookmarkStart w:id="39" w:name="2grqrue" w:colFirst="0" w:colLast="0"/>
            <w:bookmarkEnd w:id="39"/>
          </w:p>
        </w:tc>
        <w:tc>
          <w:tcPr>
            <w:tcW w:w="7280" w:type="dxa"/>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lastRenderedPageBreak/>
              <w:t>Стаття 7.</w:t>
            </w:r>
            <w:r>
              <w:rPr>
                <w:rFonts w:ascii="Times New Roman" w:eastAsia="Times New Roman" w:hAnsi="Times New Roman" w:cs="Times New Roman"/>
                <w:color w:val="000000"/>
                <w:sz w:val="28"/>
                <w:szCs w:val="28"/>
                <w:highlight w:val="white"/>
              </w:rPr>
              <w:t> Склад та структура Уповноваженого органу</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Виключити</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p>
        </w:tc>
      </w:tr>
      <w:tr w:rsidR="005D1F25">
        <w:trPr>
          <w:trHeight w:val="699"/>
        </w:trPr>
        <w:tc>
          <w:tcPr>
            <w:tcW w:w="7280" w:type="dxa"/>
            <w:tcBorders>
              <w:bottom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lastRenderedPageBreak/>
              <w:t>Стаття 12.</w:t>
            </w:r>
            <w:r>
              <w:rPr>
                <w:rFonts w:ascii="Times New Roman" w:eastAsia="Times New Roman" w:hAnsi="Times New Roman" w:cs="Times New Roman"/>
                <w:color w:val="000000"/>
                <w:sz w:val="28"/>
                <w:szCs w:val="28"/>
                <w:highlight w:val="white"/>
              </w:rPr>
              <w:t> Державна система онлайн-моніторингу</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2. Державна система онлайн-моніторингу є об’єктом права державної власності.</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highlight w:val="white"/>
              </w:rPr>
              <w:lastRenderedPageBreak/>
              <w:t>6. Обов’язок щодо забезпечення функціонування та адміністрування Державної системи онлайн-моніторингу покладається на Уповноважений орган.</w:t>
            </w: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bookmarkStart w:id="40" w:name="vx1227" w:colFirst="0" w:colLast="0"/>
            <w:bookmarkEnd w:id="40"/>
          </w:p>
        </w:tc>
        <w:tc>
          <w:tcPr>
            <w:tcW w:w="7280" w:type="dxa"/>
            <w:tcBorders>
              <w:bottom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lastRenderedPageBreak/>
              <w:t>Стаття 12.</w:t>
            </w:r>
            <w:r>
              <w:rPr>
                <w:rFonts w:ascii="Times New Roman" w:eastAsia="Times New Roman" w:hAnsi="Times New Roman" w:cs="Times New Roman"/>
                <w:color w:val="000000"/>
                <w:sz w:val="28"/>
                <w:szCs w:val="28"/>
                <w:highlight w:val="white"/>
              </w:rPr>
              <w:t> Державна система онлайн-моніторингу</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2. Державна система онлайн-моніторингу є об’єктом права державної власності. </w:t>
            </w:r>
            <w:r>
              <w:rPr>
                <w:rFonts w:ascii="Times New Roman" w:eastAsia="Times New Roman" w:hAnsi="Times New Roman" w:cs="Times New Roman"/>
                <w:b/>
                <w:color w:val="000000"/>
                <w:sz w:val="28"/>
                <w:szCs w:val="28"/>
                <w:highlight w:val="white"/>
              </w:rPr>
              <w:t>Права інтелектуальної власності на Державну систему онлайн-моніторингу та її програмне забезпечення є державною власністю.</w:t>
            </w:r>
            <w:r>
              <w:rPr>
                <w:rFonts w:ascii="Times New Roman" w:eastAsia="Times New Roman" w:hAnsi="Times New Roman" w:cs="Times New Roman"/>
                <w:color w:val="000000"/>
                <w:sz w:val="28"/>
                <w:szCs w:val="28"/>
                <w:highlight w:val="white"/>
              </w:rPr>
              <w:t xml:space="preserve"> </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w:t>
            </w: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lastRenderedPageBreak/>
              <w:t xml:space="preserve">6 Обов’язок щодо забезпечення функціонування та адміністрування Державної системи онлайн-моніторингу покладається на Уповноважений орган. </w:t>
            </w:r>
            <w:r>
              <w:rPr>
                <w:rFonts w:ascii="Times New Roman" w:eastAsia="Times New Roman" w:hAnsi="Times New Roman" w:cs="Times New Roman"/>
                <w:b/>
                <w:color w:val="000000"/>
                <w:sz w:val="28"/>
                <w:szCs w:val="28"/>
                <w:highlight w:val="white"/>
              </w:rPr>
              <w:t>Забороняється залучення третіх осіб до адміністрування Державної системи онлайн-моніторингу.</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highlight w:val="white"/>
              </w:rPr>
              <w:t>…</w:t>
            </w: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p>
        </w:tc>
      </w:tr>
      <w:tr w:rsidR="005D1F25">
        <w:trPr>
          <w:trHeight w:val="405"/>
        </w:trPr>
        <w:tc>
          <w:tcPr>
            <w:tcW w:w="7280" w:type="dxa"/>
            <w:tcBorders>
              <w:top w:val="single" w:sz="4" w:space="0" w:color="000000"/>
              <w:bottom w:val="single" w:sz="4" w:space="0" w:color="000000"/>
            </w:tcBorders>
          </w:tcPr>
          <w:p w:rsidR="005D1F25" w:rsidRDefault="0069726E">
            <w:pPr>
              <w:widowControl w:val="0"/>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lastRenderedPageBreak/>
              <w:t>Стаття 23.</w:t>
            </w:r>
            <w:r>
              <w:rPr>
                <w:rFonts w:ascii="Times New Roman" w:eastAsia="Times New Roman" w:hAnsi="Times New Roman" w:cs="Times New Roman"/>
                <w:color w:val="000000"/>
                <w:sz w:val="28"/>
                <w:szCs w:val="28"/>
                <w:highlight w:val="white"/>
              </w:rPr>
              <w:t> Вимоги до онлайн-системи організатора азартних ігор</w:t>
            </w:r>
          </w:p>
          <w:p w:rsidR="005D1F25" w:rsidRDefault="0069726E">
            <w:pPr>
              <w:widowControl w:val="0"/>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69726E">
            <w:pPr>
              <w:widowControl w:val="0"/>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3. Онлайн-система має забезпечити прийняття ставок, захист даних від втрати, перекручення, підробки, знищення, копіювання, несанкціонованого доступу та будь-якого іншого стороннього (несанкціонованого) втручання в роботу онлайн-системи. Технічні засоби онлайн-системи організації азартних ігор, за допомогою яких надаються послуги, повинні розміщуватися </w:t>
            </w:r>
            <w:r>
              <w:rPr>
                <w:rFonts w:ascii="Times New Roman" w:eastAsia="Times New Roman" w:hAnsi="Times New Roman" w:cs="Times New Roman"/>
                <w:b/>
                <w:color w:val="000000"/>
                <w:sz w:val="28"/>
                <w:szCs w:val="28"/>
                <w:highlight w:val="white"/>
              </w:rPr>
              <w:t>виключно</w:t>
            </w:r>
            <w:r>
              <w:rPr>
                <w:rFonts w:ascii="Times New Roman" w:eastAsia="Times New Roman" w:hAnsi="Times New Roman" w:cs="Times New Roman"/>
                <w:color w:val="000000"/>
                <w:sz w:val="28"/>
                <w:szCs w:val="28"/>
                <w:highlight w:val="white"/>
              </w:rPr>
              <w:t xml:space="preserve"> на території України. Інформація в онлайн-системі повинна оброблятися виключно на території України.</w:t>
            </w:r>
          </w:p>
          <w:p w:rsidR="005D1F25" w:rsidRDefault="0069726E">
            <w:pPr>
              <w:widowControl w:val="0"/>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color w:val="000000"/>
                <w:sz w:val="28"/>
                <w:szCs w:val="28"/>
                <w:highlight w:val="white"/>
              </w:rPr>
              <w:t>…</w:t>
            </w:r>
          </w:p>
        </w:tc>
        <w:tc>
          <w:tcPr>
            <w:tcW w:w="7280" w:type="dxa"/>
            <w:tcBorders>
              <w:top w:val="single" w:sz="4" w:space="0" w:color="000000"/>
              <w:bottom w:val="single" w:sz="4" w:space="0" w:color="000000"/>
            </w:tcBorders>
          </w:tcPr>
          <w:p w:rsidR="005D1F25" w:rsidRDefault="0069726E">
            <w:pPr>
              <w:widowControl w:val="0"/>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t>Стаття 23.</w:t>
            </w:r>
            <w:r>
              <w:rPr>
                <w:rFonts w:ascii="Times New Roman" w:eastAsia="Times New Roman" w:hAnsi="Times New Roman" w:cs="Times New Roman"/>
                <w:color w:val="000000"/>
                <w:sz w:val="28"/>
                <w:szCs w:val="28"/>
                <w:highlight w:val="white"/>
              </w:rPr>
              <w:t> Вимоги до онлайн-системи організатора азартних ігор</w:t>
            </w:r>
          </w:p>
          <w:p w:rsidR="005D1F25" w:rsidRDefault="0069726E">
            <w:pPr>
              <w:widowControl w:val="0"/>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69726E">
            <w:pPr>
              <w:widowControl w:val="0"/>
              <w:shd w:val="clear" w:color="auto" w:fill="FFFFFF"/>
              <w:spacing w:after="0" w:line="240" w:lineRule="auto"/>
              <w:ind w:firstLine="45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3. Онлайн-система має забезпечити прийняття ставок, захист даних від втрати, перекручення, підробки, знищення, копіювання, несанкціонованого доступу та будь-якого іншого стороннього (несанкціонованого) втручання в роботу онлайн-системи. Технічні засоби онлайн-системи організації азартних ігор, за допомогою яких надаються послуги, повинні розміщуватися на території України. Інформація в онлайн-системі повинна оброблятися виключно на території України.</w:t>
            </w:r>
          </w:p>
          <w:p w:rsidR="005D1F25" w:rsidRDefault="005D1F25">
            <w:pPr>
              <w:widowControl w:val="0"/>
              <w:shd w:val="clear" w:color="auto" w:fill="FFFFFF"/>
              <w:spacing w:after="0" w:line="240" w:lineRule="auto"/>
              <w:ind w:firstLine="450"/>
              <w:jc w:val="both"/>
              <w:rPr>
                <w:rFonts w:ascii="Times New Roman" w:eastAsia="Times New Roman" w:hAnsi="Times New Roman" w:cs="Times New Roman"/>
                <w:sz w:val="28"/>
                <w:szCs w:val="28"/>
                <w:highlight w:val="white"/>
              </w:rPr>
            </w:pPr>
          </w:p>
          <w:p w:rsidR="005D1F25" w:rsidRDefault="0069726E">
            <w:pPr>
              <w:widowControl w:val="0"/>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color w:val="000000"/>
                <w:sz w:val="28"/>
                <w:szCs w:val="28"/>
                <w:highlight w:val="white"/>
              </w:rPr>
              <w:t>…</w:t>
            </w:r>
          </w:p>
        </w:tc>
      </w:tr>
      <w:tr w:rsidR="005D1F25">
        <w:trPr>
          <w:trHeight w:val="2790"/>
        </w:trPr>
        <w:tc>
          <w:tcPr>
            <w:tcW w:w="7280" w:type="dxa"/>
            <w:tcBorders>
              <w:top w:val="single" w:sz="4" w:space="0" w:color="000000"/>
              <w:bottom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lastRenderedPageBreak/>
              <w:t>Стаття 38.</w:t>
            </w:r>
            <w:r>
              <w:rPr>
                <w:rFonts w:ascii="Times New Roman" w:eastAsia="Times New Roman" w:hAnsi="Times New Roman" w:cs="Times New Roman"/>
                <w:color w:val="000000"/>
                <w:sz w:val="28"/>
                <w:szCs w:val="28"/>
                <w:highlight w:val="white"/>
              </w:rPr>
              <w:t> Організація та проведення азартних ігор на гральних автоматах</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 </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Частина відсутня</w:t>
            </w: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p>
          <w:p w:rsidR="005D1F25" w:rsidRDefault="005D1F25">
            <w:pPr>
              <w:widowControl w:val="0"/>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b/>
                <w:color w:val="000000"/>
                <w:sz w:val="28"/>
                <w:szCs w:val="28"/>
              </w:rPr>
            </w:pP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5D1F25">
            <w:pPr>
              <w:widowControl w:val="0"/>
              <w:pBdr>
                <w:top w:val="nil"/>
                <w:left w:val="nil"/>
                <w:bottom w:val="nil"/>
                <w:right w:val="nil"/>
                <w:between w:val="nil"/>
              </w:pBdr>
              <w:shd w:val="clear" w:color="auto" w:fill="FFFFFF"/>
              <w:spacing w:before="120" w:after="120" w:line="240" w:lineRule="auto"/>
              <w:jc w:val="both"/>
              <w:rPr>
                <w:rFonts w:ascii="Times New Roman" w:eastAsia="Times New Roman" w:hAnsi="Times New Roman" w:cs="Times New Roman"/>
                <w:b/>
                <w:color w:val="000000"/>
                <w:sz w:val="28"/>
                <w:szCs w:val="28"/>
                <w:highlight w:val="white"/>
              </w:rPr>
            </w:pPr>
          </w:p>
        </w:tc>
        <w:tc>
          <w:tcPr>
            <w:tcW w:w="7280" w:type="dxa"/>
            <w:tcBorders>
              <w:top w:val="single" w:sz="4" w:space="0" w:color="000000"/>
              <w:bottom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b/>
                <w:color w:val="000000"/>
                <w:sz w:val="28"/>
                <w:szCs w:val="28"/>
                <w:highlight w:val="white"/>
              </w:rPr>
              <w:t>Стаття 38.</w:t>
            </w:r>
            <w:r>
              <w:rPr>
                <w:rFonts w:ascii="Times New Roman" w:eastAsia="Times New Roman" w:hAnsi="Times New Roman" w:cs="Times New Roman"/>
                <w:color w:val="000000"/>
                <w:sz w:val="28"/>
                <w:szCs w:val="28"/>
                <w:highlight w:val="white"/>
              </w:rPr>
              <w:t> Організація та проведення азартних ігор на гральних автоматах</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 </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7. Обмеження встановлене абзацом третім частини 4 цієї статті не застосовується у разі якщо </w:t>
            </w:r>
            <w:r>
              <w:rPr>
                <w:rFonts w:ascii="Times New Roman" w:eastAsia="Times New Roman" w:hAnsi="Times New Roman" w:cs="Times New Roman"/>
                <w:b/>
                <w:color w:val="000000"/>
                <w:sz w:val="28"/>
                <w:szCs w:val="28"/>
                <w:highlight w:val="white"/>
              </w:rPr>
              <w:t xml:space="preserve">дошкільні заклади освіти, заклади загальної середньої освіти, позашкільної, спеціалізованої, професійної (професійно-технічної) та фахової </w:t>
            </w:r>
            <w:proofErr w:type="spellStart"/>
            <w:r>
              <w:rPr>
                <w:rFonts w:ascii="Times New Roman" w:eastAsia="Times New Roman" w:hAnsi="Times New Roman" w:cs="Times New Roman"/>
                <w:b/>
                <w:color w:val="000000"/>
                <w:sz w:val="28"/>
                <w:szCs w:val="28"/>
                <w:highlight w:val="white"/>
              </w:rPr>
              <w:t>передвищої</w:t>
            </w:r>
            <w:proofErr w:type="spellEnd"/>
            <w:r>
              <w:rPr>
                <w:rFonts w:ascii="Times New Roman" w:eastAsia="Times New Roman" w:hAnsi="Times New Roman" w:cs="Times New Roman"/>
                <w:b/>
                <w:color w:val="000000"/>
                <w:sz w:val="28"/>
                <w:szCs w:val="28"/>
                <w:highlight w:val="white"/>
              </w:rPr>
              <w:t xml:space="preserve"> освіти відкриваються після відкриття залу гральних автоматів, оператор азартних ігор в залах гральних автоматів може продовжувати діяльність в таких приміщеннях до спливу терміну дії ліцензії.</w:t>
            </w:r>
            <w:r>
              <w:rPr>
                <w:rFonts w:ascii="Times New Roman" w:eastAsia="Times New Roman" w:hAnsi="Times New Roman" w:cs="Times New Roman"/>
                <w:color w:val="000000"/>
                <w:sz w:val="28"/>
                <w:szCs w:val="28"/>
                <w:highlight w:val="white"/>
              </w:rPr>
              <w:t xml:space="preserve"> </w:t>
            </w:r>
          </w:p>
          <w:p w:rsidR="005D1F25" w:rsidRDefault="0069726E" w:rsidP="00592804">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r>
      <w:tr w:rsidR="005D1F25">
        <w:trPr>
          <w:trHeight w:val="4125"/>
        </w:trPr>
        <w:tc>
          <w:tcPr>
            <w:tcW w:w="7280" w:type="dxa"/>
            <w:tcBorders>
              <w:top w:val="single" w:sz="4" w:space="0" w:color="000000"/>
              <w:bottom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bookmarkStart w:id="41" w:name="_1v1yuxt" w:colFirst="0" w:colLast="0"/>
            <w:bookmarkEnd w:id="41"/>
            <w:r>
              <w:rPr>
                <w:rFonts w:ascii="Times New Roman" w:eastAsia="Times New Roman" w:hAnsi="Times New Roman" w:cs="Times New Roman"/>
                <w:b/>
                <w:color w:val="000000"/>
                <w:sz w:val="28"/>
                <w:szCs w:val="28"/>
              </w:rPr>
              <w:t>Стаття 56.</w:t>
            </w:r>
            <w:r>
              <w:rPr>
                <w:rFonts w:ascii="Times New Roman" w:eastAsia="Times New Roman" w:hAnsi="Times New Roman" w:cs="Times New Roman"/>
                <w:color w:val="000000"/>
                <w:sz w:val="28"/>
                <w:szCs w:val="28"/>
              </w:rPr>
              <w:t> Плата та строк дії ліцензій на провадження діяльності з організації та проведення азартних ігор в покер в мережі Інтернет</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bookmarkStart w:id="42" w:name="2u6wntf" w:colFirst="0" w:colLast="0"/>
            <w:bookmarkStart w:id="43" w:name="4f1mdlm" w:colFirst="0" w:colLast="0"/>
            <w:bookmarkEnd w:id="42"/>
            <w:bookmarkEnd w:id="43"/>
            <w:r>
              <w:rPr>
                <w:rFonts w:ascii="Times New Roman" w:eastAsia="Times New Roman" w:hAnsi="Times New Roman" w:cs="Times New Roman"/>
                <w:color w:val="000000"/>
                <w:sz w:val="28"/>
                <w:szCs w:val="28"/>
              </w:rPr>
              <w:t>…</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Плата за перший рік дії ліцензії на провадження діяльності з організації та проведення азартних ігор в покер в мережі Інтернет сплачується у строк не пізніше десяти днів з дня отримання заявником від Уповноваженого органу повідомлення про прийняття рішення про видачу ліцензії.</w:t>
            </w:r>
          </w:p>
          <w:p w:rsidR="005D1F25" w:rsidRPr="00592804" w:rsidRDefault="0069726E" w:rsidP="00592804">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tc>
        <w:tc>
          <w:tcPr>
            <w:tcW w:w="7280" w:type="dxa"/>
            <w:tcBorders>
              <w:top w:val="single" w:sz="4" w:space="0" w:color="000000"/>
              <w:bottom w:val="single" w:sz="4" w:space="0" w:color="000000"/>
            </w:tcBorders>
          </w:tcPr>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Стаття 56.</w:t>
            </w:r>
            <w:r>
              <w:rPr>
                <w:rFonts w:ascii="Times New Roman" w:eastAsia="Times New Roman" w:hAnsi="Times New Roman" w:cs="Times New Roman"/>
                <w:color w:val="000000"/>
                <w:sz w:val="28"/>
                <w:szCs w:val="28"/>
              </w:rPr>
              <w:t> Плата та строк дії ліцензій на провадження діяльності з організації та проведення азартних ігор в покер в мережі Інтернет</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Виключити</w:t>
            </w:r>
          </w:p>
          <w:p w:rsidR="005D1F25" w:rsidRDefault="0069726E">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
          <w:p w:rsidR="005D1F25" w:rsidRDefault="005D1F25">
            <w:pPr>
              <w:widowControl w:val="0"/>
              <w:pBdr>
                <w:top w:val="nil"/>
                <w:left w:val="nil"/>
                <w:bottom w:val="nil"/>
                <w:right w:val="nil"/>
                <w:between w:val="nil"/>
              </w:pBdr>
              <w:shd w:val="clear" w:color="auto" w:fill="FFFFFF"/>
              <w:spacing w:before="120" w:after="120" w:line="240" w:lineRule="auto"/>
              <w:ind w:firstLine="450"/>
              <w:jc w:val="both"/>
              <w:rPr>
                <w:rFonts w:ascii="Times New Roman" w:eastAsia="Times New Roman" w:hAnsi="Times New Roman" w:cs="Times New Roman"/>
                <w:b/>
                <w:color w:val="000000"/>
                <w:sz w:val="28"/>
                <w:szCs w:val="28"/>
                <w:highlight w:val="white"/>
              </w:rPr>
            </w:pPr>
          </w:p>
        </w:tc>
      </w:tr>
      <w:tr w:rsidR="005D1F25">
        <w:trPr>
          <w:trHeight w:val="444"/>
        </w:trPr>
        <w:tc>
          <w:tcPr>
            <w:tcW w:w="7280" w:type="dxa"/>
            <w:tcBorders>
              <w:top w:val="single" w:sz="4" w:space="0" w:color="000000"/>
            </w:tcBorders>
          </w:tcPr>
          <w:p w:rsidR="005D1F25" w:rsidRDefault="0069726E">
            <w:pPr>
              <w:widowControl w:val="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РОЗДІЛ XI</w:t>
            </w:r>
          </w:p>
          <w:p w:rsidR="005D1F25" w:rsidRDefault="0069726E">
            <w:pPr>
              <w:widowControl w:val="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ПРИКІНЦЕВІ ТА ПЕРЕХІДНІ ПОЛОЖЕННЯ</w:t>
            </w:r>
          </w:p>
          <w:p w:rsidR="005D1F25" w:rsidRDefault="0069726E">
            <w:pPr>
              <w:widowControl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Цей Закон набирає чинності з дня, наступного за днем його опублікування, крім:</w:t>
            </w:r>
          </w:p>
          <w:p w:rsidR="005D1F25" w:rsidRDefault="0069726E">
            <w:pPr>
              <w:widowControl w:val="0"/>
              <w:pBdr>
                <w:top w:val="nil"/>
                <w:left w:val="nil"/>
                <w:bottom w:val="nil"/>
                <w:right w:val="nil"/>
                <w:between w:val="nil"/>
              </w:pBdr>
              <w:shd w:val="clear" w:color="auto" w:fill="FFFFFF"/>
              <w:spacing w:before="28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color w:val="000000"/>
                <w:sz w:val="28"/>
                <w:szCs w:val="28"/>
              </w:rPr>
              <w:t>абзацу другого частини першої та пункту 5 частини сьомої статті 2, пунктів 14, 15, 28 частини першої статті 8, пунктів 9 та 23 частини першої статті 15, частини першої, другої, п’ятої, сьомої, одинадцятої, тринадцятої, шістнадцятої, сімнадцятої статті, 22, частини четвертої статті 23, частини третьої статті 27, пункту 5 частини п’ятої статті 36, пункту 6 частини третьої статті 37, абзацу першого частини четвертої та абзацу першого частини шостої статті 46, пунктів 1, 2 частини четвертої статті 58, які набирають чинності після встановлення Уповноваженим органом переліку компаній (установ, лабораторій), які проводять сертифікацію грального обладнання, що підлягає сертифікації, та сертифікатів, які автоматично визнаються в Україні, але не пізніше 1 січня 2021 року;</w:t>
            </w:r>
          </w:p>
        </w:tc>
        <w:tc>
          <w:tcPr>
            <w:tcW w:w="7280" w:type="dxa"/>
            <w:tcBorders>
              <w:top w:val="single" w:sz="4" w:space="0" w:color="000000"/>
            </w:tcBorders>
          </w:tcPr>
          <w:p w:rsidR="005D1F25" w:rsidRDefault="0069726E">
            <w:pPr>
              <w:widowControl w:val="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РОЗДІЛ XI</w:t>
            </w:r>
          </w:p>
          <w:p w:rsidR="005D1F25" w:rsidRDefault="0069726E">
            <w:pPr>
              <w:widowControl w:val="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ПРИКІНЦЕВІ ТА ПЕРЕХІДНІ ПОЛОЖЕННЯ</w:t>
            </w:r>
          </w:p>
          <w:p w:rsidR="005D1F25" w:rsidRDefault="0069726E">
            <w:pPr>
              <w:widowControl w:val="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Цей Закон набирає чинності з дня, наступного за днем його опублікування, крім:</w:t>
            </w:r>
          </w:p>
          <w:p w:rsidR="005D1F25" w:rsidRDefault="0069726E">
            <w:pPr>
              <w:widowControl w:val="0"/>
              <w:pBdr>
                <w:top w:val="nil"/>
                <w:left w:val="nil"/>
                <w:bottom w:val="nil"/>
                <w:right w:val="nil"/>
                <w:between w:val="nil"/>
              </w:pBdr>
              <w:shd w:val="clear" w:color="auto" w:fill="FFFFFF"/>
              <w:spacing w:before="280" w:line="240" w:lineRule="auto"/>
              <w:ind w:firstLine="45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Абзацу сьомого частини першої  та пункту 5 частини шостої статті 2, пунктів</w:t>
            </w:r>
            <w:r>
              <w:rPr>
                <w:rFonts w:ascii="Times New Roman" w:eastAsia="Times New Roman" w:hAnsi="Times New Roman" w:cs="Times New Roman"/>
                <w:color w:val="000000"/>
                <w:sz w:val="28"/>
                <w:szCs w:val="28"/>
              </w:rPr>
              <w:t xml:space="preserve"> 14, 15, 28 частини першої статті 8, пунктів 9 та 23 частини першої статті 15, частини першої, другої, п’ятої, сьомої, одинадцятої, тринадцятої, шістнадцятої, сімнадцятої статті, 22, частини четвертої статті 23, частини третьої статті 27, пункту 5 частини п’ятої статті 36, пункту 6 частини третьої статті 37, </w:t>
            </w:r>
            <w:r>
              <w:rPr>
                <w:rFonts w:ascii="Times New Roman" w:eastAsia="Times New Roman" w:hAnsi="Times New Roman" w:cs="Times New Roman"/>
                <w:b/>
                <w:color w:val="000000"/>
                <w:sz w:val="28"/>
                <w:szCs w:val="28"/>
              </w:rPr>
              <w:t>частина четверта статті 46, пункт перший частини шостої статті 46,</w:t>
            </w:r>
            <w:r>
              <w:rPr>
                <w:rFonts w:ascii="Times New Roman" w:eastAsia="Times New Roman" w:hAnsi="Times New Roman" w:cs="Times New Roman"/>
                <w:color w:val="000000"/>
                <w:sz w:val="28"/>
                <w:szCs w:val="28"/>
              </w:rPr>
              <w:t xml:space="preserve"> пунктів 1, 2 частини четвертої статті 58, які набирають чинності після встановлення Уповноваженим органом переліку компаній (установ, лабораторій), які проводять сертифікацію грального обладнання, що підлягає сертифікації, та сертифікатів, які автоматично визнаються в Україні, але не пізніше 1 січня </w:t>
            </w:r>
            <w:r>
              <w:rPr>
                <w:rFonts w:ascii="Times New Roman" w:eastAsia="Times New Roman" w:hAnsi="Times New Roman" w:cs="Times New Roman"/>
                <w:b/>
                <w:color w:val="000000"/>
                <w:sz w:val="28"/>
                <w:szCs w:val="28"/>
              </w:rPr>
              <w:t>2022 року</w:t>
            </w:r>
            <w:r>
              <w:rPr>
                <w:rFonts w:ascii="Times New Roman" w:eastAsia="Times New Roman" w:hAnsi="Times New Roman" w:cs="Times New Roman"/>
                <w:color w:val="000000"/>
                <w:sz w:val="28"/>
                <w:szCs w:val="28"/>
              </w:rPr>
              <w:t>;</w:t>
            </w:r>
          </w:p>
        </w:tc>
      </w:tr>
    </w:tbl>
    <w:p w:rsidR="005D1F25" w:rsidRDefault="005D1F25">
      <w:pPr>
        <w:spacing w:before="120" w:after="120" w:line="240" w:lineRule="auto"/>
        <w:rPr>
          <w:rFonts w:ascii="Times New Roman" w:eastAsia="Times New Roman" w:hAnsi="Times New Roman" w:cs="Times New Roman"/>
          <w:b/>
          <w:sz w:val="28"/>
          <w:szCs w:val="28"/>
        </w:rPr>
      </w:pPr>
    </w:p>
    <w:p w:rsidR="005D1F25" w:rsidRDefault="005C681A">
      <w:pPr>
        <w:spacing w:before="120" w:after="120" w:line="240" w:lineRule="auto"/>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t xml:space="preserve">Народні депутати України </w:t>
      </w:r>
      <w:r w:rsidR="0069726E">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003A1DC4">
        <w:rPr>
          <w:rFonts w:ascii="Times New Roman" w:eastAsia="Times New Roman" w:hAnsi="Times New Roman" w:cs="Times New Roman"/>
          <w:b/>
          <w:sz w:val="28"/>
          <w:szCs w:val="28"/>
        </w:rPr>
        <w:t xml:space="preserve"> </w:t>
      </w:r>
      <w:r w:rsidR="0069726E">
        <w:rPr>
          <w:rFonts w:ascii="Times New Roman" w:eastAsia="Times New Roman" w:hAnsi="Times New Roman" w:cs="Times New Roman"/>
          <w:b/>
          <w:sz w:val="28"/>
          <w:szCs w:val="28"/>
        </w:rPr>
        <w:t>МАРУСЯК</w:t>
      </w:r>
      <w:r w:rsidR="003A1DC4" w:rsidRPr="003A1DC4">
        <w:rPr>
          <w:rFonts w:ascii="Times New Roman" w:eastAsia="Times New Roman" w:hAnsi="Times New Roman" w:cs="Times New Roman"/>
          <w:b/>
          <w:sz w:val="28"/>
          <w:szCs w:val="28"/>
          <w:lang w:val="ru-RU"/>
        </w:rPr>
        <w:t xml:space="preserve"> </w:t>
      </w:r>
      <w:r w:rsidR="004554D5" w:rsidRPr="004554D5">
        <w:rPr>
          <w:rFonts w:ascii="Times New Roman" w:eastAsia="Times New Roman" w:hAnsi="Times New Roman" w:cs="Times New Roman"/>
          <w:b/>
          <w:sz w:val="28"/>
          <w:szCs w:val="28"/>
          <w:lang w:val="ru-RU"/>
        </w:rPr>
        <w:t xml:space="preserve"> </w:t>
      </w:r>
      <w:r w:rsidR="004554D5">
        <w:rPr>
          <w:rFonts w:ascii="Times New Roman" w:eastAsia="Times New Roman" w:hAnsi="Times New Roman" w:cs="Times New Roman"/>
          <w:b/>
          <w:sz w:val="28"/>
          <w:szCs w:val="28"/>
          <w:lang w:val="ru-RU"/>
        </w:rPr>
        <w:t xml:space="preserve">О.Р. </w:t>
      </w:r>
      <w:r w:rsidR="003A1DC4">
        <w:rPr>
          <w:rFonts w:ascii="Times New Roman" w:eastAsia="Times New Roman" w:hAnsi="Times New Roman" w:cs="Times New Roman"/>
          <w:b/>
          <w:sz w:val="28"/>
          <w:szCs w:val="28"/>
          <w:lang w:val="ru-RU"/>
        </w:rPr>
        <w:t xml:space="preserve"> </w:t>
      </w:r>
      <w:r>
        <w:rPr>
          <w:rFonts w:ascii="Times New Roman" w:eastAsia="Times New Roman" w:hAnsi="Times New Roman" w:cs="Times New Roman"/>
          <w:b/>
          <w:sz w:val="28"/>
          <w:szCs w:val="28"/>
          <w:lang w:val="ru-RU"/>
        </w:rPr>
        <w:t xml:space="preserve"> та </w:t>
      </w:r>
      <w:proofErr w:type="spellStart"/>
      <w:r>
        <w:rPr>
          <w:rFonts w:ascii="Times New Roman" w:eastAsia="Times New Roman" w:hAnsi="Times New Roman" w:cs="Times New Roman"/>
          <w:b/>
          <w:sz w:val="28"/>
          <w:szCs w:val="28"/>
          <w:lang w:val="ru-RU"/>
        </w:rPr>
        <w:t>інші</w:t>
      </w:r>
      <w:proofErr w:type="spellEnd"/>
    </w:p>
    <w:p w:rsidR="005D1F25" w:rsidRDefault="005D1F25">
      <w:pPr>
        <w:tabs>
          <w:tab w:val="left" w:pos="2478"/>
        </w:tabs>
        <w:spacing w:before="120" w:after="120" w:line="240" w:lineRule="auto"/>
        <w:rPr>
          <w:rFonts w:ascii="Times New Roman" w:eastAsia="Times New Roman" w:hAnsi="Times New Roman" w:cs="Times New Roman"/>
          <w:sz w:val="28"/>
          <w:szCs w:val="28"/>
        </w:rPr>
      </w:pPr>
    </w:p>
    <w:sectPr w:rsidR="005D1F25">
      <w:headerReference w:type="default" r:id="rId9"/>
      <w:pgSz w:w="16838" w:h="11906" w:orient="landscape"/>
      <w:pgMar w:top="1701" w:right="1134" w:bottom="850" w:left="1134"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374" w:rsidRDefault="006B1374">
      <w:pPr>
        <w:spacing w:after="0" w:line="240" w:lineRule="auto"/>
      </w:pPr>
      <w:r>
        <w:separator/>
      </w:r>
    </w:p>
  </w:endnote>
  <w:endnote w:type="continuationSeparator" w:id="0">
    <w:p w:rsidR="006B1374" w:rsidRDefault="006B1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374" w:rsidRDefault="006B1374">
      <w:pPr>
        <w:spacing w:after="0" w:line="240" w:lineRule="auto"/>
      </w:pPr>
      <w:r>
        <w:separator/>
      </w:r>
    </w:p>
  </w:footnote>
  <w:footnote w:type="continuationSeparator" w:id="0">
    <w:p w:rsidR="006B1374" w:rsidRDefault="006B1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F25" w:rsidRDefault="0069726E">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A730F">
      <w:rPr>
        <w:rFonts w:ascii="Times New Roman" w:eastAsia="Times New Roman" w:hAnsi="Times New Roman" w:cs="Times New Roman"/>
        <w:noProof/>
        <w:color w:val="000000"/>
        <w:sz w:val="24"/>
        <w:szCs w:val="24"/>
      </w:rPr>
      <w:t>9</w:t>
    </w:r>
    <w:r>
      <w:rPr>
        <w:rFonts w:ascii="Times New Roman" w:eastAsia="Times New Roman" w:hAnsi="Times New Roman" w:cs="Times New Roman"/>
        <w:color w:val="000000"/>
        <w:sz w:val="24"/>
        <w:szCs w:val="24"/>
      </w:rPr>
      <w:fldChar w:fldCharType="end"/>
    </w:r>
  </w:p>
  <w:p w:rsidR="005D1F25" w:rsidRDefault="005D1F25">
    <w:pPr>
      <w:pBdr>
        <w:top w:val="nil"/>
        <w:left w:val="nil"/>
        <w:bottom w:val="nil"/>
        <w:right w:val="nil"/>
        <w:between w:val="nil"/>
      </w:pBdr>
      <w:tabs>
        <w:tab w:val="center" w:pos="4819"/>
        <w:tab w:val="right" w:pos="9639"/>
      </w:tabs>
      <w:spacing w:after="0" w:line="240" w:lineRule="auto"/>
      <w:rPr>
        <w:rFonts w:ascii="Times New Roman" w:eastAsia="Times New Roman" w:hAnsi="Times New Roman" w:cs="Times New Roman"/>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F25"/>
    <w:rsid w:val="00287054"/>
    <w:rsid w:val="002C185C"/>
    <w:rsid w:val="003A1DC4"/>
    <w:rsid w:val="004554D5"/>
    <w:rsid w:val="00592804"/>
    <w:rsid w:val="005C681A"/>
    <w:rsid w:val="005D1F25"/>
    <w:rsid w:val="0069726E"/>
    <w:rsid w:val="006A730F"/>
    <w:rsid w:val="006B1374"/>
    <w:rsid w:val="006C3A21"/>
    <w:rsid w:val="00F06A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EA0DC7-BB8B-4574-B03F-268C20341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160" w:after="60" w:line="240" w:lineRule="auto"/>
      <w:ind w:left="1988"/>
      <w:outlineLvl w:val="2"/>
    </w:pPr>
    <w:rPr>
      <w:rFonts w:ascii="Times New Roman" w:eastAsia="Times New Roman" w:hAnsi="Times New Roman" w:cs="Times New Roman"/>
      <w:b/>
      <w:i/>
      <w:sz w:val="26"/>
      <w:szCs w:val="26"/>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spacing w:after="0" w:line="240" w:lineRule="auto"/>
      <w:jc w:val="center"/>
    </w:pPr>
    <w:rPr>
      <w:rFonts w:ascii="Times New Roman" w:eastAsia="Times New Roman" w:hAnsi="Times New Roman" w:cs="Times New Roman"/>
      <w:b/>
      <w:sz w:val="28"/>
      <w:szCs w:val="28"/>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9DED0-21EC-4B65-AC41-EC2EA5E4CDB7}">
  <ds:schemaRefs>
    <ds:schemaRef ds:uri="http://schemas.microsoft.com/sharepoint/v3/contenttype/forms"/>
  </ds:schemaRefs>
</ds:datastoreItem>
</file>

<file path=customXml/itemProps2.xml><?xml version="1.0" encoding="utf-8"?>
<ds:datastoreItem xmlns:ds="http://schemas.openxmlformats.org/officeDocument/2006/customXml" ds:itemID="{A8395618-21F0-4F62-8F53-32E431530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20A962-7DAF-448B-BFAF-B47534B264C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7247</Words>
  <Characters>4131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2021-03-24T11:57:00Z</dcterms:created>
  <dcterms:modified xsi:type="dcterms:W3CDTF">2021-03-24T11:57:00Z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