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AA2C85" w14:textId="77777777" w:rsidR="004F79BC" w:rsidRPr="00691109" w:rsidRDefault="004F79BC" w:rsidP="005D6E7F">
      <w:pPr>
        <w:spacing w:after="120" w:line="240" w:lineRule="auto"/>
        <w:jc w:val="right"/>
        <w:rPr>
          <w:rFonts w:ascii="Times New Roman" w:hAnsi="Times New Roman" w:cs="Times New Roman"/>
          <w:b/>
          <w:bCs/>
          <w:sz w:val="28"/>
          <w:szCs w:val="28"/>
        </w:rPr>
      </w:pPr>
      <w:bookmarkStart w:id="0" w:name="_GoBack"/>
      <w:bookmarkEnd w:id="0"/>
      <w:r w:rsidRPr="00691109">
        <w:rPr>
          <w:rFonts w:ascii="Times New Roman" w:hAnsi="Times New Roman" w:cs="Times New Roman"/>
          <w:b/>
          <w:bCs/>
          <w:sz w:val="28"/>
          <w:szCs w:val="28"/>
        </w:rPr>
        <w:t xml:space="preserve">Проект </w:t>
      </w:r>
    </w:p>
    <w:p w14:paraId="687AA642" w14:textId="77777777" w:rsidR="004F79BC" w:rsidRPr="00691109" w:rsidRDefault="004F79BC" w:rsidP="005D6E7F">
      <w:pPr>
        <w:spacing w:after="120" w:line="240" w:lineRule="auto"/>
        <w:jc w:val="right"/>
        <w:rPr>
          <w:rFonts w:ascii="Times New Roman" w:hAnsi="Times New Roman" w:cs="Times New Roman"/>
          <w:b/>
          <w:sz w:val="28"/>
          <w:szCs w:val="28"/>
        </w:rPr>
      </w:pPr>
      <w:r w:rsidRPr="00691109">
        <w:rPr>
          <w:rFonts w:ascii="Times New Roman" w:hAnsi="Times New Roman" w:cs="Times New Roman"/>
          <w:b/>
          <w:sz w:val="28"/>
          <w:szCs w:val="28"/>
        </w:rPr>
        <w:t xml:space="preserve">вноситься </w:t>
      </w:r>
    </w:p>
    <w:p w14:paraId="444917CE" w14:textId="77777777" w:rsidR="004F79BC" w:rsidRPr="00691109" w:rsidRDefault="004F79BC" w:rsidP="005D6E7F">
      <w:pPr>
        <w:spacing w:after="120" w:line="240" w:lineRule="auto"/>
        <w:jc w:val="right"/>
        <w:rPr>
          <w:rFonts w:ascii="Times New Roman" w:hAnsi="Times New Roman" w:cs="Times New Roman"/>
          <w:b/>
          <w:sz w:val="28"/>
          <w:szCs w:val="28"/>
        </w:rPr>
      </w:pPr>
      <w:r w:rsidRPr="00691109">
        <w:rPr>
          <w:rFonts w:ascii="Times New Roman" w:hAnsi="Times New Roman" w:cs="Times New Roman"/>
          <w:b/>
          <w:sz w:val="28"/>
          <w:szCs w:val="28"/>
        </w:rPr>
        <w:t>народними депутатами України</w:t>
      </w:r>
    </w:p>
    <w:p w14:paraId="215BDDB4" w14:textId="66DA2DA2" w:rsidR="00691109" w:rsidRPr="00691109" w:rsidRDefault="00691109" w:rsidP="005D6E7F">
      <w:pPr>
        <w:spacing w:after="120" w:line="240" w:lineRule="auto"/>
        <w:jc w:val="right"/>
        <w:rPr>
          <w:rFonts w:ascii="Times New Roman" w:hAnsi="Times New Roman" w:cs="Times New Roman"/>
          <w:b/>
          <w:sz w:val="28"/>
          <w:szCs w:val="28"/>
        </w:rPr>
      </w:pPr>
      <w:r w:rsidRPr="00691109">
        <w:rPr>
          <w:rFonts w:ascii="Times New Roman" w:hAnsi="Times New Roman" w:cs="Times New Roman"/>
          <w:b/>
          <w:sz w:val="28"/>
          <w:szCs w:val="28"/>
        </w:rPr>
        <w:t xml:space="preserve">Білозір Л.М. та ін. </w:t>
      </w:r>
    </w:p>
    <w:p w14:paraId="12A13287" w14:textId="5F03A88F" w:rsidR="004F79BC" w:rsidRDefault="004F79BC" w:rsidP="005D6E7F">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14:paraId="26AC2A85" w14:textId="77777777" w:rsidR="004F79BC" w:rsidRDefault="004F79BC" w:rsidP="005D6E7F">
      <w:pPr>
        <w:spacing w:after="120" w:line="240" w:lineRule="auto"/>
        <w:jc w:val="both"/>
        <w:rPr>
          <w:rFonts w:ascii="Times New Roman" w:hAnsi="Times New Roman" w:cs="Times New Roman"/>
          <w:sz w:val="28"/>
          <w:szCs w:val="28"/>
        </w:rPr>
      </w:pPr>
    </w:p>
    <w:p w14:paraId="35E7FDCB" w14:textId="77777777" w:rsidR="004F79BC" w:rsidRDefault="004F79BC" w:rsidP="005D6E7F">
      <w:pPr>
        <w:spacing w:after="120" w:line="240" w:lineRule="auto"/>
        <w:jc w:val="both"/>
        <w:rPr>
          <w:rFonts w:ascii="Times New Roman" w:hAnsi="Times New Roman" w:cs="Times New Roman"/>
          <w:sz w:val="28"/>
          <w:szCs w:val="28"/>
        </w:rPr>
      </w:pPr>
    </w:p>
    <w:p w14:paraId="2000278B" w14:textId="77777777" w:rsidR="004F79BC" w:rsidRDefault="004F79BC" w:rsidP="005D6E7F">
      <w:pPr>
        <w:spacing w:after="120" w:line="240" w:lineRule="auto"/>
        <w:jc w:val="both"/>
        <w:rPr>
          <w:rFonts w:ascii="Times New Roman" w:hAnsi="Times New Roman" w:cs="Times New Roman"/>
          <w:sz w:val="28"/>
          <w:szCs w:val="28"/>
        </w:rPr>
      </w:pPr>
    </w:p>
    <w:p w14:paraId="40F9CE52" w14:textId="77777777" w:rsidR="004F79BC" w:rsidRDefault="004F79BC" w:rsidP="005D6E7F">
      <w:pPr>
        <w:spacing w:after="120" w:line="240" w:lineRule="auto"/>
        <w:jc w:val="both"/>
        <w:rPr>
          <w:rFonts w:ascii="Times New Roman" w:hAnsi="Times New Roman" w:cs="Times New Roman"/>
          <w:sz w:val="28"/>
          <w:szCs w:val="28"/>
        </w:rPr>
      </w:pPr>
    </w:p>
    <w:p w14:paraId="4A6CFCED" w14:textId="77777777" w:rsidR="004F79BC" w:rsidRDefault="004F79BC" w:rsidP="005D6E7F">
      <w:pPr>
        <w:spacing w:after="120" w:line="240" w:lineRule="auto"/>
        <w:jc w:val="center"/>
        <w:rPr>
          <w:rFonts w:ascii="Times New Roman" w:hAnsi="Times New Roman" w:cs="Times New Roman"/>
          <w:b/>
          <w:bCs/>
          <w:sz w:val="28"/>
          <w:szCs w:val="28"/>
        </w:rPr>
      </w:pPr>
      <w:r>
        <w:rPr>
          <w:rFonts w:ascii="Times New Roman" w:hAnsi="Times New Roman" w:cs="Times New Roman"/>
          <w:b/>
          <w:bCs/>
          <w:sz w:val="28"/>
          <w:szCs w:val="28"/>
        </w:rPr>
        <w:t>З А К О Н   У К Р А Ї Н И</w:t>
      </w:r>
    </w:p>
    <w:p w14:paraId="522FE178" w14:textId="77777777" w:rsidR="004F79BC" w:rsidRDefault="004F79BC" w:rsidP="005D6E7F">
      <w:pPr>
        <w:spacing w:after="120" w:line="240" w:lineRule="auto"/>
        <w:jc w:val="both"/>
        <w:rPr>
          <w:rFonts w:ascii="Times New Roman" w:hAnsi="Times New Roman" w:cs="Times New Roman"/>
          <w:b/>
          <w:bCs/>
          <w:sz w:val="28"/>
          <w:szCs w:val="28"/>
        </w:rPr>
      </w:pPr>
    </w:p>
    <w:p w14:paraId="4A24ACAB" w14:textId="19AAAEBA" w:rsidR="004F79BC" w:rsidRDefault="005D6E7F" w:rsidP="005D6E7F">
      <w:pPr>
        <w:spacing w:after="120" w:line="240" w:lineRule="auto"/>
        <w:jc w:val="center"/>
        <w:rPr>
          <w:rFonts w:ascii="Times New Roman" w:hAnsi="Times New Roman" w:cs="Times New Roman"/>
          <w:b/>
          <w:bCs/>
          <w:sz w:val="28"/>
          <w:szCs w:val="28"/>
        </w:rPr>
      </w:pPr>
      <w:r w:rsidRPr="005D6E7F">
        <w:rPr>
          <w:rFonts w:ascii="Times New Roman" w:hAnsi="Times New Roman" w:cs="Times New Roman"/>
          <w:b/>
          <w:bCs/>
          <w:sz w:val="28"/>
          <w:szCs w:val="28"/>
        </w:rPr>
        <w:t>Про внесення змін до Податкового кодексу України щодо сплати (перерахування) податку на доходи фізичних осіб за фактичним місцем здійснення діяльності фізичними особами</w:t>
      </w:r>
    </w:p>
    <w:p w14:paraId="51F0B990" w14:textId="1B0B9D89" w:rsidR="005D6E7F" w:rsidRDefault="005D6E7F" w:rsidP="005D6E7F">
      <w:pPr>
        <w:spacing w:after="120" w:line="240" w:lineRule="auto"/>
        <w:jc w:val="both"/>
        <w:rPr>
          <w:rFonts w:ascii="Times New Roman" w:hAnsi="Times New Roman" w:cs="Times New Roman"/>
          <w:sz w:val="28"/>
          <w:szCs w:val="28"/>
        </w:rPr>
      </w:pPr>
    </w:p>
    <w:p w14:paraId="27A74A8B" w14:textId="77777777" w:rsidR="005D6E7F" w:rsidRDefault="005D6E7F" w:rsidP="005D6E7F">
      <w:pPr>
        <w:spacing w:after="120" w:line="240" w:lineRule="auto"/>
        <w:jc w:val="both"/>
        <w:rPr>
          <w:rFonts w:ascii="Times New Roman" w:hAnsi="Times New Roman" w:cs="Times New Roman"/>
          <w:sz w:val="28"/>
          <w:szCs w:val="28"/>
        </w:rPr>
      </w:pPr>
    </w:p>
    <w:p w14:paraId="4992CAF0" w14:textId="77777777" w:rsidR="004F79BC" w:rsidRDefault="004F79BC"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Верховна Рада України </w:t>
      </w:r>
      <w:r w:rsidRPr="005D6E7F">
        <w:rPr>
          <w:rFonts w:ascii="Times New Roman" w:hAnsi="Times New Roman" w:cs="Times New Roman"/>
          <w:b/>
          <w:sz w:val="28"/>
          <w:szCs w:val="28"/>
        </w:rPr>
        <w:t>п о с т а н о в л я є</w:t>
      </w:r>
      <w:r>
        <w:rPr>
          <w:rFonts w:ascii="Times New Roman" w:hAnsi="Times New Roman" w:cs="Times New Roman"/>
          <w:sz w:val="28"/>
          <w:szCs w:val="28"/>
        </w:rPr>
        <w:t>:</w:t>
      </w:r>
    </w:p>
    <w:p w14:paraId="1F803FEB" w14:textId="77777777" w:rsidR="004F79BC" w:rsidRDefault="004F79BC" w:rsidP="005D6E7F">
      <w:pPr>
        <w:spacing w:after="120" w:line="240" w:lineRule="auto"/>
        <w:jc w:val="both"/>
        <w:rPr>
          <w:rFonts w:ascii="Times New Roman" w:hAnsi="Times New Roman" w:cs="Times New Roman"/>
          <w:sz w:val="28"/>
          <w:szCs w:val="28"/>
        </w:rPr>
      </w:pPr>
    </w:p>
    <w:p w14:paraId="1620CEF9" w14:textId="77777777" w:rsidR="004F79BC" w:rsidRDefault="004F79BC"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І. Внести до Податкового кодексу України (Відомості Верховної Ради України, 2011 р., №№ 13-17, ст. 112)  такі зміни:</w:t>
      </w:r>
    </w:p>
    <w:p w14:paraId="31FACA49" w14:textId="77777777" w:rsidR="005D6E7F" w:rsidRDefault="004F79BC"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1. Підпункт 14.1.30 пункту 14.1 статті 14 викласти в такій редакції:</w:t>
      </w:r>
    </w:p>
    <w:p w14:paraId="6CF67BE1" w14:textId="3B6AF9B8" w:rsidR="004F79BC" w:rsidRDefault="005D6E7F"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D6E7F">
        <w:rPr>
          <w:rFonts w:ascii="Times New Roman" w:hAnsi="Times New Roman" w:cs="Times New Roman"/>
          <w:sz w:val="28"/>
          <w:szCs w:val="28"/>
        </w:rPr>
        <w:t>14.1.30. відокремлені підрозділи - у значенні, визначеному Цивільним кодексом України. Для розділу IV цього Кодексу відокремлені підрозділи – розташовані поза місцезнаходженням юридичної особи (у тому числі на території іншої територіальної громади) структурні підрозділи, в тому числі філії, відділення такої юридичної особи, а також інші структурні підрозділи такої юридичної особи (виробництво, цех, дільниця, бригада, бюро, лабораторія, управління, відділ, служба тощо), які не мають банківських рахунків, не ведуть окремого бухгалтерського обліку своєї діяльності, не складають окремого балансу, на яких використовується праця фізичних осіб на підставі трудових та/або цивільно-правових договорів</w:t>
      </w:r>
      <w:r>
        <w:rPr>
          <w:rFonts w:ascii="Times New Roman" w:hAnsi="Times New Roman" w:cs="Times New Roman"/>
          <w:sz w:val="28"/>
          <w:szCs w:val="28"/>
        </w:rPr>
        <w:t>"</w:t>
      </w:r>
      <w:r w:rsidR="004F79BC">
        <w:rPr>
          <w:rFonts w:ascii="Times New Roman" w:hAnsi="Times New Roman" w:cs="Times New Roman"/>
          <w:sz w:val="28"/>
          <w:szCs w:val="28"/>
        </w:rPr>
        <w:t>.</w:t>
      </w:r>
    </w:p>
    <w:p w14:paraId="3161CEA6" w14:textId="77777777" w:rsidR="004F79BC" w:rsidRDefault="004F79BC"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2. У статті 168:</w:t>
      </w:r>
    </w:p>
    <w:p w14:paraId="10417480" w14:textId="2BDE02FF" w:rsidR="004F79BC" w:rsidRDefault="004F79BC"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1)  у першому та другому реченнях підпункту 168.1.2 пункту 168.1  слова </w:t>
      </w:r>
      <w:r w:rsidR="005D6E7F">
        <w:rPr>
          <w:rFonts w:ascii="Times New Roman" w:hAnsi="Times New Roman" w:cs="Times New Roman"/>
          <w:sz w:val="28"/>
          <w:szCs w:val="28"/>
        </w:rPr>
        <w:t>"</w:t>
      </w:r>
      <w:r>
        <w:rPr>
          <w:rFonts w:ascii="Times New Roman" w:hAnsi="Times New Roman" w:cs="Times New Roman"/>
          <w:sz w:val="28"/>
          <w:szCs w:val="28"/>
        </w:rPr>
        <w:t>до бюджету</w:t>
      </w:r>
      <w:r w:rsidR="005D6E7F">
        <w:rPr>
          <w:rFonts w:ascii="Times New Roman" w:hAnsi="Times New Roman" w:cs="Times New Roman"/>
          <w:sz w:val="28"/>
          <w:szCs w:val="28"/>
        </w:rPr>
        <w:t>"</w:t>
      </w:r>
      <w:r>
        <w:rPr>
          <w:rFonts w:ascii="Times New Roman" w:hAnsi="Times New Roman" w:cs="Times New Roman"/>
          <w:sz w:val="28"/>
          <w:szCs w:val="28"/>
        </w:rPr>
        <w:t xml:space="preserve"> замінити словами </w:t>
      </w:r>
      <w:r w:rsidR="005D6E7F">
        <w:rPr>
          <w:rFonts w:ascii="Times New Roman" w:hAnsi="Times New Roman" w:cs="Times New Roman"/>
          <w:sz w:val="28"/>
          <w:szCs w:val="28"/>
        </w:rPr>
        <w:t>"</w:t>
      </w:r>
      <w:r>
        <w:rPr>
          <w:rFonts w:ascii="Times New Roman" w:hAnsi="Times New Roman" w:cs="Times New Roman"/>
          <w:sz w:val="28"/>
          <w:szCs w:val="28"/>
        </w:rPr>
        <w:t>до відповідного бюджету</w:t>
      </w:r>
      <w:r w:rsidR="005D6E7F">
        <w:rPr>
          <w:rFonts w:ascii="Times New Roman" w:hAnsi="Times New Roman" w:cs="Times New Roman"/>
          <w:sz w:val="28"/>
          <w:szCs w:val="28"/>
        </w:rPr>
        <w:t>"</w:t>
      </w:r>
      <w:r>
        <w:rPr>
          <w:rFonts w:ascii="Times New Roman" w:hAnsi="Times New Roman" w:cs="Times New Roman"/>
          <w:sz w:val="28"/>
          <w:szCs w:val="28"/>
        </w:rPr>
        <w:t>;</w:t>
      </w:r>
    </w:p>
    <w:p w14:paraId="3A1EFCD6" w14:textId="77777777" w:rsidR="004F79BC" w:rsidRDefault="004F79BC"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2) у пункті 168.4:</w:t>
      </w:r>
    </w:p>
    <w:p w14:paraId="51D66945" w14:textId="77777777" w:rsidR="004F79BC" w:rsidRDefault="004F79BC"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підпункт 168.4.2 викласти в такій редакції:</w:t>
      </w:r>
    </w:p>
    <w:p w14:paraId="4806A588" w14:textId="77777777" w:rsidR="009F0652" w:rsidRPr="009F0652" w:rsidRDefault="004F79BC" w:rsidP="009F0652">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F0652">
        <w:rPr>
          <w:rFonts w:ascii="Times New Roman" w:hAnsi="Times New Roman" w:cs="Times New Roman"/>
          <w:sz w:val="28"/>
          <w:szCs w:val="28"/>
        </w:rPr>
        <w:t>"</w:t>
      </w:r>
      <w:r w:rsidR="009F0652" w:rsidRPr="009F0652">
        <w:rPr>
          <w:rFonts w:ascii="Times New Roman" w:hAnsi="Times New Roman" w:cs="Times New Roman"/>
          <w:sz w:val="28"/>
          <w:szCs w:val="28"/>
        </w:rPr>
        <w:t>168.4.2. Податок, нарахований податковим агентом на доходи фізичних осіб – платників податку, крім випадків, передбачених цією статтею, підлягає сплаті (перерахуванню) до відповідного бюджету за:</w:t>
      </w:r>
    </w:p>
    <w:p w14:paraId="42091FA8" w14:textId="0F859520" w:rsidR="009F0652" w:rsidRPr="009F0652" w:rsidRDefault="009F0652" w:rsidP="009F0652">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F0652">
        <w:rPr>
          <w:rFonts w:ascii="Times New Roman" w:hAnsi="Times New Roman" w:cs="Times New Roman"/>
          <w:sz w:val="28"/>
          <w:szCs w:val="28"/>
        </w:rPr>
        <w:t>-  місцезнаходженням юридичної особи та її відокремлених підрозділів (як уповноважених, так і не уповноважених нараховувати, утримувати і сплачувати (перераховувати) податок до бюджету), де фактично працюють такі фізичні особи - платники податку;</w:t>
      </w:r>
    </w:p>
    <w:p w14:paraId="73105448" w14:textId="6F75E9AC" w:rsidR="009F0652" w:rsidRPr="009F0652" w:rsidRDefault="009F0652" w:rsidP="009F0652">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F0652">
        <w:rPr>
          <w:rFonts w:ascii="Times New Roman" w:hAnsi="Times New Roman" w:cs="Times New Roman"/>
          <w:sz w:val="28"/>
          <w:szCs w:val="28"/>
        </w:rPr>
        <w:t>- податковою адресою самозайнятої фізичної особи, у якої працюють такі фізичні особи - платники податку.</w:t>
      </w:r>
    </w:p>
    <w:p w14:paraId="547E4FB5" w14:textId="362DC9D4" w:rsidR="009F0652" w:rsidRPr="009F0652" w:rsidRDefault="009F0652" w:rsidP="009F0652">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F0652">
        <w:rPr>
          <w:rFonts w:ascii="Times New Roman" w:hAnsi="Times New Roman" w:cs="Times New Roman"/>
          <w:sz w:val="28"/>
          <w:szCs w:val="28"/>
        </w:rPr>
        <w:t>До відповідного бюджету сплачується (перераховується) 100 відсотків  податку на доходи, нараховані працівникам юридичної особи, її відокремлених підрозділів,  самозайнятої особи.</w:t>
      </w:r>
    </w:p>
    <w:p w14:paraId="287308EE" w14:textId="4CD8DAA2" w:rsidR="004F79BC" w:rsidRDefault="009F0652" w:rsidP="009F0652">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F0652">
        <w:rPr>
          <w:rFonts w:ascii="Times New Roman" w:hAnsi="Times New Roman" w:cs="Times New Roman"/>
          <w:sz w:val="28"/>
          <w:szCs w:val="28"/>
        </w:rPr>
        <w:t>У разі створення відокремленого підрозділу юридична особа повідомляє про це контролюючі органи за своїм місцезнаходженням та місцезнаходженням таких відокремлених підрозділів у встановленому порядку</w:t>
      </w:r>
      <w:r>
        <w:rPr>
          <w:rFonts w:ascii="Times New Roman" w:hAnsi="Times New Roman" w:cs="Times New Roman"/>
          <w:sz w:val="28"/>
          <w:szCs w:val="28"/>
        </w:rPr>
        <w:t>"</w:t>
      </w:r>
      <w:r w:rsidR="004F79BC">
        <w:rPr>
          <w:rFonts w:ascii="Times New Roman" w:hAnsi="Times New Roman" w:cs="Times New Roman"/>
          <w:sz w:val="28"/>
          <w:szCs w:val="28"/>
        </w:rPr>
        <w:t>;</w:t>
      </w:r>
    </w:p>
    <w:p w14:paraId="52AFA401" w14:textId="77777777" w:rsidR="004F79BC" w:rsidRDefault="004F79BC"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підпункт 168.4.3 викласти в такій редакції:</w:t>
      </w:r>
    </w:p>
    <w:p w14:paraId="37338DD6" w14:textId="66FCFD89" w:rsidR="004F79BC" w:rsidRDefault="004F79BC" w:rsidP="005D6E7F">
      <w:pPr>
        <w:spacing w:after="120" w:line="240" w:lineRule="auto"/>
        <w:jc w:val="both"/>
        <w:rPr>
          <w:rFonts w:ascii="Times New Roman" w:hAnsi="Times New Roman" w:cs="Times New Roman"/>
          <w:bCs/>
          <w:sz w:val="28"/>
          <w:szCs w:val="28"/>
        </w:rPr>
      </w:pPr>
      <w:r>
        <w:rPr>
          <w:rFonts w:ascii="Times New Roman" w:hAnsi="Times New Roman" w:cs="Times New Roman"/>
          <w:sz w:val="28"/>
          <w:szCs w:val="28"/>
        </w:rPr>
        <w:t xml:space="preserve">      </w:t>
      </w:r>
      <w:r w:rsidR="009F0652">
        <w:rPr>
          <w:rFonts w:ascii="Times New Roman" w:hAnsi="Times New Roman" w:cs="Times New Roman"/>
          <w:sz w:val="28"/>
          <w:szCs w:val="28"/>
        </w:rPr>
        <w:t>"</w:t>
      </w:r>
      <w:r w:rsidR="009F0652" w:rsidRPr="009F0652">
        <w:rPr>
          <w:rFonts w:ascii="Times New Roman" w:hAnsi="Times New Roman" w:cs="Times New Roman"/>
          <w:sz w:val="28"/>
          <w:szCs w:val="28"/>
        </w:rPr>
        <w:t>168.4.3. У разі якщо відокремлений підрозділ юридичної особи не уповноважений нарахувати (сплачувати) податок на доходи фізичних осіб, усі обов'язки податкового агента за такий відокремлений підрозділ виконує юридична особа, в тому числі щодо перерахування сум податку до відповідних бюджетів</w:t>
      </w:r>
      <w:r w:rsidR="009F0652">
        <w:rPr>
          <w:rFonts w:ascii="Times New Roman" w:hAnsi="Times New Roman" w:cs="Times New Roman"/>
          <w:bCs/>
          <w:sz w:val="28"/>
          <w:szCs w:val="28"/>
        </w:rPr>
        <w:t>"</w:t>
      </w:r>
      <w:r>
        <w:rPr>
          <w:rFonts w:ascii="Times New Roman" w:hAnsi="Times New Roman" w:cs="Times New Roman"/>
          <w:bCs/>
          <w:sz w:val="28"/>
          <w:szCs w:val="28"/>
        </w:rPr>
        <w:t xml:space="preserve">;  </w:t>
      </w:r>
    </w:p>
    <w:p w14:paraId="3B2924FF" w14:textId="77777777" w:rsidR="004F79BC" w:rsidRDefault="004F79BC"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підпункт 168.4.4 викласти в такій редакції:</w:t>
      </w:r>
    </w:p>
    <w:p w14:paraId="347D1F62" w14:textId="6344B1CB" w:rsidR="004F79BC" w:rsidRDefault="004F79BC"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F0652" w:rsidRPr="009F0652">
        <w:rPr>
          <w:rFonts w:ascii="Times New Roman" w:hAnsi="Times New Roman" w:cs="Times New Roman"/>
          <w:sz w:val="28"/>
          <w:szCs w:val="28"/>
        </w:rPr>
        <w:t>168.4.4. Юридична особа, її відокремлений підрозділ, який уповноважений нараховувати, утримувати і сплачувати (перераховувати) до бюджету податок, одночасно з поданням документів на отримання коштів для виплати належних платникам податку доходів, сплачує (перераховує) суми утриманого податку на відповідні рахунки, відкриті у відповідних органах, що здійснюють казначейське обслуговування бюджетних коштів</w:t>
      </w:r>
      <w:r>
        <w:rPr>
          <w:rFonts w:ascii="Times New Roman" w:hAnsi="Times New Roman" w:cs="Times New Roman"/>
          <w:sz w:val="28"/>
          <w:szCs w:val="28"/>
        </w:rPr>
        <w:t>.</w:t>
      </w:r>
    </w:p>
    <w:p w14:paraId="3F29B6C9" w14:textId="4401124C" w:rsidR="004F79BC" w:rsidRDefault="004F79BC"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Органи, що здійснюють казначейське обслуговування бюджетних коштів в установленому Бюджетним кодексом України порядку розподіляють зазначені кошти згідно з нормативами, визначеними Бюджетним кодексом України та спрямовують такі розподіле</w:t>
      </w:r>
      <w:r w:rsidR="009F0652">
        <w:rPr>
          <w:rFonts w:ascii="Times New Roman" w:hAnsi="Times New Roman" w:cs="Times New Roman"/>
          <w:sz w:val="28"/>
          <w:szCs w:val="28"/>
        </w:rPr>
        <w:t>ні суми до відповідних бюджетів"</w:t>
      </w:r>
      <w:r>
        <w:rPr>
          <w:rFonts w:ascii="Times New Roman" w:hAnsi="Times New Roman" w:cs="Times New Roman"/>
          <w:sz w:val="28"/>
          <w:szCs w:val="28"/>
        </w:rPr>
        <w:t>;</w:t>
      </w:r>
    </w:p>
    <w:p w14:paraId="3E562219" w14:textId="0CBDBF66" w:rsidR="004F79BC" w:rsidRDefault="004F79BC"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підпункт 168.4.7 після слів </w:t>
      </w:r>
      <w:r w:rsidR="009F0652">
        <w:rPr>
          <w:rFonts w:ascii="Times New Roman" w:hAnsi="Times New Roman" w:cs="Times New Roman"/>
          <w:sz w:val="28"/>
          <w:szCs w:val="28"/>
        </w:rPr>
        <w:t>"</w:t>
      </w:r>
      <w:r>
        <w:rPr>
          <w:rFonts w:ascii="Times New Roman" w:hAnsi="Times New Roman" w:cs="Times New Roman"/>
          <w:sz w:val="28"/>
          <w:szCs w:val="28"/>
        </w:rPr>
        <w:t>або її відокремлений підрозділ</w:t>
      </w:r>
      <w:r w:rsidR="009F0652">
        <w:rPr>
          <w:rFonts w:ascii="Times New Roman" w:hAnsi="Times New Roman" w:cs="Times New Roman"/>
          <w:sz w:val="28"/>
          <w:szCs w:val="28"/>
        </w:rPr>
        <w:t>"</w:t>
      </w:r>
      <w:r>
        <w:rPr>
          <w:rFonts w:ascii="Times New Roman" w:hAnsi="Times New Roman" w:cs="Times New Roman"/>
          <w:sz w:val="28"/>
          <w:szCs w:val="28"/>
        </w:rPr>
        <w:t xml:space="preserve"> </w:t>
      </w:r>
      <w:r w:rsidR="009F0652">
        <w:rPr>
          <w:rFonts w:ascii="Times New Roman" w:hAnsi="Times New Roman" w:cs="Times New Roman"/>
          <w:sz w:val="28"/>
          <w:szCs w:val="28"/>
        </w:rPr>
        <w:t>доповнити словами "</w:t>
      </w:r>
      <w:r>
        <w:rPr>
          <w:rFonts w:ascii="Times New Roman" w:hAnsi="Times New Roman" w:cs="Times New Roman"/>
          <w:sz w:val="28"/>
          <w:szCs w:val="28"/>
        </w:rPr>
        <w:t>самозайнята особа</w:t>
      </w:r>
      <w:r w:rsidR="009F0652">
        <w:rPr>
          <w:rFonts w:ascii="Times New Roman" w:hAnsi="Times New Roman" w:cs="Times New Roman"/>
          <w:sz w:val="28"/>
          <w:szCs w:val="28"/>
        </w:rPr>
        <w:t>"</w:t>
      </w:r>
      <w:r>
        <w:rPr>
          <w:rFonts w:ascii="Times New Roman" w:hAnsi="Times New Roman" w:cs="Times New Roman"/>
          <w:sz w:val="28"/>
          <w:szCs w:val="28"/>
        </w:rPr>
        <w:t>.</w:t>
      </w:r>
    </w:p>
    <w:p w14:paraId="66646DC4" w14:textId="77777777" w:rsidR="009F0652" w:rsidRDefault="009F0652" w:rsidP="005D6E7F">
      <w:pPr>
        <w:spacing w:after="120" w:line="240" w:lineRule="auto"/>
        <w:jc w:val="both"/>
        <w:rPr>
          <w:rFonts w:ascii="Times New Roman" w:hAnsi="Times New Roman" w:cs="Times New Roman"/>
          <w:sz w:val="28"/>
          <w:szCs w:val="28"/>
        </w:rPr>
      </w:pPr>
    </w:p>
    <w:p w14:paraId="6241AE04" w14:textId="22F49FC3" w:rsidR="009F0652" w:rsidRPr="009F0652" w:rsidRDefault="009F0652" w:rsidP="005D6E7F">
      <w:pPr>
        <w:spacing w:after="12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4F79BC" w:rsidRPr="009F0652">
        <w:rPr>
          <w:rFonts w:ascii="Times New Roman" w:hAnsi="Times New Roman" w:cs="Times New Roman"/>
          <w:b/>
          <w:sz w:val="28"/>
          <w:szCs w:val="28"/>
        </w:rPr>
        <w:t xml:space="preserve">ІІ. </w:t>
      </w:r>
      <w:r w:rsidRPr="009F0652">
        <w:rPr>
          <w:rFonts w:ascii="Times New Roman" w:hAnsi="Times New Roman" w:cs="Times New Roman"/>
          <w:b/>
          <w:sz w:val="28"/>
          <w:szCs w:val="28"/>
        </w:rPr>
        <w:t>Прикінцеві положення.</w:t>
      </w:r>
    </w:p>
    <w:p w14:paraId="65C28C4F" w14:textId="038E9EAC" w:rsidR="004F79BC" w:rsidRDefault="009F0652" w:rsidP="005D6E7F">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1. </w:t>
      </w:r>
      <w:r w:rsidR="004F79BC">
        <w:rPr>
          <w:rFonts w:ascii="Times New Roman" w:hAnsi="Times New Roman" w:cs="Times New Roman"/>
          <w:sz w:val="28"/>
          <w:szCs w:val="28"/>
        </w:rPr>
        <w:t>Цей Закон набирає чинності з дня, наступного за днем його оприлюднення та починає застосовуватися з 1 січня 2022 року.</w:t>
      </w:r>
    </w:p>
    <w:p w14:paraId="241BC4EA" w14:textId="77777777" w:rsidR="00C96866" w:rsidRDefault="00C96866" w:rsidP="00C96866">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2. </w:t>
      </w:r>
      <w:r w:rsidR="004F79BC" w:rsidRPr="00C96866">
        <w:rPr>
          <w:rFonts w:ascii="Times New Roman" w:hAnsi="Times New Roman" w:cs="Times New Roman"/>
          <w:sz w:val="28"/>
          <w:szCs w:val="28"/>
        </w:rPr>
        <w:t>Кабінету Міністрів України до 1 січня 2022 року</w:t>
      </w:r>
      <w:r>
        <w:rPr>
          <w:rFonts w:ascii="Times New Roman" w:hAnsi="Times New Roman" w:cs="Times New Roman"/>
          <w:sz w:val="28"/>
          <w:szCs w:val="28"/>
        </w:rPr>
        <w:t>:</w:t>
      </w:r>
    </w:p>
    <w:p w14:paraId="585E0AB1" w14:textId="316F25EE" w:rsidR="00C96866" w:rsidRPr="003A1B81" w:rsidRDefault="00C96866" w:rsidP="00C96866">
      <w:pPr>
        <w:spacing w:after="120"/>
        <w:jc w:val="both"/>
        <w:rPr>
          <w:rFonts w:ascii="Times New Roman" w:hAnsi="Times New Roman"/>
          <w:sz w:val="28"/>
          <w:szCs w:val="28"/>
        </w:rPr>
      </w:pPr>
      <w:r>
        <w:rPr>
          <w:rFonts w:ascii="Times New Roman" w:hAnsi="Times New Roman"/>
          <w:sz w:val="28"/>
          <w:szCs w:val="28"/>
        </w:rPr>
        <w:lastRenderedPageBreak/>
        <w:t xml:space="preserve">       </w:t>
      </w:r>
      <w:r w:rsidRPr="003A1B81">
        <w:rPr>
          <w:rFonts w:ascii="Times New Roman" w:hAnsi="Times New Roman"/>
          <w:sz w:val="28"/>
          <w:szCs w:val="28"/>
        </w:rPr>
        <w:t>прийняти нормативно-правові акти, необхідні для реалізації цього Закону;</w:t>
      </w:r>
    </w:p>
    <w:p w14:paraId="2ACCFF4B" w14:textId="3B6F0C75" w:rsidR="00C96866" w:rsidRPr="003A1B81" w:rsidRDefault="00C96866" w:rsidP="00C96866">
      <w:pPr>
        <w:spacing w:after="120"/>
        <w:jc w:val="both"/>
        <w:rPr>
          <w:rFonts w:ascii="Times New Roman" w:hAnsi="Times New Roman"/>
          <w:sz w:val="28"/>
          <w:szCs w:val="28"/>
        </w:rPr>
      </w:pPr>
      <w:r>
        <w:rPr>
          <w:rFonts w:ascii="Times New Roman" w:hAnsi="Times New Roman"/>
          <w:sz w:val="28"/>
          <w:szCs w:val="28"/>
        </w:rPr>
        <w:t xml:space="preserve">       </w:t>
      </w:r>
      <w:r w:rsidRPr="003A1B81">
        <w:rPr>
          <w:rFonts w:ascii="Times New Roman" w:hAnsi="Times New Roman"/>
          <w:sz w:val="28"/>
          <w:szCs w:val="28"/>
        </w:rPr>
        <w:t>привести свої нормативно-правові акти у відповідність із цим Законом;</w:t>
      </w:r>
    </w:p>
    <w:p w14:paraId="738DADA7" w14:textId="05260D8B" w:rsidR="004F79BC" w:rsidRPr="00C96866" w:rsidRDefault="00C96866" w:rsidP="00C96866">
      <w:pPr>
        <w:spacing w:after="120" w:line="240" w:lineRule="auto"/>
        <w:jc w:val="both"/>
        <w:rPr>
          <w:rFonts w:ascii="Times New Roman" w:hAnsi="Times New Roman" w:cs="Times New Roman"/>
          <w:sz w:val="28"/>
          <w:szCs w:val="28"/>
        </w:rPr>
      </w:pPr>
      <w:r>
        <w:rPr>
          <w:rFonts w:ascii="Times New Roman" w:hAnsi="Times New Roman"/>
          <w:sz w:val="28"/>
          <w:szCs w:val="28"/>
        </w:rPr>
        <w:t xml:space="preserve">       </w:t>
      </w:r>
      <w:r w:rsidRPr="003A1B81">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sidR="004F79BC" w:rsidRPr="00C96866">
        <w:rPr>
          <w:rFonts w:ascii="Times New Roman" w:hAnsi="Times New Roman" w:cs="Times New Roman"/>
          <w:sz w:val="28"/>
          <w:szCs w:val="28"/>
        </w:rPr>
        <w:t>.</w:t>
      </w:r>
    </w:p>
    <w:p w14:paraId="1D4BE2A5" w14:textId="1FE24B3D" w:rsidR="004F79BC" w:rsidRDefault="004F79BC" w:rsidP="005D6E7F">
      <w:pPr>
        <w:spacing w:after="120" w:line="240" w:lineRule="auto"/>
        <w:jc w:val="both"/>
        <w:rPr>
          <w:rFonts w:ascii="Times New Roman" w:hAnsi="Times New Roman" w:cs="Times New Roman"/>
          <w:sz w:val="28"/>
          <w:szCs w:val="28"/>
        </w:rPr>
      </w:pPr>
    </w:p>
    <w:p w14:paraId="476D3069" w14:textId="77777777" w:rsidR="00C96866" w:rsidRDefault="00C96866" w:rsidP="005D6E7F">
      <w:pPr>
        <w:spacing w:after="120" w:line="240" w:lineRule="auto"/>
        <w:jc w:val="both"/>
        <w:rPr>
          <w:rFonts w:ascii="Times New Roman" w:hAnsi="Times New Roman" w:cs="Times New Roman"/>
          <w:sz w:val="28"/>
          <w:szCs w:val="28"/>
        </w:rPr>
      </w:pPr>
    </w:p>
    <w:p w14:paraId="03429AE7" w14:textId="77777777" w:rsidR="004F79BC" w:rsidRDefault="004F79BC" w:rsidP="005D6E7F">
      <w:pPr>
        <w:spacing w:after="120"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 xml:space="preserve">Голова Верховної Ради </w:t>
      </w:r>
    </w:p>
    <w:p w14:paraId="2D3D43EB" w14:textId="77777777" w:rsidR="004F79BC" w:rsidRDefault="004F79BC" w:rsidP="005D6E7F">
      <w:pPr>
        <w:spacing w:after="12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                    України                                                                              </w:t>
      </w:r>
    </w:p>
    <w:p w14:paraId="22636A76" w14:textId="77777777" w:rsidR="004F79BC" w:rsidRDefault="004F79BC" w:rsidP="005D6E7F">
      <w:pPr>
        <w:spacing w:after="120"/>
      </w:pPr>
    </w:p>
    <w:p w14:paraId="41EAF5BA" w14:textId="77777777" w:rsidR="00134D0E" w:rsidRDefault="00134D0E" w:rsidP="005D6E7F">
      <w:pPr>
        <w:spacing w:after="120"/>
      </w:pPr>
    </w:p>
    <w:sectPr w:rsidR="00134D0E" w:rsidSect="005D6E7F">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F4FF2"/>
    <w:multiLevelType w:val="hybridMultilevel"/>
    <w:tmpl w:val="4A762814"/>
    <w:lvl w:ilvl="0" w:tplc="BD2A89AE">
      <w:start w:val="1"/>
      <w:numFmt w:val="decimal"/>
      <w:lvlText w:val="%1."/>
      <w:lvlJc w:val="left"/>
      <w:pPr>
        <w:ind w:left="1128" w:hanging="360"/>
      </w:pPr>
    </w:lvl>
    <w:lvl w:ilvl="1" w:tplc="04220019">
      <w:start w:val="1"/>
      <w:numFmt w:val="lowerLetter"/>
      <w:lvlText w:val="%2."/>
      <w:lvlJc w:val="left"/>
      <w:pPr>
        <w:ind w:left="1848" w:hanging="360"/>
      </w:pPr>
    </w:lvl>
    <w:lvl w:ilvl="2" w:tplc="0422001B">
      <w:start w:val="1"/>
      <w:numFmt w:val="lowerRoman"/>
      <w:lvlText w:val="%3."/>
      <w:lvlJc w:val="right"/>
      <w:pPr>
        <w:ind w:left="2568" w:hanging="180"/>
      </w:pPr>
    </w:lvl>
    <w:lvl w:ilvl="3" w:tplc="0422000F">
      <w:start w:val="1"/>
      <w:numFmt w:val="decimal"/>
      <w:lvlText w:val="%4."/>
      <w:lvlJc w:val="left"/>
      <w:pPr>
        <w:ind w:left="3288" w:hanging="360"/>
      </w:pPr>
    </w:lvl>
    <w:lvl w:ilvl="4" w:tplc="04220019">
      <w:start w:val="1"/>
      <w:numFmt w:val="lowerLetter"/>
      <w:lvlText w:val="%5."/>
      <w:lvlJc w:val="left"/>
      <w:pPr>
        <w:ind w:left="4008" w:hanging="360"/>
      </w:pPr>
    </w:lvl>
    <w:lvl w:ilvl="5" w:tplc="0422001B">
      <w:start w:val="1"/>
      <w:numFmt w:val="lowerRoman"/>
      <w:lvlText w:val="%6."/>
      <w:lvlJc w:val="right"/>
      <w:pPr>
        <w:ind w:left="4728" w:hanging="180"/>
      </w:pPr>
    </w:lvl>
    <w:lvl w:ilvl="6" w:tplc="0422000F">
      <w:start w:val="1"/>
      <w:numFmt w:val="decimal"/>
      <w:lvlText w:val="%7."/>
      <w:lvlJc w:val="left"/>
      <w:pPr>
        <w:ind w:left="5448" w:hanging="360"/>
      </w:pPr>
    </w:lvl>
    <w:lvl w:ilvl="7" w:tplc="04220019">
      <w:start w:val="1"/>
      <w:numFmt w:val="lowerLetter"/>
      <w:lvlText w:val="%8."/>
      <w:lvlJc w:val="left"/>
      <w:pPr>
        <w:ind w:left="6168" w:hanging="360"/>
      </w:pPr>
    </w:lvl>
    <w:lvl w:ilvl="8" w:tplc="0422001B">
      <w:start w:val="1"/>
      <w:numFmt w:val="lowerRoman"/>
      <w:lvlText w:val="%9."/>
      <w:lvlJc w:val="right"/>
      <w:pPr>
        <w:ind w:left="68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59C"/>
    <w:rsid w:val="00134D0E"/>
    <w:rsid w:val="004F79BC"/>
    <w:rsid w:val="005D6E7F"/>
    <w:rsid w:val="00691109"/>
    <w:rsid w:val="006A3131"/>
    <w:rsid w:val="00876971"/>
    <w:rsid w:val="008B4114"/>
    <w:rsid w:val="009F0652"/>
    <w:rsid w:val="00C96866"/>
    <w:rsid w:val="00DE0214"/>
    <w:rsid w:val="00DF6D9F"/>
    <w:rsid w:val="00E0059C"/>
    <w:rsid w:val="00E22A80"/>
    <w:rsid w:val="00E461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C67D4"/>
  <w15:chartTrackingRefBased/>
  <w15:docId w15:val="{2CB25D82-A065-42CA-88CF-3971F659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9BC"/>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79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47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BC07BE-0341-4C7A-8B66-34AE3852C4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0949E0-18CA-4EB7-95D8-AA2682FEADEA}">
  <ds:schemaRefs>
    <ds:schemaRef ds:uri="http://schemas.microsoft.com/sharepoint/v3/contenttype/forms"/>
  </ds:schemaRefs>
</ds:datastoreItem>
</file>

<file path=customXml/itemProps3.xml><?xml version="1.0" encoding="utf-8"?>
<ds:datastoreItem xmlns:ds="http://schemas.openxmlformats.org/officeDocument/2006/customXml" ds:itemID="{18B50299-1199-4561-9838-9C6440C69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2760</Words>
  <Characters>1574</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2021-03-31T07:15:00Z</dcterms:created>
  <dcterms:modified xsi:type="dcterms:W3CDTF">2021-03-31T07:15:00Z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