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F5C" w:rsidRDefault="000F3F5C" w:rsidP="000F3F5C">
      <w:pPr>
        <w:ind w:firstLine="567"/>
        <w:jc w:val="center"/>
        <w:outlineLvl w:val="4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ВИСНОВОК</w:t>
      </w:r>
    </w:p>
    <w:p w:rsidR="000F3F5C" w:rsidRDefault="000F3F5C" w:rsidP="000F3F5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Комітету Верховної Ради України з питань інтеграції України до Європейського Союзу щодо проекту Закону України «Про внесення змін до Закону України «</w:t>
      </w:r>
      <w:r w:rsidR="000311CB" w:rsidRPr="000311CB">
        <w:rPr>
          <w:sz w:val="28"/>
          <w:szCs w:val="28"/>
        </w:rPr>
        <w:t>Про внесення змін до деяких законодавчих актів щодо розвитку системи пробації, збільшення альтернатив позбавленню волі та створення умов для зниження рецидивної злочинності</w:t>
      </w:r>
      <w:r>
        <w:rPr>
          <w:sz w:val="28"/>
          <w:szCs w:val="28"/>
        </w:rPr>
        <w:t xml:space="preserve">» (реєстр. № </w:t>
      </w:r>
      <w:r w:rsidR="000311CB">
        <w:rPr>
          <w:sz w:val="28"/>
          <w:szCs w:val="28"/>
        </w:rPr>
        <w:t>5359</w:t>
      </w:r>
      <w:r>
        <w:rPr>
          <w:sz w:val="28"/>
          <w:szCs w:val="28"/>
        </w:rPr>
        <w:t xml:space="preserve"> від </w:t>
      </w:r>
      <w:r w:rsidR="000311CB">
        <w:rPr>
          <w:sz w:val="28"/>
          <w:szCs w:val="28"/>
        </w:rPr>
        <w:t>12.04</w:t>
      </w:r>
      <w:r>
        <w:rPr>
          <w:sz w:val="28"/>
          <w:szCs w:val="28"/>
        </w:rPr>
        <w:t xml:space="preserve">.2021 р., </w:t>
      </w:r>
      <w:r w:rsidR="000311CB">
        <w:rPr>
          <w:sz w:val="28"/>
          <w:szCs w:val="28"/>
        </w:rPr>
        <w:t>КМУ</w:t>
      </w:r>
      <w:r>
        <w:rPr>
          <w:sz w:val="28"/>
          <w:szCs w:val="28"/>
        </w:rPr>
        <w:t xml:space="preserve">, </w:t>
      </w:r>
      <w:r w:rsidR="000311CB">
        <w:rPr>
          <w:sz w:val="28"/>
          <w:szCs w:val="28"/>
        </w:rPr>
        <w:t>Д</w:t>
      </w:r>
      <w:r>
        <w:rPr>
          <w:sz w:val="28"/>
          <w:szCs w:val="28"/>
        </w:rPr>
        <w:t xml:space="preserve">. </w:t>
      </w:r>
      <w:r w:rsidR="000311CB">
        <w:rPr>
          <w:sz w:val="28"/>
          <w:szCs w:val="28"/>
        </w:rPr>
        <w:t>Шмигаль</w:t>
      </w:r>
      <w:r>
        <w:rPr>
          <w:sz w:val="28"/>
          <w:szCs w:val="28"/>
        </w:rPr>
        <w:t>)</w:t>
      </w:r>
    </w:p>
    <w:p w:rsidR="00FF29D0" w:rsidRPr="005315C6" w:rsidRDefault="00FF29D0" w:rsidP="00FF29D0">
      <w:pPr>
        <w:jc w:val="center"/>
        <w:rPr>
          <w:lang w:val="uk-UA"/>
        </w:rPr>
      </w:pPr>
      <w:r>
        <w:rPr>
          <w:lang w:val="uk-UA"/>
        </w:rPr>
        <w:t xml:space="preserve">Комітет розглянув проект Закону на своєму засіданні </w:t>
      </w:r>
      <w:r w:rsidR="005D10F3">
        <w:t>2</w:t>
      </w:r>
      <w:r w:rsidR="005D10F3">
        <w:rPr>
          <w:lang w:val="en-US"/>
        </w:rPr>
        <w:t>0</w:t>
      </w:r>
      <w:bookmarkStart w:id="0" w:name="_GoBack"/>
      <w:bookmarkEnd w:id="0"/>
      <w:r>
        <w:rPr>
          <w:lang w:val="uk-UA"/>
        </w:rPr>
        <w:t xml:space="preserve"> </w:t>
      </w:r>
      <w:r>
        <w:t>жо</w:t>
      </w:r>
      <w:r>
        <w:rPr>
          <w:lang w:val="uk-UA"/>
        </w:rPr>
        <w:t>в</w:t>
      </w:r>
      <w:r>
        <w:t>тня</w:t>
      </w:r>
      <w:r>
        <w:rPr>
          <w:lang w:val="uk-UA"/>
        </w:rPr>
        <w:t xml:space="preserve"> 2021 року (протокол № 87) відповідно до статті 93 Регламенту Верховної Ради України.</w:t>
      </w:r>
    </w:p>
    <w:p w:rsidR="00DF1318" w:rsidRPr="0050535F" w:rsidRDefault="00DF1318" w:rsidP="000F3F5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</w:p>
    <w:p w:rsidR="000F3F5C" w:rsidRDefault="000F3F5C" w:rsidP="000F3F5C">
      <w:pPr>
        <w:pStyle w:val="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1. Загальна характеристика законопроекту.</w:t>
      </w:r>
    </w:p>
    <w:p w:rsidR="000F3F5C" w:rsidRDefault="000F3F5C" w:rsidP="0050535F">
      <w:pPr>
        <w:widowControl w:val="0"/>
        <w:autoSpaceDE w:val="0"/>
        <w:autoSpaceDN w:val="0"/>
        <w:ind w:right="107" w:firstLine="851"/>
        <w:jc w:val="both"/>
        <w:rPr>
          <w:szCs w:val="28"/>
          <w:lang w:val="uk-UA"/>
        </w:rPr>
      </w:pPr>
      <w:r w:rsidRPr="0050535F">
        <w:rPr>
          <w:szCs w:val="28"/>
          <w:lang w:val="uk-UA"/>
        </w:rPr>
        <w:t xml:space="preserve">Відповідно до пояснювальної записки, метою прийняття проекту Закону України є </w:t>
      </w:r>
      <w:r w:rsidR="000311CB" w:rsidRPr="0050535F">
        <w:rPr>
          <w:szCs w:val="28"/>
          <w:lang w:val="uk-UA"/>
        </w:rPr>
        <w:t>індивідуалізація системи покарань та розширення переліку видів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покарань,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альтернативних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позбавленню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волі,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що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сприятиме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зменшенню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кількості осіб у місцях несвободи, забезпечить виправлення правопорушників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без ізоляції від суспільства та заощадить відповідні бюджетні кошти, а також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впровадження системи оцінки ризиків вчинення особою повторного злочину та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ризиків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порушення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обов’язків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у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межах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запобіжного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заходу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або</w:t>
      </w:r>
      <w:r w:rsidR="000311CB" w:rsidRPr="0050535F">
        <w:rPr>
          <w:spacing w:val="65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умовно-</w:t>
      </w:r>
      <w:r w:rsidR="000311CB" w:rsidRPr="0050535F">
        <w:rPr>
          <w:spacing w:val="-66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дострокового звільнення, яка ґрунтується на використанні машинного навчання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та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алгоритмів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автоматизованих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висновків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(прогнозів),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заснованих</w:t>
      </w:r>
      <w:r w:rsidR="000311CB" w:rsidRPr="0050535F">
        <w:rPr>
          <w:spacing w:val="68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на</w:t>
      </w:r>
      <w:r w:rsidR="000311CB" w:rsidRPr="0050535F">
        <w:rPr>
          <w:spacing w:val="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результатах</w:t>
      </w:r>
      <w:r w:rsidR="000311CB" w:rsidRPr="0050535F">
        <w:rPr>
          <w:spacing w:val="-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обробки великих</w:t>
      </w:r>
      <w:r w:rsidR="000311CB" w:rsidRPr="0050535F">
        <w:rPr>
          <w:spacing w:val="-1"/>
          <w:szCs w:val="28"/>
          <w:lang w:val="uk-UA"/>
        </w:rPr>
        <w:t xml:space="preserve"> </w:t>
      </w:r>
      <w:r w:rsidR="000311CB" w:rsidRPr="0050535F">
        <w:rPr>
          <w:szCs w:val="28"/>
          <w:lang w:val="uk-UA"/>
        </w:rPr>
        <w:t>структурованих масивів даних.</w:t>
      </w:r>
    </w:p>
    <w:p w:rsidR="00DF1318" w:rsidRPr="0050535F" w:rsidRDefault="00DF1318" w:rsidP="0050535F">
      <w:pPr>
        <w:widowControl w:val="0"/>
        <w:autoSpaceDE w:val="0"/>
        <w:autoSpaceDN w:val="0"/>
        <w:ind w:right="107" w:firstLine="851"/>
        <w:jc w:val="both"/>
        <w:rPr>
          <w:szCs w:val="28"/>
          <w:lang w:val="uk-UA"/>
        </w:rPr>
      </w:pPr>
    </w:p>
    <w:p w:rsidR="000F3F5C" w:rsidRDefault="000F3F5C" w:rsidP="000F3F5C">
      <w:pPr>
        <w:ind w:firstLine="567"/>
        <w:jc w:val="both"/>
        <w:rPr>
          <w:b/>
          <w:bCs/>
        </w:rPr>
      </w:pPr>
      <w:r>
        <w:rPr>
          <w:rFonts w:eastAsia="Verdana"/>
          <w:b/>
          <w:bCs/>
        </w:rPr>
        <w:t>2.  </w:t>
      </w:r>
      <w:r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0F3F5C" w:rsidRDefault="000F3F5C" w:rsidP="000F3F5C">
      <w:pPr>
        <w:ind w:firstLine="567"/>
        <w:jc w:val="both"/>
      </w:pPr>
      <w:r>
        <w:t>Предмет правового регулювання законопроекту охоплюється положеннями статті 14 «Верховенство права та повага до прав людини і основоположних свобод»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(далі – Угода про асоціацію)</w:t>
      </w:r>
    </w:p>
    <w:p w:rsidR="000F3F5C" w:rsidRDefault="000F3F5C" w:rsidP="000F3F5C">
      <w:pPr>
        <w:pStyle w:val="1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0F3F5C" w:rsidRPr="00DF1318" w:rsidRDefault="0050535F" w:rsidP="0050535F">
      <w:pPr>
        <w:pStyle w:val="a8"/>
        <w:numPr>
          <w:ilvl w:val="0"/>
          <w:numId w:val="5"/>
        </w:numPr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F1318">
        <w:rPr>
          <w:rFonts w:ascii="Times New Roman" w:hAnsi="Times New Roman"/>
          <w:i/>
          <w:sz w:val="28"/>
          <w:szCs w:val="28"/>
        </w:rPr>
        <w:t>Рекомендацією Комітету Міністрів Ради Європи CM/Rec (2014) 4 від 19.02.2014 щодо електронного моніторингу</w:t>
      </w:r>
      <w:r w:rsidR="000F3F5C" w:rsidRPr="00DF1318">
        <w:rPr>
          <w:rFonts w:ascii="Times New Roman" w:hAnsi="Times New Roman"/>
          <w:i/>
          <w:sz w:val="28"/>
          <w:szCs w:val="28"/>
        </w:rPr>
        <w:t>;</w:t>
      </w:r>
    </w:p>
    <w:p w:rsidR="000F3F5C" w:rsidRPr="00DF1318" w:rsidRDefault="0050535F" w:rsidP="0050535F">
      <w:pPr>
        <w:pStyle w:val="a8"/>
        <w:numPr>
          <w:ilvl w:val="0"/>
          <w:numId w:val="5"/>
        </w:numPr>
        <w:jc w:val="both"/>
        <w:rPr>
          <w:rFonts w:ascii="Times New Roman" w:hAnsi="Times New Roman"/>
          <w:i/>
          <w:sz w:val="28"/>
          <w:szCs w:val="28"/>
        </w:rPr>
      </w:pPr>
      <w:r w:rsidRPr="00DF1318">
        <w:rPr>
          <w:rFonts w:ascii="Times New Roman" w:hAnsi="Times New Roman"/>
          <w:i/>
          <w:sz w:val="28"/>
          <w:szCs w:val="28"/>
        </w:rPr>
        <w:t>Рекомендацією Rec (99) 22 щодо переповненості в'язниць та збільшення ув’язненого населення;</w:t>
      </w:r>
    </w:p>
    <w:p w:rsidR="000F3F5C" w:rsidRPr="00DF1318" w:rsidRDefault="0050535F" w:rsidP="0050535F">
      <w:pPr>
        <w:pStyle w:val="a8"/>
        <w:numPr>
          <w:ilvl w:val="0"/>
          <w:numId w:val="5"/>
        </w:numPr>
        <w:jc w:val="both"/>
        <w:rPr>
          <w:rFonts w:ascii="Times New Roman" w:hAnsi="Times New Roman"/>
          <w:i/>
          <w:sz w:val="28"/>
          <w:szCs w:val="28"/>
        </w:rPr>
      </w:pPr>
      <w:r w:rsidRPr="00DF1318">
        <w:rPr>
          <w:rFonts w:ascii="Times New Roman" w:hAnsi="Times New Roman"/>
          <w:i/>
          <w:sz w:val="28"/>
          <w:szCs w:val="28"/>
        </w:rPr>
        <w:t>Рекомендацією Комітету Міністрів Ради Європи Rec (2000) 22 щодо покращення імплементації європейських правил щодо санкцій та заходів громад від 29.11.2000.</w:t>
      </w:r>
    </w:p>
    <w:p w:rsidR="000F3F5C" w:rsidRDefault="000F3F5C" w:rsidP="000F3F5C">
      <w:pPr>
        <w:rPr>
          <w:b/>
        </w:rPr>
      </w:pPr>
      <w:r w:rsidRPr="0050535F">
        <w:rPr>
          <w:rFonts w:eastAsia="Verdana"/>
          <w:bCs/>
          <w:lang w:val="uk-UA"/>
        </w:rPr>
        <w:lastRenderedPageBreak/>
        <w:t xml:space="preserve"> </w:t>
      </w:r>
      <w:r w:rsidRPr="0050535F">
        <w:rPr>
          <w:rFonts w:eastAsia="Verdana"/>
          <w:bCs/>
          <w:lang w:val="uk-UA"/>
        </w:rPr>
        <w:tab/>
      </w:r>
      <w:r>
        <w:rPr>
          <w:rFonts w:eastAsia="Verdana"/>
          <w:b/>
          <w:bCs/>
        </w:rPr>
        <w:t>3.  </w:t>
      </w:r>
      <w:r>
        <w:rPr>
          <w:b/>
        </w:rPr>
        <w:t>Відповідність законопроекту праву ЄС.</w:t>
      </w:r>
    </w:p>
    <w:p w:rsidR="000F3F5C" w:rsidRPr="0050535F" w:rsidRDefault="000F3F5C" w:rsidP="000F3F5C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535F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правового аналізу проекту Закону щодо його відповідності a</w:t>
      </w:r>
      <w:r w:rsidRPr="0050535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0535F">
        <w:rPr>
          <w:rFonts w:ascii="Times New Roman" w:eastAsia="Times New Roman" w:hAnsi="Times New Roman"/>
          <w:sz w:val="28"/>
          <w:szCs w:val="28"/>
          <w:lang w:val="uk-UA" w:eastAsia="ru-RU"/>
        </w:rPr>
        <w:t>quis ЄС та Угоді про асоціацію слід зазначити таке.</w:t>
      </w:r>
    </w:p>
    <w:p w:rsidR="000F3F5C" w:rsidRPr="0050535F" w:rsidRDefault="000F3F5C" w:rsidP="000F3F5C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0535F">
        <w:rPr>
          <w:rFonts w:ascii="Times New Roman" w:hAnsi="Times New Roman"/>
          <w:sz w:val="28"/>
          <w:szCs w:val="28"/>
          <w:lang w:val="uk-UA"/>
        </w:rPr>
        <w:t xml:space="preserve">Пунктом </w:t>
      </w:r>
      <w:r w:rsidRPr="0050535F">
        <w:rPr>
          <w:rFonts w:ascii="Times New Roman" w:hAnsi="Times New Roman"/>
          <w:sz w:val="28"/>
          <w:szCs w:val="28"/>
          <w:lang w:val="en-US"/>
        </w:rPr>
        <w:t>e</w:t>
      </w:r>
      <w:r w:rsidRPr="0050535F">
        <w:rPr>
          <w:rFonts w:ascii="Times New Roman" w:hAnsi="Times New Roman"/>
          <w:sz w:val="28"/>
          <w:szCs w:val="28"/>
          <w:lang w:val="uk-UA"/>
        </w:rPr>
        <w:t xml:space="preserve"> частини другої статті 1 Угоди про асоціацію визначено, що цілями Угоди, зокрема, є «посилення співробітництва у сфері юстиції, свободи та безпеки з метою забезпечення верховенства права та поваги до прав людини і </w:t>
      </w:r>
      <w:r w:rsidRPr="0050535F">
        <w:rPr>
          <w:rFonts w:ascii="Times New Roman" w:hAnsi="Times New Roman"/>
          <w:sz w:val="28"/>
          <w:szCs w:val="28"/>
        </w:rPr>
        <w:t>основоположних свобод</w:t>
      </w:r>
      <w:r w:rsidRPr="0050535F">
        <w:rPr>
          <w:rFonts w:ascii="Times New Roman" w:hAnsi="Times New Roman"/>
          <w:sz w:val="28"/>
          <w:szCs w:val="28"/>
          <w:lang w:val="uk-UA"/>
        </w:rPr>
        <w:t xml:space="preserve">», а отже проект Закону за своєю метою </w:t>
      </w:r>
      <w:r w:rsidRPr="0050535F">
        <w:rPr>
          <w:rFonts w:ascii="Times New Roman" w:hAnsi="Times New Roman"/>
          <w:i/>
          <w:sz w:val="28"/>
          <w:szCs w:val="28"/>
          <w:u w:val="single"/>
          <w:lang w:val="uk-UA"/>
        </w:rPr>
        <w:t>не суперечить</w:t>
      </w:r>
      <w:r w:rsidRPr="0050535F">
        <w:rPr>
          <w:rFonts w:ascii="Times New Roman" w:hAnsi="Times New Roman"/>
          <w:sz w:val="28"/>
          <w:szCs w:val="28"/>
          <w:lang w:val="uk-UA"/>
        </w:rPr>
        <w:t xml:space="preserve"> цілям Угоди про асоціацію.</w:t>
      </w:r>
    </w:p>
    <w:p w:rsidR="00E70D63" w:rsidRPr="0050535F" w:rsidRDefault="00E70D63" w:rsidP="00E70D63">
      <w:pPr>
        <w:ind w:firstLine="709"/>
        <w:jc w:val="both"/>
        <w:rPr>
          <w:color w:val="000000" w:themeColor="text1"/>
          <w:szCs w:val="28"/>
          <w:lang w:val="uk-UA"/>
        </w:rPr>
      </w:pPr>
      <w:r w:rsidRPr="0050535F">
        <w:rPr>
          <w:color w:val="000000" w:themeColor="text1"/>
          <w:szCs w:val="28"/>
          <w:lang w:val="uk-UA"/>
        </w:rPr>
        <w:t xml:space="preserve">Для досягнення вказаної мети у законопроекті пропонується внести </w:t>
      </w:r>
      <w:r w:rsidRPr="0050535F">
        <w:rPr>
          <w:szCs w:val="28"/>
          <w:lang w:val="uk-UA"/>
        </w:rPr>
        <w:t>зміни до Кримінально-виконавчого кодексу України , Закону України «Про попереднє ув’язнення», а також до деяких інших законів України, якими</w:t>
      </w:r>
      <w:r w:rsidRPr="0050535F">
        <w:rPr>
          <w:color w:val="000000" w:themeColor="text1"/>
          <w:szCs w:val="28"/>
          <w:lang w:val="uk-UA"/>
        </w:rPr>
        <w:t xml:space="preserve">: 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>запровадити нову систему класифікації та розподілу засуджених на підставі оцінки ризиків та потреб засуджених;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 xml:space="preserve">переглянути повноваження уповноваженого органу з питань пробації задля забезпечення здійснення ним нагляду за особами, звільненими умовно-достроково від відбування покарання у виді пробаційного нагляду, позбавлення волі; 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 xml:space="preserve">встановити порядок виконання покарання у виді пробаційного нагляду; 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 xml:space="preserve">удосконалити порядок виконання покарання у виді позбавлення права обіймати певні посади або займатися певною діяльністю, штрафу, громадських і виправних робіт; 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 xml:space="preserve">визначити особливості соціально-виховної роботи із засудженими до позбавлення волі; 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 xml:space="preserve">змінити порядок дострокового звільнення від відбування покарання та заміни невідбутої частини покарання більш м’яким; 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 xml:space="preserve">запровадити створення приватних слідчих ізоляторів та можливості надання особам, взятим під варту, платних послуг із забезпечення поліпшених побутових умов та харчування; </w:t>
      </w:r>
    </w:p>
    <w:p w:rsidR="00E70D63" w:rsidRPr="0050535F" w:rsidRDefault="00E70D63" w:rsidP="00FB34B2">
      <w:pPr>
        <w:ind w:left="709"/>
        <w:jc w:val="both"/>
        <w:rPr>
          <w:szCs w:val="28"/>
        </w:rPr>
      </w:pPr>
      <w:r w:rsidRPr="0050535F">
        <w:rPr>
          <w:szCs w:val="28"/>
        </w:rPr>
        <w:t>удосконалити порядок надання побачень особам, взятим під варту, листування та телефонних дзвінків таких осіб, порядок надсилання ними скарг, заяв і листів та доступу до мережі Інтернет;</w:t>
      </w:r>
    </w:p>
    <w:p w:rsidR="00E70D63" w:rsidRPr="0050535F" w:rsidRDefault="00E70D63" w:rsidP="0050535F">
      <w:pPr>
        <w:ind w:left="709"/>
        <w:jc w:val="both"/>
        <w:rPr>
          <w:szCs w:val="28"/>
        </w:rPr>
      </w:pPr>
      <w:r w:rsidRPr="0050535F">
        <w:rPr>
          <w:szCs w:val="28"/>
        </w:rPr>
        <w:t xml:space="preserve">уточнити підстави для застосування пробації тощо. </w:t>
      </w:r>
    </w:p>
    <w:p w:rsidR="00E70D63" w:rsidRPr="0050535F" w:rsidRDefault="0050535F" w:rsidP="008D0732">
      <w:pPr>
        <w:jc w:val="both"/>
        <w:rPr>
          <w:lang w:val="uk-UA"/>
        </w:rPr>
      </w:pPr>
      <w:r>
        <w:tab/>
      </w:r>
      <w:r w:rsidR="00E70D63" w:rsidRPr="0050535F">
        <w:rPr>
          <w:szCs w:val="28"/>
          <w:lang w:val="uk-UA"/>
        </w:rPr>
        <w:t xml:space="preserve">Як зазначається у Рекомендації Комітету Міністрів Ради Європи CM/Rec (2014) 4 </w:t>
      </w:r>
      <w:r w:rsidR="008D0732" w:rsidRPr="0050535F">
        <w:rPr>
          <w:szCs w:val="28"/>
          <w:lang w:val="uk-UA"/>
        </w:rPr>
        <w:t>від 19.02.2014: «П</w:t>
      </w:r>
      <w:r w:rsidR="00E70D63" w:rsidRPr="0050535F">
        <w:rPr>
          <w:szCs w:val="28"/>
          <w:lang w:val="uk-UA"/>
        </w:rPr>
        <w:t xml:space="preserve">огоджуючись з тим, що позбавлення волі слід використовувати як крайній захід і що </w:t>
      </w:r>
      <w:r w:rsidR="008D0732" w:rsidRPr="0050535F">
        <w:rPr>
          <w:szCs w:val="28"/>
          <w:lang w:val="uk-UA"/>
        </w:rPr>
        <w:t>питання щодо більшості</w:t>
      </w:r>
      <w:r w:rsidR="00E70D63" w:rsidRPr="0050535F">
        <w:rPr>
          <w:szCs w:val="28"/>
          <w:lang w:val="uk-UA"/>
        </w:rPr>
        <w:t xml:space="preserve"> підозрюваних та правопорушників можна ефективно</w:t>
      </w:r>
      <w:r w:rsidR="00E70D63" w:rsidRPr="0050535F">
        <w:rPr>
          <w:sz w:val="32"/>
          <w:lang w:val="uk-UA"/>
        </w:rPr>
        <w:t xml:space="preserve"> </w:t>
      </w:r>
      <w:r w:rsidR="00E70D63" w:rsidRPr="0050535F">
        <w:rPr>
          <w:lang w:val="uk-UA"/>
        </w:rPr>
        <w:t xml:space="preserve">та економічно ефективно вирішувати у громаді; Враховуючи, що тривале зростання ув’язненого населення може призвести до умов утримання, які не відповідають статті 3 Конвенції про захист прав людини та </w:t>
      </w:r>
      <w:r w:rsidR="008D0732" w:rsidRPr="0050535F">
        <w:rPr>
          <w:lang w:val="uk-UA"/>
        </w:rPr>
        <w:t>основоположні свободи</w:t>
      </w:r>
      <w:r w:rsidR="00E70D63" w:rsidRPr="0050535F">
        <w:rPr>
          <w:lang w:val="uk-UA"/>
        </w:rPr>
        <w:t xml:space="preserve">, як це підкреслюється відповідною судовою практикою </w:t>
      </w:r>
      <w:r w:rsidR="008D0732" w:rsidRPr="0050535F">
        <w:rPr>
          <w:lang w:val="uk-UA"/>
        </w:rPr>
        <w:t>Європейського с</w:t>
      </w:r>
      <w:r w:rsidR="00E70D63" w:rsidRPr="0050535F">
        <w:rPr>
          <w:lang w:val="uk-UA"/>
        </w:rPr>
        <w:t>уд</w:t>
      </w:r>
      <w:r w:rsidR="008D0732" w:rsidRPr="0050535F">
        <w:rPr>
          <w:lang w:val="uk-UA"/>
        </w:rPr>
        <w:t>у з прав людини».</w:t>
      </w:r>
    </w:p>
    <w:p w:rsidR="008D0732" w:rsidRPr="0050535F" w:rsidRDefault="008D0732" w:rsidP="008D0732">
      <w:pPr>
        <w:jc w:val="both"/>
        <w:rPr>
          <w:lang w:val="uk-UA"/>
        </w:rPr>
      </w:pPr>
      <w:r w:rsidRPr="0050535F">
        <w:rPr>
          <w:lang w:val="uk-UA"/>
        </w:rPr>
        <w:tab/>
        <w:t xml:space="preserve">За метою, положення, запропоновані законопроектом </w:t>
      </w:r>
      <w:r w:rsidRPr="0050535F">
        <w:rPr>
          <w:i/>
          <w:u w:val="single"/>
          <w:lang w:val="uk-UA"/>
        </w:rPr>
        <w:t>не суперечать</w:t>
      </w:r>
      <w:r w:rsidRPr="0050535F">
        <w:rPr>
          <w:lang w:val="uk-UA"/>
        </w:rPr>
        <w:t xml:space="preserve"> пунктам 1-5, 14, 15 Рекомендації Rec (99) 22 щодо переповненості в'язниць та збільшення ув’язненого населення. </w:t>
      </w:r>
    </w:p>
    <w:p w:rsidR="008D0732" w:rsidRPr="0050535F" w:rsidRDefault="0050535F" w:rsidP="008D0732">
      <w:pPr>
        <w:jc w:val="both"/>
        <w:rPr>
          <w:lang w:val="uk-UA"/>
        </w:rPr>
      </w:pPr>
      <w:r>
        <w:rPr>
          <w:lang w:val="uk-UA"/>
        </w:rPr>
        <w:tab/>
      </w:r>
      <w:r w:rsidR="008D0732" w:rsidRPr="0050535F">
        <w:rPr>
          <w:lang w:val="uk-UA"/>
        </w:rPr>
        <w:t xml:space="preserve">Положення проекту Закону також </w:t>
      </w:r>
      <w:r w:rsidR="008D0732" w:rsidRPr="0050535F">
        <w:rPr>
          <w:i/>
          <w:u w:val="single"/>
          <w:lang w:val="uk-UA"/>
        </w:rPr>
        <w:t>не суперечать</w:t>
      </w:r>
      <w:r w:rsidR="008D0732" w:rsidRPr="0050535F">
        <w:rPr>
          <w:lang w:val="uk-UA"/>
        </w:rPr>
        <w:t xml:space="preserve"> пункту 1 Рекомендації Rec (2000) 22 щодо покращення імплементації європейських правил </w:t>
      </w:r>
      <w:r w:rsidR="00FB34B2" w:rsidRPr="0050535F">
        <w:rPr>
          <w:lang w:val="uk-UA"/>
        </w:rPr>
        <w:t>щодо санкцій та заходів громад.</w:t>
      </w:r>
    </w:p>
    <w:p w:rsidR="00FB34B2" w:rsidRPr="0050535F" w:rsidRDefault="00FB34B2" w:rsidP="00FB34B2">
      <w:pPr>
        <w:autoSpaceDE w:val="0"/>
        <w:autoSpaceDN w:val="0"/>
        <w:adjustRightInd w:val="0"/>
        <w:ind w:firstLine="709"/>
        <w:jc w:val="both"/>
        <w:rPr>
          <w:color w:val="000000" w:themeColor="text1"/>
          <w:szCs w:val="28"/>
        </w:rPr>
      </w:pPr>
      <w:r w:rsidRPr="0050535F">
        <w:rPr>
          <w:lang w:val="uk-UA"/>
        </w:rPr>
        <w:lastRenderedPageBreak/>
        <w:tab/>
      </w:r>
      <w:r w:rsidR="008D0732" w:rsidRPr="0050535F">
        <w:rPr>
          <w:lang w:val="uk-UA"/>
        </w:rPr>
        <w:t xml:space="preserve">Головне науково-експертне управління у своєму висновку до проекту Закону зазначають на наявності </w:t>
      </w:r>
      <w:r w:rsidRPr="0050535F">
        <w:rPr>
          <w:lang w:val="uk-UA"/>
        </w:rPr>
        <w:t xml:space="preserve">«низки термінів, зміст яких є неповним, оціночним, характеризується </w:t>
      </w:r>
      <w:r w:rsidRPr="0050535F">
        <w:rPr>
          <w:szCs w:val="28"/>
          <w:lang w:val="uk-UA"/>
        </w:rPr>
        <w:t>нечіткістю та неоднозначністю, що може ускладнити їх застосування»</w:t>
      </w:r>
      <w:r w:rsidRPr="0050535F">
        <w:rPr>
          <w:lang w:val="uk-UA"/>
        </w:rPr>
        <w:t>, що порушує принцип правової визначеності.</w:t>
      </w:r>
      <w:r w:rsidRPr="0050535F">
        <w:rPr>
          <w:lang w:val="uk-UA"/>
        </w:rPr>
        <w:br/>
      </w:r>
      <w:r w:rsidR="0050535F">
        <w:rPr>
          <w:lang w:val="uk-UA"/>
        </w:rPr>
        <w:tab/>
      </w:r>
      <w:r w:rsidRPr="0050535F">
        <w:rPr>
          <w:lang w:val="uk-UA"/>
        </w:rPr>
        <w:t>Також, у висновку ГНЕУ йдеться про таке: «</w:t>
      </w:r>
      <w:r w:rsidRPr="0050535F">
        <w:rPr>
          <w:szCs w:val="28"/>
        </w:rPr>
        <w:t xml:space="preserve">законопроектом пропонується створення приватних слідчих ізоляторів (ст. ст. 4, 4-1 Закону України «Про попереднє ув’язнення» у редакції проекту). Однак такий законодавчий підхід не враховує принцип рівності усіх ув’язнених перед законом, підґрунтям якого є конституційний принцип рівності усіх перед законом (ст. 24 Конституції України). Про те, що всі люди рівні перед законом і мають право, без будь-якої різниці, на рівний їх захист законом, йдеться й у ст. 7 Загальної декларації прав людини від 10.12.1948. Статтею 6 Мінімальних стандартних правил поводження з в’язнями </w:t>
      </w:r>
      <w:r w:rsidRPr="0050535F">
        <w:rPr>
          <w:color w:val="000000" w:themeColor="text1"/>
          <w:szCs w:val="28"/>
        </w:rPr>
        <w:t xml:space="preserve">від 30.08.1955 передбачено, що </w:t>
      </w:r>
      <w:r w:rsidRPr="0050535F">
        <w:rPr>
          <w:szCs w:val="28"/>
        </w:rPr>
        <w:t>«</w:t>
      </w:r>
      <w:r w:rsidRPr="0050535F">
        <w:rPr>
          <w:color w:val="000000" w:themeColor="text1"/>
          <w:szCs w:val="28"/>
        </w:rPr>
        <w:t>дискримінація за ознакою раси, кольору шкіри, статі, мови, релігійних, політичних та інших переконань, національного або соціального походження, майнового стану, сімейного становища або соціального стану неприпустима</w:t>
      </w:r>
      <w:r w:rsidRPr="0050535F">
        <w:rPr>
          <w:szCs w:val="28"/>
        </w:rPr>
        <w:t>»</w:t>
      </w:r>
      <w:r w:rsidRPr="0050535F">
        <w:rPr>
          <w:color w:val="000000" w:themeColor="text1"/>
          <w:szCs w:val="28"/>
        </w:rPr>
        <w:t xml:space="preserve">. Вказаний принцип знайшов своє відображення також у чинній ч. 3 ст. 6 Закону, у якій наголошується на тому, що надання будь-яких пільг чи переваг особам, які перебувають у місцях попереднього ув’язнення, залежно від їх расової, національної приналежності, ставлення до релігії, </w:t>
      </w:r>
      <w:r w:rsidRPr="0050535F">
        <w:rPr>
          <w:i/>
          <w:color w:val="000000" w:themeColor="text1"/>
          <w:szCs w:val="28"/>
        </w:rPr>
        <w:t>майнового стану</w:t>
      </w:r>
      <w:r w:rsidRPr="0050535F">
        <w:rPr>
          <w:color w:val="000000" w:themeColor="text1"/>
          <w:szCs w:val="28"/>
        </w:rPr>
        <w:t>, політичних поглядів та минулих заслуг, не допускається</w:t>
      </w:r>
      <w:r w:rsidRPr="0050535F">
        <w:rPr>
          <w:color w:val="000000" w:themeColor="text1"/>
          <w:szCs w:val="28"/>
          <w:lang w:val="uk-UA"/>
        </w:rPr>
        <w:t>»</w:t>
      </w:r>
      <w:r w:rsidRPr="0050535F">
        <w:rPr>
          <w:color w:val="000000" w:themeColor="text1"/>
          <w:szCs w:val="28"/>
        </w:rPr>
        <w:t>.</w:t>
      </w:r>
    </w:p>
    <w:p w:rsidR="008D0732" w:rsidRPr="00FB34B2" w:rsidRDefault="008D0732" w:rsidP="008D0732">
      <w:pPr>
        <w:jc w:val="both"/>
      </w:pPr>
    </w:p>
    <w:p w:rsidR="000F3F5C" w:rsidRDefault="000F3F5C" w:rsidP="000F3F5C">
      <w:pPr>
        <w:ind w:firstLine="567"/>
        <w:jc w:val="both"/>
        <w:rPr>
          <w:b/>
        </w:rPr>
      </w:pPr>
      <w:r w:rsidRPr="00E70D63">
        <w:rPr>
          <w:rFonts w:eastAsia="Verdana"/>
          <w:b/>
          <w:bCs/>
          <w:lang w:val="uk-UA"/>
        </w:rPr>
        <w:t>4.</w:t>
      </w:r>
      <w:r>
        <w:rPr>
          <w:rFonts w:eastAsia="Verdana"/>
          <w:bCs/>
        </w:rPr>
        <w:t>   </w:t>
      </w:r>
      <w:r>
        <w:rPr>
          <w:b/>
        </w:rPr>
        <w:t>Висновок Комітету з питань інтеграції України до Європейського Союзу.</w:t>
      </w:r>
    </w:p>
    <w:p w:rsidR="00FF29D0" w:rsidRPr="001B15B9" w:rsidRDefault="000F3F5C" w:rsidP="00FF29D0">
      <w:pPr>
        <w:shd w:val="clear" w:color="auto" w:fill="FFFFFF"/>
        <w:jc w:val="both"/>
        <w:textAlignment w:val="baseline"/>
        <w:outlineLvl w:val="2"/>
        <w:rPr>
          <w:b/>
          <w:bCs/>
          <w:i/>
          <w:szCs w:val="28"/>
          <w:u w:val="single"/>
          <w:lang w:val="uk-UA" w:eastAsia="uk-UA"/>
        </w:rPr>
      </w:pPr>
      <w:r>
        <w:rPr>
          <w:rFonts w:eastAsia="MS Mincho"/>
        </w:rPr>
        <w:t xml:space="preserve"> </w:t>
      </w:r>
      <w:r>
        <w:rPr>
          <w:rFonts w:eastAsia="MS Mincho"/>
        </w:rPr>
        <w:tab/>
      </w:r>
      <w:r w:rsidR="00FF29D0" w:rsidRPr="001B15B9">
        <w:rPr>
          <w:rFonts w:eastAsia="MS Mincho"/>
          <w:bCs/>
          <w:szCs w:val="28"/>
          <w:lang w:val="uk-UA" w:eastAsia="uk-UA"/>
        </w:rPr>
        <w:t xml:space="preserve">Проект Закону </w:t>
      </w:r>
      <w:r w:rsidR="00FF29D0" w:rsidRPr="001B15B9">
        <w:rPr>
          <w:bCs/>
          <w:szCs w:val="28"/>
          <w:lang w:val="uk-UA" w:eastAsia="uk-UA"/>
        </w:rPr>
        <w:t xml:space="preserve">«Про внесення змін до деяких законодавчих актів щодо розвитку системи пробації, збільшення альтернатив позбавленню волі та створення умов для зниження рецидивної злочинності» (реєстр. № 5359 від 12.04.2021 р., КМУ, Д. Шмигаль) </w:t>
      </w:r>
      <w:r w:rsidR="00FF29D0" w:rsidRPr="001B15B9">
        <w:rPr>
          <w:b/>
          <w:bCs/>
          <w:i/>
          <w:szCs w:val="28"/>
          <w:u w:val="single"/>
          <w:lang w:val="uk-UA" w:eastAsia="uk-UA"/>
        </w:rPr>
        <w:t>за метою не суперечить Угоді про асоціацію</w:t>
      </w:r>
      <w:r w:rsidR="00FF29D0" w:rsidRPr="001B15B9">
        <w:rPr>
          <w:bCs/>
          <w:szCs w:val="28"/>
          <w:lang w:val="uk-UA" w:eastAsia="uk-UA"/>
        </w:rPr>
        <w:t xml:space="preserve">, </w:t>
      </w:r>
      <w:r w:rsidR="00FF29D0" w:rsidRPr="001B15B9">
        <w:rPr>
          <w:b/>
          <w:bCs/>
          <w:i/>
          <w:szCs w:val="28"/>
          <w:u w:val="single"/>
          <w:lang w:val="uk-UA" w:eastAsia="uk-UA"/>
        </w:rPr>
        <w:t xml:space="preserve">проте </w:t>
      </w:r>
      <w:r w:rsidR="00FF29D0">
        <w:rPr>
          <w:b/>
          <w:bCs/>
          <w:i/>
          <w:szCs w:val="28"/>
          <w:u w:val="single"/>
          <w:lang w:val="uk-UA" w:eastAsia="uk-UA"/>
        </w:rPr>
        <w:t xml:space="preserve">порушує принцип недискримінації та </w:t>
      </w:r>
      <w:r w:rsidR="00FF29D0" w:rsidRPr="001B15B9">
        <w:rPr>
          <w:b/>
          <w:bCs/>
          <w:i/>
          <w:szCs w:val="28"/>
          <w:u w:val="single"/>
          <w:lang w:val="uk-UA" w:eastAsia="uk-UA"/>
        </w:rPr>
        <w:t xml:space="preserve">потребує </w:t>
      </w:r>
      <w:r w:rsidR="00FF29D0">
        <w:rPr>
          <w:b/>
          <w:bCs/>
          <w:i/>
          <w:szCs w:val="28"/>
          <w:u w:val="single"/>
          <w:lang w:val="uk-UA" w:eastAsia="uk-UA"/>
        </w:rPr>
        <w:t xml:space="preserve">суттєвого </w:t>
      </w:r>
      <w:r w:rsidR="00FF29D0" w:rsidRPr="001B15B9">
        <w:rPr>
          <w:b/>
          <w:bCs/>
          <w:i/>
          <w:szCs w:val="28"/>
          <w:u w:val="single"/>
          <w:lang w:val="uk-UA" w:eastAsia="uk-UA"/>
        </w:rPr>
        <w:t>доопрацювання з метою недопущення порушення принципу правової визначеності.</w:t>
      </w:r>
    </w:p>
    <w:p w:rsidR="000F3F5C" w:rsidRPr="0050535F" w:rsidRDefault="000F3F5C" w:rsidP="00FF29D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i/>
          <w:szCs w:val="28"/>
          <w:u w:val="single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4B682E" w:rsidRPr="004B682E" w:rsidRDefault="004B682E" w:rsidP="004B682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sectPr w:rsidR="004B682E" w:rsidRPr="004B682E" w:rsidSect="000F3F5C"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573" w:rsidRDefault="00470573" w:rsidP="00B63A89">
      <w:r>
        <w:separator/>
      </w:r>
    </w:p>
  </w:endnote>
  <w:endnote w:type="continuationSeparator" w:id="0">
    <w:p w:rsidR="00470573" w:rsidRDefault="00470573" w:rsidP="00B63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573" w:rsidRDefault="00470573" w:rsidP="00B63A89">
      <w:r>
        <w:separator/>
      </w:r>
    </w:p>
  </w:footnote>
  <w:footnote w:type="continuationSeparator" w:id="0">
    <w:p w:rsidR="00470573" w:rsidRDefault="00470573" w:rsidP="00B63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5C" w:rsidRPr="006D04CE" w:rsidRDefault="000F3F5C" w:rsidP="000F3F5C">
    <w:pPr>
      <w:pStyle w:val="a5"/>
      <w:tabs>
        <w:tab w:val="left" w:pos="5103"/>
      </w:tabs>
      <w:rPr>
        <w:color w:val="002060"/>
        <w:sz w:val="24"/>
      </w:rPr>
    </w:pPr>
    <w:r w:rsidRPr="006D04CE">
      <w:rPr>
        <w:noProof/>
        <w:sz w:val="24"/>
        <w:lang w:val="uk-UA" w:eastAsia="uk-UA"/>
      </w:rPr>
      <w:drawing>
        <wp:anchor distT="360045" distB="0" distL="114300" distR="114300" simplePos="0" relativeHeight="251659264" behindDoc="0" locked="0" layoutInCell="1" allowOverlap="1" wp14:anchorId="349A74B4" wp14:editId="247C0026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3F5C" w:rsidRPr="006D04CE" w:rsidRDefault="000F3F5C" w:rsidP="000F3F5C">
    <w:pPr>
      <w:pStyle w:val="a5"/>
      <w:tabs>
        <w:tab w:val="left" w:pos="5103"/>
      </w:tabs>
      <w:rPr>
        <w:color w:val="002060"/>
        <w:sz w:val="24"/>
      </w:rPr>
    </w:pPr>
  </w:p>
  <w:p w:rsidR="000F3F5C" w:rsidRDefault="000F3F5C" w:rsidP="000F3F5C">
    <w:pPr>
      <w:pStyle w:val="a5"/>
      <w:tabs>
        <w:tab w:val="left" w:pos="5103"/>
      </w:tabs>
      <w:rPr>
        <w:color w:val="002060"/>
        <w:sz w:val="24"/>
      </w:rPr>
    </w:pPr>
  </w:p>
  <w:p w:rsidR="000F3F5C" w:rsidRPr="006D04CE" w:rsidRDefault="000F3F5C" w:rsidP="000F3F5C">
    <w:pPr>
      <w:pStyle w:val="a5"/>
      <w:tabs>
        <w:tab w:val="left" w:pos="5103"/>
      </w:tabs>
      <w:rPr>
        <w:color w:val="002060"/>
        <w:sz w:val="24"/>
      </w:rPr>
    </w:pPr>
  </w:p>
  <w:p w:rsidR="000F3F5C" w:rsidRPr="006D04CE" w:rsidRDefault="000F3F5C" w:rsidP="000F3F5C">
    <w:pPr>
      <w:pStyle w:val="a5"/>
      <w:tabs>
        <w:tab w:val="left" w:pos="5103"/>
      </w:tabs>
      <w:spacing w:before="80"/>
      <w:jc w:val="center"/>
      <w:rPr>
        <w:color w:val="1829A8"/>
        <w:spacing w:val="20"/>
        <w:sz w:val="34"/>
        <w:szCs w:val="34"/>
      </w:rPr>
    </w:pPr>
    <w:r w:rsidRPr="006D04CE">
      <w:rPr>
        <w:color w:val="1829A8"/>
        <w:spacing w:val="20"/>
        <w:sz w:val="34"/>
        <w:szCs w:val="34"/>
      </w:rPr>
      <w:t>ВЕРХОВНА РАДА УКРАЇНИ</w:t>
    </w:r>
  </w:p>
  <w:p w:rsidR="000F3F5C" w:rsidRPr="006D04CE" w:rsidRDefault="000F3F5C" w:rsidP="000F3F5C">
    <w:pPr>
      <w:pStyle w:val="a5"/>
      <w:tabs>
        <w:tab w:val="left" w:pos="5103"/>
      </w:tabs>
      <w:spacing w:before="100"/>
      <w:jc w:val="center"/>
      <w:rPr>
        <w:b/>
        <w:color w:val="1829A8"/>
        <w:spacing w:val="20"/>
        <w:sz w:val="24"/>
      </w:rPr>
    </w:pPr>
    <w:r w:rsidRPr="006D04CE">
      <w:rPr>
        <w:b/>
        <w:color w:val="1829A8"/>
        <w:spacing w:val="20"/>
        <w:sz w:val="24"/>
      </w:rPr>
      <w:t>Комітет з питань інтеграції України до Європейського Союзу</w:t>
    </w:r>
  </w:p>
  <w:p w:rsidR="000F3F5C" w:rsidRPr="006D04CE" w:rsidRDefault="000F3F5C" w:rsidP="000F3F5C">
    <w:pPr>
      <w:pStyle w:val="a5"/>
      <w:tabs>
        <w:tab w:val="left" w:pos="5103"/>
      </w:tabs>
      <w:spacing w:before="100"/>
      <w:jc w:val="center"/>
      <w:rPr>
        <w:b/>
        <w:color w:val="1829A8"/>
        <w:spacing w:val="20"/>
        <w:sz w:val="20"/>
        <w:szCs w:val="20"/>
      </w:rPr>
    </w:pPr>
    <w:r w:rsidRPr="006D04CE">
      <w:rPr>
        <w:color w:val="1829A8"/>
        <w:sz w:val="20"/>
        <w:szCs w:val="20"/>
      </w:rPr>
      <w:t>01008, м.Київ-8, вул. М. Грушевського, 5, тел.: 255-34-42, факс: 255-33-13, e-mail: comeuroint@v.rada.gov.ua</w:t>
    </w:r>
  </w:p>
  <w:p w:rsidR="000F3F5C" w:rsidRDefault="000F3F5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C7A96"/>
    <w:multiLevelType w:val="hybridMultilevel"/>
    <w:tmpl w:val="408A4FE4"/>
    <w:lvl w:ilvl="0" w:tplc="0422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D670B19"/>
    <w:multiLevelType w:val="hybridMultilevel"/>
    <w:tmpl w:val="D6FAC62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78F6E74"/>
    <w:multiLevelType w:val="hybridMultilevel"/>
    <w:tmpl w:val="57747E80"/>
    <w:lvl w:ilvl="0" w:tplc="0A745C18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84B2B85"/>
    <w:multiLevelType w:val="hybridMultilevel"/>
    <w:tmpl w:val="6B4A74EC"/>
    <w:lvl w:ilvl="0" w:tplc="0A745C18"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8E"/>
    <w:rsid w:val="000311CB"/>
    <w:rsid w:val="000E7573"/>
    <w:rsid w:val="000F3F5C"/>
    <w:rsid w:val="001D3B47"/>
    <w:rsid w:val="002465AC"/>
    <w:rsid w:val="00351DE5"/>
    <w:rsid w:val="003C0775"/>
    <w:rsid w:val="00447BCA"/>
    <w:rsid w:val="00457105"/>
    <w:rsid w:val="004620E8"/>
    <w:rsid w:val="00470573"/>
    <w:rsid w:val="00491F57"/>
    <w:rsid w:val="004B682E"/>
    <w:rsid w:val="0050535F"/>
    <w:rsid w:val="00543C8E"/>
    <w:rsid w:val="005C360B"/>
    <w:rsid w:val="005D10F3"/>
    <w:rsid w:val="0060592A"/>
    <w:rsid w:val="006C6D44"/>
    <w:rsid w:val="00721188"/>
    <w:rsid w:val="007D4BA5"/>
    <w:rsid w:val="008D0732"/>
    <w:rsid w:val="008F6447"/>
    <w:rsid w:val="009A7B1B"/>
    <w:rsid w:val="009D44CA"/>
    <w:rsid w:val="009F4DAF"/>
    <w:rsid w:val="00B2211B"/>
    <w:rsid w:val="00B24CD9"/>
    <w:rsid w:val="00B26EAD"/>
    <w:rsid w:val="00B63A89"/>
    <w:rsid w:val="00C06FF9"/>
    <w:rsid w:val="00D6660C"/>
    <w:rsid w:val="00DF1318"/>
    <w:rsid w:val="00E25F25"/>
    <w:rsid w:val="00E50065"/>
    <w:rsid w:val="00E70D63"/>
    <w:rsid w:val="00E85E02"/>
    <w:rsid w:val="00FA4F9D"/>
    <w:rsid w:val="00FB34B2"/>
    <w:rsid w:val="00FF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8C706"/>
  <w15:chartTrackingRefBased/>
  <w15:docId w15:val="{AC1F0BB7-FC13-4809-BABB-33FF89AF0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C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43C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43C8E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3C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543C8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11">
    <w:name w:val="Абзац списку1"/>
    <w:basedOn w:val="a"/>
    <w:qFormat/>
    <w:rsid w:val="00543C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3">
    <w:name w:val="footer"/>
    <w:basedOn w:val="a"/>
    <w:link w:val="a4"/>
    <w:unhideWhenUsed/>
    <w:rsid w:val="00B63A89"/>
    <w:pPr>
      <w:tabs>
        <w:tab w:val="center" w:pos="4677"/>
        <w:tab w:val="right" w:pos="9355"/>
      </w:tabs>
    </w:pPr>
    <w:rPr>
      <w:szCs w:val="28"/>
      <w:lang w:val="en-US"/>
    </w:rPr>
  </w:style>
  <w:style w:type="character" w:customStyle="1" w:styleId="a4">
    <w:name w:val="Нижній колонтитул Знак"/>
    <w:basedOn w:val="a0"/>
    <w:link w:val="a3"/>
    <w:rsid w:val="00B63A8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B63A8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B63A89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a7">
    <w:name w:val="Нормальний текст"/>
    <w:basedOn w:val="a"/>
    <w:rsid w:val="008F6447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8">
    <w:name w:val="List Paragraph"/>
    <w:basedOn w:val="a"/>
    <w:link w:val="a9"/>
    <w:uiPriority w:val="34"/>
    <w:qFormat/>
    <w:rsid w:val="00FA4F9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character" w:customStyle="1" w:styleId="a9">
    <w:name w:val="Абзац списку Знак"/>
    <w:link w:val="a8"/>
    <w:uiPriority w:val="34"/>
    <w:locked/>
    <w:rsid w:val="000F3F5C"/>
    <w:rPr>
      <w:rFonts w:ascii="Calibri" w:eastAsia="Times New Roman" w:hAnsi="Calibri" w:cs="Times New Roman"/>
      <w:lang w:eastAsia="uk-UA"/>
    </w:rPr>
  </w:style>
  <w:style w:type="character" w:styleId="aa">
    <w:name w:val="Hyperlink"/>
    <w:basedOn w:val="a0"/>
    <w:uiPriority w:val="99"/>
    <w:unhideWhenUsed/>
    <w:rsid w:val="00E70D63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8D07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5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4436</Words>
  <Characters>2529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Кузьменко Ксенія Володимирівна</cp:lastModifiedBy>
  <cp:revision>20</cp:revision>
  <dcterms:created xsi:type="dcterms:W3CDTF">2021-01-28T07:53:00Z</dcterms:created>
  <dcterms:modified xsi:type="dcterms:W3CDTF">2021-10-21T10:53:00Z</dcterms:modified>
</cp:coreProperties>
</file>