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890" w:rsidRPr="00723890" w:rsidRDefault="00723890" w:rsidP="00723890">
      <w:pPr>
        <w:spacing w:after="0"/>
        <w:jc w:val="center"/>
        <w:rPr>
          <w:rFonts w:ascii="Times New Roman" w:hAnsi="Times New Roman" w:cs="Times New Roman"/>
          <w:b/>
          <w:sz w:val="28"/>
          <w:szCs w:val="28"/>
        </w:rPr>
      </w:pPr>
      <w:bookmarkStart w:id="0" w:name="_GoBack"/>
      <w:bookmarkEnd w:id="0"/>
      <w:r w:rsidRPr="00723890">
        <w:rPr>
          <w:rFonts w:ascii="Times New Roman" w:hAnsi="Times New Roman" w:cs="Times New Roman"/>
          <w:b/>
          <w:sz w:val="28"/>
          <w:szCs w:val="28"/>
        </w:rPr>
        <w:t xml:space="preserve">ПОЯСНЮВАЛЬНА ЗАПИСКА </w:t>
      </w:r>
    </w:p>
    <w:p w:rsidR="00560EBC" w:rsidRDefault="00E16867" w:rsidP="00723890">
      <w:pPr>
        <w:spacing w:after="0"/>
        <w:jc w:val="center"/>
        <w:rPr>
          <w:rFonts w:ascii="Times New Roman" w:hAnsi="Times New Roman" w:cs="Times New Roman"/>
          <w:b/>
          <w:sz w:val="28"/>
          <w:szCs w:val="28"/>
        </w:rPr>
      </w:pPr>
      <w:r w:rsidRPr="00E16867">
        <w:rPr>
          <w:rFonts w:ascii="Times New Roman" w:hAnsi="Times New Roman" w:cs="Times New Roman"/>
          <w:b/>
          <w:bCs/>
          <w:sz w:val="28"/>
          <w:szCs w:val="28"/>
          <w:lang w:val="az-Latn-AZ"/>
        </w:rPr>
        <w:t>до проекту Закону України «Про внесення змін до Податкового кодексу України щодо забезпечення сплати податку на доходи фізичних осіб за місцезнаходженням (місцем здійснення діяльності) юридичної особи та її відокремлених підрозділів»</w:t>
      </w:r>
    </w:p>
    <w:p w:rsidR="00723890" w:rsidRDefault="00723890" w:rsidP="00723890">
      <w:pPr>
        <w:spacing w:after="0"/>
        <w:jc w:val="center"/>
        <w:rPr>
          <w:rFonts w:ascii="Times New Roman" w:hAnsi="Times New Roman" w:cs="Times New Roman"/>
          <w:b/>
          <w:sz w:val="28"/>
          <w:szCs w:val="28"/>
        </w:rPr>
      </w:pPr>
    </w:p>
    <w:p w:rsidR="00723890" w:rsidRPr="00723890" w:rsidRDefault="00723890" w:rsidP="00475013">
      <w:pPr>
        <w:spacing w:after="0"/>
        <w:ind w:firstLine="709"/>
        <w:jc w:val="both"/>
        <w:rPr>
          <w:rFonts w:ascii="Times New Roman" w:hAnsi="Times New Roman" w:cs="Times New Roman"/>
          <w:b/>
          <w:sz w:val="28"/>
          <w:szCs w:val="28"/>
        </w:rPr>
      </w:pPr>
      <w:r w:rsidRPr="00723890">
        <w:rPr>
          <w:rFonts w:ascii="Times New Roman" w:hAnsi="Times New Roman" w:cs="Times New Roman"/>
          <w:b/>
          <w:sz w:val="28"/>
          <w:szCs w:val="28"/>
        </w:rPr>
        <w:t>1. Обґрунтування необхідності прийняття законопроекту</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Необхідність прийняття даного законопроекту обумовлена тим, що юридичні особи – суб’єкти господарювання розташовують свої структурні підрозділи не за місцем розташування центрального офісу, використовують ці підрозділи для здійснення своєї підприємницької діяльності. Проте податок на доходи фізичних осіб за працівників (найманих осіб), які працюють у таких підрозділах сплачується до бюджетів не за їх фактичним місцезнаходженням, а за місцем розташування центрального офісу юридичної особи. При цьому використовується соціальна, транспортна, дорожня, інженерна та інші інфраструктура відповідної місцевої громади, здійснюється негативний вплив на довкілля. Це порушує принцип справедливого розподілу ресурсу між бюджетами місцевого самоврядування, призводить до їх дисбалансу, негативно впливає на соціально-економічний розвиток громад і регіонів.</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Органи місцевого самоврядування констатують системне порушення платниками порядку сплати до бюджетів відповідних місцевих рад податку на доходи фізичних осіб, визначеного Бюджетним (далі - БКУ) та Податковим кодексами (далі - ПКУ) України.</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Платники в супереч податковому (підпункт 168.4.3 пункту 168.4 статті 168 ПКУ) та бюджетному (частина друга статті 64 БКУ, частина 8 статті 45 БКУ) законодавствам сплачують цей податок до бюджетів територіальних громад не за місцем фактичного здійснення ними діяльності. Мають місце наступні порушення з боку платників:</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 сплата податку до бюджету не за місцем здійснення діяльності, а за адресою розташування юридичної особи або відокремлених підрозділів;</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 сплата податку до бюджету не за місцем здійснення діяльності, а за фіктивною юридичною адресою - фіктивна зміна місця реєстрації підприємств, установ, закладів, організацій без зміни фактичного місця здійснення діяльності та розташування;</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 сплата податку при зміні адреси реєстрації платником посеред бюджетного періоду до бюджету за новою адресою не з початку наступного бюджетного періоду, а посеред року.</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Серед порушників податкового законодавства не тільки представники приватного сектору, а й державні підприємства, в тому числі й територіальні підрозділи центральних органів виконавчої влади на місцях.</w:t>
      </w:r>
    </w:p>
    <w:p w:rsidR="0026012D" w:rsidRDefault="00F65D1C" w:rsidP="00F65D1C">
      <w:pPr>
        <w:spacing w:after="0"/>
        <w:ind w:firstLine="709"/>
        <w:jc w:val="both"/>
        <w:rPr>
          <w:rFonts w:ascii="Times New Roman" w:hAnsi="Times New Roman" w:cs="Times New Roman"/>
          <w:bCs/>
          <w:sz w:val="28"/>
          <w:szCs w:val="28"/>
        </w:rPr>
      </w:pPr>
      <w:r w:rsidRPr="00F65D1C">
        <w:rPr>
          <w:rFonts w:ascii="Times New Roman" w:hAnsi="Times New Roman" w:cs="Times New Roman"/>
          <w:sz w:val="28"/>
          <w:szCs w:val="28"/>
        </w:rPr>
        <w:t xml:space="preserve">Податковий кодекс України містить посилання на різні законодавчі акти в частині тлумачення поняття «відокремленого підрозділу», що призводить до невизначеності та неоднозначності тлумачень та проблеми при </w:t>
      </w:r>
      <w:r w:rsidRPr="00F65D1C">
        <w:rPr>
          <w:rFonts w:ascii="Times New Roman" w:hAnsi="Times New Roman" w:cs="Times New Roman"/>
          <w:sz w:val="28"/>
          <w:szCs w:val="28"/>
        </w:rPr>
        <w:lastRenderedPageBreak/>
        <w:t>правозастосуванні. Ситуація ускладнюється відсутністю контролю з боку контролюючих органів за дотриманням платниками вимог податкового законодавства в частині сплати податку на доходи фізичних осіб до відповідних місцевих бюджетів за їх місцезнаходженням та встановленої відповідальності для платників за порушення порядку сплати податку до відповідних місцевих бюджетів.</w:t>
      </w:r>
      <w:r w:rsidR="0026012D">
        <w:rPr>
          <w:rFonts w:ascii="Times New Roman" w:hAnsi="Times New Roman" w:cs="Times New Roman"/>
          <w:bCs/>
          <w:sz w:val="28"/>
          <w:szCs w:val="28"/>
        </w:rPr>
        <w:t xml:space="preserve"> </w:t>
      </w:r>
    </w:p>
    <w:p w:rsidR="00475013" w:rsidRPr="00723890" w:rsidRDefault="00475013" w:rsidP="00475013">
      <w:pPr>
        <w:spacing w:after="0"/>
        <w:jc w:val="both"/>
        <w:rPr>
          <w:rFonts w:ascii="Times New Roman" w:hAnsi="Times New Roman" w:cs="Times New Roman"/>
          <w:sz w:val="28"/>
          <w:szCs w:val="28"/>
        </w:rPr>
      </w:pPr>
    </w:p>
    <w:p w:rsidR="00723890" w:rsidRPr="005261AC" w:rsidRDefault="00723890" w:rsidP="005261AC">
      <w:pPr>
        <w:spacing w:after="0"/>
        <w:ind w:firstLine="709"/>
        <w:jc w:val="both"/>
        <w:rPr>
          <w:rFonts w:ascii="Times New Roman" w:hAnsi="Times New Roman" w:cs="Times New Roman"/>
          <w:b/>
          <w:sz w:val="28"/>
          <w:szCs w:val="28"/>
        </w:rPr>
      </w:pPr>
      <w:r w:rsidRPr="00723890">
        <w:rPr>
          <w:rFonts w:ascii="Times New Roman" w:hAnsi="Times New Roman" w:cs="Times New Roman"/>
          <w:b/>
          <w:bCs/>
          <w:sz w:val="28"/>
          <w:szCs w:val="28"/>
        </w:rPr>
        <w:t xml:space="preserve">2. </w:t>
      </w:r>
      <w:r w:rsidR="00F65D1C">
        <w:rPr>
          <w:rFonts w:ascii="Times New Roman" w:hAnsi="Times New Roman" w:cs="Times New Roman"/>
          <w:b/>
          <w:bCs/>
          <w:sz w:val="28"/>
          <w:szCs w:val="28"/>
        </w:rPr>
        <w:t>Цілі та завдання</w:t>
      </w:r>
      <w:r w:rsidRPr="00723890">
        <w:rPr>
          <w:rFonts w:ascii="Times New Roman" w:hAnsi="Times New Roman" w:cs="Times New Roman"/>
          <w:b/>
          <w:sz w:val="28"/>
          <w:szCs w:val="28"/>
        </w:rPr>
        <w:t xml:space="preserve"> законопроекту</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Проект Закону України «Про внесення змін до Податкового кодексу України щодо забезпечення сплати податку на доходи фізичних осіб за місцезнаходженням (місцем здійснення діяльності) юридичної особи та її відокремлених підрозділів» розроблений з метою визначення єдиних підходів до розуміння поняття «відокремленого підрозділу» в податковому законодавстві, що сприятиме справедливому розподілу ресурсу, що сплачується до бюджетів місцевого самоврядування, та їх збалансованості.</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 xml:space="preserve">Завданнями цього законопроекту: забезпечити реєстрацію суб’єктами господарювання будь-яких підрозділів юридичної особи, які розташовані поза місцезнаходженням юридичної особи незалежно від організації їх структури та кількості працівників (найманих осіб), усунути розбіжності податкового законодавства щодо поняття відокремленого підрозділу та бюджету, до якого повинен сплачуватись (перераховуватись) податок на доходи фізичних осіб. </w:t>
      </w:r>
    </w:p>
    <w:p w:rsidR="00723890"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Основною метою проекту Закону є забезпечити зарахування податку на доходи фізичних осіб, який сплачується податковим агентом за працівників підрозділу юридичної особи до бюджетів місцевого самоврядування за фактичним місцезнаходженням таких підрозділів.</w:t>
      </w:r>
    </w:p>
    <w:p w:rsidR="00997A5F" w:rsidRPr="0026012D" w:rsidRDefault="00997A5F" w:rsidP="0026012D">
      <w:pPr>
        <w:spacing w:after="0"/>
        <w:ind w:firstLine="709"/>
        <w:jc w:val="both"/>
        <w:rPr>
          <w:rFonts w:ascii="Times New Roman" w:hAnsi="Times New Roman" w:cs="Times New Roman"/>
          <w:sz w:val="28"/>
          <w:szCs w:val="28"/>
        </w:rPr>
      </w:pPr>
    </w:p>
    <w:p w:rsidR="00723890" w:rsidRPr="00723890" w:rsidRDefault="00723890" w:rsidP="005261AC">
      <w:pPr>
        <w:spacing w:after="0"/>
        <w:ind w:firstLine="709"/>
        <w:jc w:val="both"/>
        <w:rPr>
          <w:rFonts w:ascii="Times New Roman" w:hAnsi="Times New Roman" w:cs="Times New Roman"/>
          <w:b/>
          <w:bCs/>
          <w:sz w:val="28"/>
          <w:szCs w:val="28"/>
        </w:rPr>
      </w:pPr>
      <w:r w:rsidRPr="00723890">
        <w:rPr>
          <w:rFonts w:ascii="Times New Roman" w:hAnsi="Times New Roman" w:cs="Times New Roman"/>
          <w:b/>
          <w:bCs/>
          <w:sz w:val="28"/>
          <w:szCs w:val="28"/>
        </w:rPr>
        <w:t>3. Загальна характеристика і основні положення законопроекту</w:t>
      </w:r>
    </w:p>
    <w:p w:rsidR="00F65D1C" w:rsidRPr="00F65D1C" w:rsidRDefault="00F65D1C" w:rsidP="00F65D1C">
      <w:pPr>
        <w:spacing w:after="0"/>
        <w:ind w:firstLine="709"/>
        <w:jc w:val="both"/>
        <w:rPr>
          <w:rFonts w:ascii="Times New Roman" w:hAnsi="Times New Roman" w:cs="Times New Roman"/>
          <w:bCs/>
          <w:sz w:val="28"/>
          <w:szCs w:val="28"/>
        </w:rPr>
      </w:pPr>
      <w:r w:rsidRPr="00F65D1C">
        <w:rPr>
          <w:rFonts w:ascii="Times New Roman" w:hAnsi="Times New Roman" w:cs="Times New Roman"/>
          <w:sz w:val="28"/>
          <w:szCs w:val="28"/>
        </w:rPr>
        <w:t xml:space="preserve">Проектом Закону </w:t>
      </w:r>
      <w:r w:rsidRPr="00F65D1C">
        <w:rPr>
          <w:rFonts w:ascii="Times New Roman" w:hAnsi="Times New Roman" w:cs="Times New Roman"/>
          <w:bCs/>
          <w:sz w:val="28"/>
          <w:szCs w:val="28"/>
        </w:rPr>
        <w:t>пропонується:</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bCs/>
          <w:sz w:val="28"/>
          <w:szCs w:val="28"/>
        </w:rPr>
        <w:t xml:space="preserve">- </w:t>
      </w:r>
      <w:r w:rsidRPr="00F65D1C">
        <w:rPr>
          <w:rFonts w:ascii="Times New Roman" w:hAnsi="Times New Roman" w:cs="Times New Roman"/>
          <w:sz w:val="28"/>
          <w:szCs w:val="28"/>
        </w:rPr>
        <w:t xml:space="preserve">зобов’язати юридичну особу нараховувати, утримувати і сплачувати (перераховувати) податок за будь-які </w:t>
      </w:r>
      <w:bookmarkStart w:id="1" w:name="_Hlk52363555"/>
      <w:r w:rsidRPr="00F65D1C">
        <w:rPr>
          <w:rFonts w:ascii="Times New Roman" w:hAnsi="Times New Roman" w:cs="Times New Roman"/>
          <w:sz w:val="28"/>
          <w:szCs w:val="28"/>
        </w:rPr>
        <w:t xml:space="preserve">свої підрозділи </w:t>
      </w:r>
      <w:bookmarkEnd w:id="1"/>
      <w:r w:rsidRPr="00F65D1C">
        <w:rPr>
          <w:rFonts w:ascii="Times New Roman" w:hAnsi="Times New Roman" w:cs="Times New Roman"/>
          <w:sz w:val="28"/>
          <w:szCs w:val="28"/>
        </w:rPr>
        <w:t xml:space="preserve">до відповідного бюджету за їх місцезнаходженням. </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 усунути розбіжності щодо розуміння поняття відокремленого підрозділу</w:t>
      </w:r>
    </w:p>
    <w:p w:rsidR="00F65D1C" w:rsidRPr="00F65D1C"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 встановити контроль з боку контролюючих органів за дотриманням платниками вимог податкового законодавства в частині сплати податку на доходи фізичних осіб до відповідних місцевих бюджетів за їх місцезнаходженням;</w:t>
      </w:r>
    </w:p>
    <w:p w:rsidR="00997A5F"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 запровадити відповідальність для платників за порушення порядку сплати податку до відповідних місцевих бюджетів.</w:t>
      </w:r>
    </w:p>
    <w:p w:rsidR="008F698E" w:rsidRPr="00723890" w:rsidRDefault="008F698E" w:rsidP="007911F9">
      <w:pPr>
        <w:spacing w:after="0"/>
        <w:ind w:firstLine="709"/>
        <w:jc w:val="both"/>
        <w:rPr>
          <w:rFonts w:ascii="Times New Roman" w:hAnsi="Times New Roman" w:cs="Times New Roman"/>
          <w:sz w:val="28"/>
          <w:szCs w:val="28"/>
        </w:rPr>
      </w:pPr>
    </w:p>
    <w:p w:rsidR="00723890" w:rsidRPr="00723890" w:rsidRDefault="00723890" w:rsidP="005261AC">
      <w:pPr>
        <w:spacing w:after="0"/>
        <w:ind w:firstLine="709"/>
        <w:jc w:val="both"/>
        <w:rPr>
          <w:rFonts w:ascii="Times New Roman" w:hAnsi="Times New Roman" w:cs="Times New Roman"/>
          <w:b/>
          <w:bCs/>
          <w:sz w:val="28"/>
          <w:szCs w:val="28"/>
        </w:rPr>
      </w:pPr>
      <w:r w:rsidRPr="00723890">
        <w:rPr>
          <w:rFonts w:ascii="Times New Roman" w:hAnsi="Times New Roman" w:cs="Times New Roman"/>
          <w:b/>
          <w:bCs/>
          <w:sz w:val="28"/>
          <w:szCs w:val="28"/>
        </w:rPr>
        <w:t>4. Стан нормативно-правової бази у цій сфері правового регулювання</w:t>
      </w:r>
    </w:p>
    <w:p w:rsidR="00F65D1C" w:rsidRPr="00F65D1C" w:rsidRDefault="00F65D1C" w:rsidP="00F65D1C">
      <w:pPr>
        <w:spacing w:after="0"/>
        <w:ind w:firstLine="709"/>
        <w:jc w:val="both"/>
        <w:rPr>
          <w:rFonts w:ascii="Times New Roman" w:hAnsi="Times New Roman" w:cs="Times New Roman"/>
          <w:bCs/>
          <w:sz w:val="28"/>
          <w:szCs w:val="28"/>
        </w:rPr>
      </w:pPr>
      <w:r w:rsidRPr="00F65D1C">
        <w:rPr>
          <w:rFonts w:ascii="Times New Roman" w:hAnsi="Times New Roman" w:cs="Times New Roman"/>
          <w:bCs/>
          <w:sz w:val="28"/>
          <w:szCs w:val="28"/>
        </w:rPr>
        <w:t>До нормативно-правових актів, які діють у цій сфері суспільних відносин, належать: Бюджетний кодекс України, Податковий кодекс України.</w:t>
      </w:r>
    </w:p>
    <w:p w:rsidR="00723890" w:rsidRDefault="00723890" w:rsidP="00723890">
      <w:pPr>
        <w:spacing w:after="0"/>
        <w:ind w:firstLine="709"/>
        <w:jc w:val="both"/>
        <w:rPr>
          <w:rFonts w:ascii="Times New Roman" w:hAnsi="Times New Roman" w:cs="Times New Roman"/>
          <w:sz w:val="28"/>
          <w:szCs w:val="28"/>
        </w:rPr>
      </w:pPr>
    </w:p>
    <w:p w:rsidR="00997A5F" w:rsidRDefault="00997A5F" w:rsidP="00723890">
      <w:pPr>
        <w:spacing w:after="0"/>
        <w:ind w:firstLine="709"/>
        <w:jc w:val="both"/>
        <w:rPr>
          <w:rFonts w:ascii="Times New Roman" w:hAnsi="Times New Roman" w:cs="Times New Roman"/>
          <w:sz w:val="28"/>
          <w:szCs w:val="28"/>
        </w:rPr>
      </w:pPr>
    </w:p>
    <w:p w:rsidR="00997A5F" w:rsidRPr="00723890" w:rsidRDefault="00997A5F" w:rsidP="00723890">
      <w:pPr>
        <w:spacing w:after="0"/>
        <w:ind w:firstLine="709"/>
        <w:jc w:val="both"/>
        <w:rPr>
          <w:rFonts w:ascii="Times New Roman" w:hAnsi="Times New Roman" w:cs="Times New Roman"/>
          <w:sz w:val="28"/>
          <w:szCs w:val="28"/>
        </w:rPr>
      </w:pPr>
    </w:p>
    <w:p w:rsidR="00723890" w:rsidRPr="00723890" w:rsidRDefault="00723890" w:rsidP="005261AC">
      <w:pPr>
        <w:spacing w:after="0"/>
        <w:ind w:firstLine="709"/>
        <w:jc w:val="both"/>
        <w:rPr>
          <w:rFonts w:ascii="Times New Roman" w:hAnsi="Times New Roman" w:cs="Times New Roman"/>
          <w:b/>
          <w:sz w:val="28"/>
          <w:szCs w:val="28"/>
        </w:rPr>
      </w:pPr>
      <w:r w:rsidRPr="00723890">
        <w:rPr>
          <w:rFonts w:ascii="Times New Roman" w:hAnsi="Times New Roman" w:cs="Times New Roman"/>
          <w:b/>
          <w:sz w:val="28"/>
          <w:szCs w:val="28"/>
        </w:rPr>
        <w:t xml:space="preserve">5. Фінансово-економічне обґрунтування </w:t>
      </w:r>
    </w:p>
    <w:p w:rsidR="00723890" w:rsidRDefault="00F65D1C" w:rsidP="005261A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Реалізація запропонованого проекту закону не потребує додаткових видатків з Державного та місцевих бюджетів України та призведе до перерозподілу ресурсу між бюджетами місцевого самоврядування.</w:t>
      </w:r>
    </w:p>
    <w:p w:rsidR="00F65D1C" w:rsidRDefault="00F65D1C" w:rsidP="005261AC">
      <w:pPr>
        <w:spacing w:after="0"/>
        <w:ind w:firstLine="709"/>
        <w:jc w:val="both"/>
        <w:rPr>
          <w:rFonts w:ascii="Times New Roman" w:hAnsi="Times New Roman" w:cs="Times New Roman"/>
          <w:sz w:val="28"/>
          <w:szCs w:val="28"/>
        </w:rPr>
      </w:pPr>
    </w:p>
    <w:p w:rsidR="00F65D1C" w:rsidRPr="00F65D1C" w:rsidRDefault="00F65D1C" w:rsidP="005261AC">
      <w:pPr>
        <w:spacing w:after="0"/>
        <w:ind w:firstLine="709"/>
        <w:jc w:val="both"/>
        <w:rPr>
          <w:rFonts w:ascii="Times New Roman" w:hAnsi="Times New Roman" w:cs="Times New Roman"/>
          <w:b/>
          <w:sz w:val="28"/>
          <w:szCs w:val="28"/>
        </w:rPr>
      </w:pPr>
      <w:r w:rsidRPr="00F65D1C">
        <w:rPr>
          <w:rFonts w:ascii="Times New Roman" w:hAnsi="Times New Roman" w:cs="Times New Roman"/>
          <w:b/>
          <w:sz w:val="28"/>
          <w:szCs w:val="28"/>
        </w:rPr>
        <w:t>6. Запобігання корупції</w:t>
      </w:r>
    </w:p>
    <w:p w:rsidR="00F65D1C" w:rsidRPr="00723890" w:rsidRDefault="00F65D1C" w:rsidP="00F65D1C">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 xml:space="preserve">У проекті закону відсутні правила і процедури, які можуть містити ризики вчинення корупційних правопорушень. </w:t>
      </w:r>
    </w:p>
    <w:p w:rsidR="00723890" w:rsidRPr="00723890" w:rsidRDefault="00723890" w:rsidP="00723890">
      <w:pPr>
        <w:spacing w:after="0"/>
        <w:ind w:firstLine="709"/>
        <w:jc w:val="both"/>
        <w:rPr>
          <w:rFonts w:ascii="Times New Roman" w:hAnsi="Times New Roman" w:cs="Times New Roman"/>
          <w:sz w:val="28"/>
          <w:szCs w:val="28"/>
        </w:rPr>
      </w:pPr>
    </w:p>
    <w:p w:rsidR="00723890" w:rsidRPr="00723890" w:rsidRDefault="00F65D1C" w:rsidP="005261AC">
      <w:pPr>
        <w:spacing w:after="0"/>
        <w:ind w:firstLine="709"/>
        <w:jc w:val="both"/>
        <w:rPr>
          <w:rFonts w:ascii="Times New Roman" w:hAnsi="Times New Roman" w:cs="Times New Roman"/>
          <w:b/>
          <w:bCs/>
          <w:sz w:val="28"/>
          <w:szCs w:val="28"/>
        </w:rPr>
      </w:pPr>
      <w:r>
        <w:rPr>
          <w:rFonts w:ascii="Times New Roman" w:hAnsi="Times New Roman" w:cs="Times New Roman"/>
          <w:b/>
          <w:bCs/>
          <w:sz w:val="28"/>
          <w:szCs w:val="28"/>
        </w:rPr>
        <w:t>7</w:t>
      </w:r>
      <w:r w:rsidR="00723890" w:rsidRPr="00723890">
        <w:rPr>
          <w:rFonts w:ascii="Times New Roman" w:hAnsi="Times New Roman" w:cs="Times New Roman"/>
          <w:b/>
          <w:bCs/>
          <w:sz w:val="28"/>
          <w:szCs w:val="28"/>
        </w:rPr>
        <w:t>. Прогноз соціально-економічних та інших наслідків прийняття акта</w:t>
      </w:r>
    </w:p>
    <w:p w:rsidR="00723890" w:rsidRDefault="00F65D1C" w:rsidP="00723890">
      <w:pPr>
        <w:spacing w:after="0"/>
        <w:ind w:firstLine="709"/>
        <w:jc w:val="both"/>
        <w:rPr>
          <w:rFonts w:ascii="Times New Roman" w:hAnsi="Times New Roman" w:cs="Times New Roman"/>
          <w:sz w:val="28"/>
          <w:szCs w:val="28"/>
        </w:rPr>
      </w:pPr>
      <w:r w:rsidRPr="00F65D1C">
        <w:rPr>
          <w:rFonts w:ascii="Times New Roman" w:hAnsi="Times New Roman" w:cs="Times New Roman"/>
          <w:sz w:val="28"/>
          <w:szCs w:val="28"/>
        </w:rPr>
        <w:t>Прийняття зазначеного законопроекту сприятиме справедливому розподілу податку на доходи фізичних осіб між бюджетами місцевого самоврядування та підвищенню їх фінансової спроможності; врегулює питання сплати податку на доходи фізичних осіб підрозділами юридичної особи до бюджетів за місцем їх розташування (здійснення діяльності); створить законодавче підґрунтя для контролю за сплатою цього податку відповідними підрозділами юридичної особи.</w:t>
      </w:r>
    </w:p>
    <w:p w:rsidR="00CF3DB9" w:rsidRDefault="00CF3DB9" w:rsidP="00723890">
      <w:pPr>
        <w:spacing w:after="0"/>
        <w:ind w:firstLine="709"/>
        <w:jc w:val="both"/>
        <w:rPr>
          <w:rFonts w:ascii="Times New Roman" w:hAnsi="Times New Roman" w:cs="Times New Roman"/>
          <w:sz w:val="28"/>
          <w:szCs w:val="28"/>
        </w:rPr>
      </w:pPr>
    </w:p>
    <w:tbl>
      <w:tblPr>
        <w:tblStyle w:val="a7"/>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029"/>
        <w:gridCol w:w="3210"/>
      </w:tblGrid>
      <w:tr w:rsidR="00CF3DB9" w:rsidRPr="00CF3DB9" w:rsidTr="00CF3DB9">
        <w:tc>
          <w:tcPr>
            <w:tcW w:w="3686" w:type="dxa"/>
            <w:vAlign w:val="center"/>
          </w:tcPr>
          <w:p w:rsidR="00CF3DB9" w:rsidRPr="00CF3DB9" w:rsidRDefault="00CF3DB9" w:rsidP="00CF3DB9">
            <w:pPr>
              <w:jc w:val="center"/>
              <w:rPr>
                <w:rFonts w:ascii="Times New Roman" w:hAnsi="Times New Roman" w:cs="Times New Roman"/>
                <w:b/>
                <w:sz w:val="28"/>
                <w:szCs w:val="28"/>
              </w:rPr>
            </w:pPr>
            <w:r w:rsidRPr="00CF3DB9">
              <w:rPr>
                <w:rFonts w:ascii="Times New Roman" w:hAnsi="Times New Roman" w:cs="Times New Roman"/>
                <w:b/>
                <w:sz w:val="28"/>
                <w:szCs w:val="28"/>
              </w:rPr>
              <w:t>Народний депутат України</w:t>
            </w:r>
          </w:p>
        </w:tc>
        <w:tc>
          <w:tcPr>
            <w:tcW w:w="2029" w:type="dxa"/>
            <w:vAlign w:val="center"/>
          </w:tcPr>
          <w:p w:rsidR="00CF3DB9" w:rsidRPr="00CF3DB9" w:rsidRDefault="00CF3DB9" w:rsidP="00CF3DB9">
            <w:pPr>
              <w:jc w:val="center"/>
              <w:rPr>
                <w:rFonts w:ascii="Times New Roman" w:hAnsi="Times New Roman" w:cs="Times New Roman"/>
                <w:b/>
                <w:sz w:val="28"/>
                <w:szCs w:val="28"/>
              </w:rPr>
            </w:pPr>
          </w:p>
        </w:tc>
        <w:tc>
          <w:tcPr>
            <w:tcW w:w="3210" w:type="dxa"/>
            <w:vAlign w:val="center"/>
          </w:tcPr>
          <w:p w:rsidR="00CF3DB9" w:rsidRPr="00CF3DB9" w:rsidRDefault="003D698C" w:rsidP="00CF3DB9">
            <w:pPr>
              <w:jc w:val="center"/>
              <w:rPr>
                <w:rFonts w:ascii="Times New Roman" w:hAnsi="Times New Roman" w:cs="Times New Roman"/>
                <w:b/>
                <w:sz w:val="28"/>
                <w:szCs w:val="28"/>
              </w:rPr>
            </w:pPr>
            <w:r>
              <w:rPr>
                <w:rFonts w:ascii="Times New Roman" w:hAnsi="Times New Roman" w:cs="Times New Roman"/>
                <w:b/>
                <w:sz w:val="28"/>
                <w:szCs w:val="28"/>
              </w:rPr>
              <w:t>А.О. ЛЯШЕНКО</w:t>
            </w:r>
          </w:p>
          <w:p w:rsidR="00CF3DB9" w:rsidRPr="00CF3DB9" w:rsidRDefault="00CF3DB9" w:rsidP="00CF3DB9">
            <w:pPr>
              <w:jc w:val="center"/>
              <w:rPr>
                <w:rFonts w:ascii="Times New Roman" w:hAnsi="Times New Roman" w:cs="Times New Roman"/>
                <w:b/>
                <w:sz w:val="28"/>
                <w:szCs w:val="28"/>
              </w:rPr>
            </w:pPr>
            <w:r w:rsidRPr="00CF3DB9">
              <w:rPr>
                <w:rFonts w:ascii="Times New Roman" w:hAnsi="Times New Roman" w:cs="Times New Roman"/>
                <w:b/>
                <w:sz w:val="20"/>
                <w:szCs w:val="28"/>
              </w:rPr>
              <w:t>(посвід. № 349)</w:t>
            </w:r>
          </w:p>
        </w:tc>
      </w:tr>
    </w:tbl>
    <w:p w:rsidR="00CF3DB9" w:rsidRPr="00723890" w:rsidRDefault="00CF3DB9" w:rsidP="00723890">
      <w:pPr>
        <w:spacing w:after="0"/>
        <w:ind w:firstLine="709"/>
        <w:jc w:val="both"/>
        <w:rPr>
          <w:rFonts w:ascii="Times New Roman" w:hAnsi="Times New Roman" w:cs="Times New Roman"/>
          <w:sz w:val="28"/>
          <w:szCs w:val="28"/>
        </w:rPr>
      </w:pPr>
    </w:p>
    <w:sectPr w:rsidR="00CF3DB9" w:rsidRPr="00723890" w:rsidSect="00723890">
      <w:head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61" w:rsidRDefault="00713C61" w:rsidP="00723890">
      <w:pPr>
        <w:spacing w:after="0" w:line="240" w:lineRule="auto"/>
      </w:pPr>
      <w:r>
        <w:separator/>
      </w:r>
    </w:p>
  </w:endnote>
  <w:endnote w:type="continuationSeparator" w:id="0">
    <w:p w:rsidR="00713C61" w:rsidRDefault="00713C61" w:rsidP="00723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61" w:rsidRDefault="00713C61" w:rsidP="00723890">
      <w:pPr>
        <w:spacing w:after="0" w:line="240" w:lineRule="auto"/>
      </w:pPr>
      <w:r>
        <w:separator/>
      </w:r>
    </w:p>
  </w:footnote>
  <w:footnote w:type="continuationSeparator" w:id="0">
    <w:p w:rsidR="00713C61" w:rsidRDefault="00713C61" w:rsidP="00723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5765645"/>
      <w:docPartObj>
        <w:docPartGallery w:val="Page Numbers (Top of Page)"/>
        <w:docPartUnique/>
      </w:docPartObj>
    </w:sdtPr>
    <w:sdtEndPr>
      <w:rPr>
        <w:rFonts w:ascii="Times New Roman" w:hAnsi="Times New Roman" w:cs="Times New Roman"/>
        <w:sz w:val="24"/>
      </w:rPr>
    </w:sdtEndPr>
    <w:sdtContent>
      <w:p w:rsidR="00723890" w:rsidRPr="00723890" w:rsidRDefault="00723890">
        <w:pPr>
          <w:pStyle w:val="a3"/>
          <w:jc w:val="center"/>
          <w:rPr>
            <w:rFonts w:ascii="Times New Roman" w:hAnsi="Times New Roman" w:cs="Times New Roman"/>
            <w:sz w:val="24"/>
          </w:rPr>
        </w:pPr>
        <w:r w:rsidRPr="00723890">
          <w:rPr>
            <w:rFonts w:ascii="Times New Roman" w:hAnsi="Times New Roman" w:cs="Times New Roman"/>
            <w:sz w:val="24"/>
          </w:rPr>
          <w:fldChar w:fldCharType="begin"/>
        </w:r>
        <w:r w:rsidRPr="00723890">
          <w:rPr>
            <w:rFonts w:ascii="Times New Roman" w:hAnsi="Times New Roman" w:cs="Times New Roman"/>
            <w:sz w:val="24"/>
          </w:rPr>
          <w:instrText>PAGE   \* MERGEFORMAT</w:instrText>
        </w:r>
        <w:r w:rsidRPr="00723890">
          <w:rPr>
            <w:rFonts w:ascii="Times New Roman" w:hAnsi="Times New Roman" w:cs="Times New Roman"/>
            <w:sz w:val="24"/>
          </w:rPr>
          <w:fldChar w:fldCharType="separate"/>
        </w:r>
        <w:r w:rsidR="00C75590">
          <w:rPr>
            <w:rFonts w:ascii="Times New Roman" w:hAnsi="Times New Roman" w:cs="Times New Roman"/>
            <w:noProof/>
            <w:sz w:val="24"/>
          </w:rPr>
          <w:t>3</w:t>
        </w:r>
        <w:r w:rsidRPr="00723890">
          <w:rPr>
            <w:rFonts w:ascii="Times New Roman" w:hAnsi="Times New Roman" w:cs="Times New Roman"/>
            <w:sz w:val="24"/>
          </w:rPr>
          <w:fldChar w:fldCharType="end"/>
        </w:r>
      </w:p>
    </w:sdtContent>
  </w:sdt>
  <w:p w:rsidR="00723890" w:rsidRDefault="0072389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890"/>
    <w:rsid w:val="00094B85"/>
    <w:rsid w:val="001A4096"/>
    <w:rsid w:val="0026012D"/>
    <w:rsid w:val="00273F0E"/>
    <w:rsid w:val="002C7DD1"/>
    <w:rsid w:val="00336D66"/>
    <w:rsid w:val="00346321"/>
    <w:rsid w:val="003B39B3"/>
    <w:rsid w:val="003D698C"/>
    <w:rsid w:val="00475013"/>
    <w:rsid w:val="005261AC"/>
    <w:rsid w:val="00606D4F"/>
    <w:rsid w:val="00607264"/>
    <w:rsid w:val="006A28B0"/>
    <w:rsid w:val="00713C61"/>
    <w:rsid w:val="00723890"/>
    <w:rsid w:val="007911F9"/>
    <w:rsid w:val="008F698E"/>
    <w:rsid w:val="00997A5F"/>
    <w:rsid w:val="009D5463"/>
    <w:rsid w:val="00B81AEF"/>
    <w:rsid w:val="00C75590"/>
    <w:rsid w:val="00C808C5"/>
    <w:rsid w:val="00C828CD"/>
    <w:rsid w:val="00CF3DB9"/>
    <w:rsid w:val="00DF10D9"/>
    <w:rsid w:val="00DF56F0"/>
    <w:rsid w:val="00E16867"/>
    <w:rsid w:val="00EC40FA"/>
    <w:rsid w:val="00F65D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F5DFDA1-89F7-4D89-B020-BAAED3B9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3890"/>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23890"/>
  </w:style>
  <w:style w:type="paragraph" w:styleId="a5">
    <w:name w:val="footer"/>
    <w:basedOn w:val="a"/>
    <w:link w:val="a6"/>
    <w:uiPriority w:val="99"/>
    <w:unhideWhenUsed/>
    <w:rsid w:val="00723890"/>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23890"/>
  </w:style>
  <w:style w:type="table" w:styleId="a7">
    <w:name w:val="Table Grid"/>
    <w:basedOn w:val="a1"/>
    <w:uiPriority w:val="39"/>
    <w:rsid w:val="00CF3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350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5361D5-8C3E-4543-AED7-8326CD3C9F94}">
  <ds:schemaRefs>
    <ds:schemaRef ds:uri="http://schemas.microsoft.com/sharepoint/v3/contenttype/forms"/>
  </ds:schemaRefs>
</ds:datastoreItem>
</file>

<file path=customXml/itemProps2.xml><?xml version="1.0" encoding="utf-8"?>
<ds:datastoreItem xmlns:ds="http://schemas.openxmlformats.org/officeDocument/2006/customXml" ds:itemID="{ED0F8054-3FD1-4826-9B82-C7BE04E4A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85C975-3FC8-4B9C-8BE7-594E327C78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3857</Words>
  <Characters>2199</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2021-04-12T12:16:00Z</dcterms:created>
  <dcterms:modified xsi:type="dcterms:W3CDTF">2021-04-12T12:16:00Z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