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BF1CB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F051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90866" w:rsidRPr="0099086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в оперативному управлінні, господарському віданні (реєстр.№5386)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A7D" w:rsidRDefault="00CB1A7D" w:rsidP="005E306B">
      <w:pPr>
        <w:spacing w:after="0" w:line="240" w:lineRule="auto"/>
      </w:pPr>
      <w:r>
        <w:separator/>
      </w:r>
    </w:p>
  </w:endnote>
  <w:endnote w:type="continuationSeparator" w:id="0">
    <w:p w:rsidR="00CB1A7D" w:rsidRDefault="00CB1A7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B1A7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A7D" w:rsidRDefault="00CB1A7D" w:rsidP="005E306B">
      <w:pPr>
        <w:spacing w:after="0" w:line="240" w:lineRule="auto"/>
      </w:pPr>
      <w:r>
        <w:separator/>
      </w:r>
    </w:p>
  </w:footnote>
  <w:footnote w:type="continuationSeparator" w:id="0">
    <w:p w:rsidR="00CB1A7D" w:rsidRDefault="00CB1A7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90866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B1A7D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E5ACE-3B13-481B-9B52-5490820BD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2021-05-19T09:20:00Z</dcterms:created>
  <dcterms:modified xsi:type="dcterms:W3CDTF">2021-05-19T09:20:00Z</dcterms:modified>
</cp:coreProperties>
</file>