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7FC" w:rsidRPr="002120EF" w:rsidRDefault="00D30F9A">
      <w:pPr>
        <w:pStyle w:val="c7e0e3eeebeee2eeea9"/>
        <w:ind w:right="-6"/>
        <w:rPr>
          <w:rFonts w:hAnsi="Times New Roman"/>
          <w:bCs w:val="0"/>
          <w:sz w:val="28"/>
          <w:szCs w:val="28"/>
        </w:rPr>
      </w:pPr>
      <w:bookmarkStart w:id="0" w:name="_GoBack"/>
      <w:bookmarkEnd w:id="0"/>
      <w:r w:rsidRPr="002120EF">
        <w:rPr>
          <w:rFonts w:hAnsi="Times New Roman"/>
          <w:bCs w:val="0"/>
          <w:sz w:val="28"/>
          <w:szCs w:val="28"/>
        </w:rPr>
        <w:t>ПОРІВНЯЛЬНА ТАБЛИЦЯ</w:t>
      </w:r>
    </w:p>
    <w:p w:rsidR="000827FC" w:rsidRPr="002120EF" w:rsidRDefault="000827FC" w:rsidP="00EC2112">
      <w:pPr>
        <w:jc w:val="center"/>
        <w:rPr>
          <w:rFonts w:hAnsi="Times New Roman"/>
          <w:sz w:val="28"/>
          <w:szCs w:val="28"/>
          <w:lang w:val="uk-UA"/>
        </w:rPr>
      </w:pPr>
      <w:r w:rsidRPr="002120EF">
        <w:rPr>
          <w:rFonts w:hAnsi="Times New Roman"/>
          <w:b/>
          <w:sz w:val="28"/>
          <w:szCs w:val="28"/>
          <w:lang w:val="uk-UA"/>
        </w:rPr>
        <w:t xml:space="preserve">до проекту Закону України </w:t>
      </w:r>
      <w:r w:rsidR="006A01DA" w:rsidRPr="002120EF">
        <w:rPr>
          <w:rFonts w:hAnsi="Times New Roman"/>
          <w:b/>
          <w:sz w:val="28"/>
          <w:szCs w:val="28"/>
          <w:lang w:val="uk-UA"/>
        </w:rPr>
        <w:t>«</w:t>
      </w:r>
      <w:r w:rsidR="00EC2112" w:rsidRPr="00EC2112">
        <w:rPr>
          <w:rFonts w:hAnsi="Times New Roman"/>
          <w:b/>
          <w:sz w:val="28"/>
          <w:szCs w:val="28"/>
          <w:lang w:val="uk-UA"/>
        </w:rPr>
        <w:t>Про внесення змін до Податкового кодексу України</w:t>
      </w:r>
      <w:r w:rsidR="00EC2112">
        <w:rPr>
          <w:rFonts w:hAnsi="Times New Roman"/>
          <w:b/>
          <w:sz w:val="28"/>
          <w:szCs w:val="28"/>
          <w:lang w:val="uk-UA"/>
        </w:rPr>
        <w:t xml:space="preserve"> </w:t>
      </w:r>
      <w:r w:rsidR="00EC2112" w:rsidRPr="00EC2112">
        <w:rPr>
          <w:rFonts w:hAnsi="Times New Roman"/>
          <w:b/>
          <w:sz w:val="28"/>
          <w:szCs w:val="28"/>
          <w:lang w:val="uk-UA"/>
        </w:rPr>
        <w:t>щодо оціночної діяльності</w:t>
      </w:r>
      <w:r w:rsidR="006A01DA" w:rsidRPr="002120EF">
        <w:rPr>
          <w:rFonts w:hAnsi="Times New Roman"/>
          <w:b/>
          <w:sz w:val="28"/>
          <w:szCs w:val="28"/>
          <w:lang w:val="uk-UA"/>
        </w:rPr>
        <w:t>»</w:t>
      </w:r>
    </w:p>
    <w:p w:rsidR="000827FC" w:rsidRPr="002120EF" w:rsidRDefault="000827FC">
      <w:pPr>
        <w:jc w:val="center"/>
        <w:rPr>
          <w:rFonts w:hAnsi="Times New Roman"/>
          <w:b/>
          <w:sz w:val="32"/>
          <w:szCs w:val="32"/>
          <w:lang w:val="uk-UA"/>
        </w:rPr>
      </w:pPr>
    </w:p>
    <w:tbl>
      <w:tblPr>
        <w:tblW w:w="4960" w:type="pct"/>
        <w:tblCellMar>
          <w:left w:w="0" w:type="dxa"/>
          <w:right w:w="0" w:type="dxa"/>
        </w:tblCellMar>
        <w:tblLook w:val="0000" w:firstRow="0" w:lastRow="0" w:firstColumn="0" w:lastColumn="0" w:noHBand="0" w:noVBand="0"/>
      </w:tblPr>
      <w:tblGrid>
        <w:gridCol w:w="7223"/>
        <w:gridCol w:w="7223"/>
      </w:tblGrid>
      <w:tr w:rsidR="000827FC" w:rsidRPr="002120EF" w:rsidTr="00EC2112">
        <w:trPr>
          <w:trHeight w:val="712"/>
        </w:trPr>
        <w:tc>
          <w:tcPr>
            <w:tcW w:w="2500" w:type="pct"/>
            <w:tcBorders>
              <w:top w:val="single" w:sz="4" w:space="0" w:color="000001"/>
              <w:left w:val="single" w:sz="4" w:space="0" w:color="000001"/>
              <w:bottom w:val="single" w:sz="4" w:space="0" w:color="000001"/>
              <w:right w:val="single" w:sz="4" w:space="0" w:color="000001"/>
            </w:tcBorders>
            <w:vAlign w:val="center"/>
          </w:tcPr>
          <w:p w:rsidR="000827FC" w:rsidRPr="002120EF" w:rsidRDefault="000827FC" w:rsidP="007B0D9F">
            <w:pPr>
              <w:ind w:firstLine="814"/>
              <w:jc w:val="center"/>
              <w:rPr>
                <w:rFonts w:hAnsi="Times New Roman"/>
                <w:sz w:val="28"/>
                <w:szCs w:val="28"/>
                <w:lang w:val="uk-UA"/>
              </w:rPr>
            </w:pPr>
            <w:r w:rsidRPr="002120EF">
              <w:rPr>
                <w:rFonts w:hAnsi="Times New Roman"/>
                <w:b/>
                <w:sz w:val="28"/>
                <w:szCs w:val="28"/>
                <w:lang w:val="uk-UA"/>
              </w:rPr>
              <w:t>Зміст положення (норми)</w:t>
            </w:r>
          </w:p>
          <w:p w:rsidR="000827FC" w:rsidRPr="002120EF" w:rsidRDefault="000827FC" w:rsidP="007B0D9F">
            <w:pPr>
              <w:ind w:firstLine="814"/>
              <w:jc w:val="center"/>
              <w:rPr>
                <w:rFonts w:hAnsi="Times New Roman"/>
                <w:sz w:val="28"/>
                <w:szCs w:val="28"/>
                <w:lang w:val="uk-UA"/>
              </w:rPr>
            </w:pPr>
            <w:r w:rsidRPr="002120EF">
              <w:rPr>
                <w:rFonts w:hAnsi="Times New Roman"/>
                <w:b/>
                <w:sz w:val="28"/>
                <w:szCs w:val="28"/>
                <w:lang w:val="uk-UA"/>
              </w:rPr>
              <w:t>чинного законодавства</w:t>
            </w:r>
          </w:p>
        </w:tc>
        <w:tc>
          <w:tcPr>
            <w:tcW w:w="2500" w:type="pct"/>
            <w:tcBorders>
              <w:top w:val="single" w:sz="4" w:space="0" w:color="000001"/>
              <w:left w:val="single" w:sz="4" w:space="0" w:color="000001"/>
              <w:bottom w:val="single" w:sz="4" w:space="0" w:color="000001"/>
              <w:right w:val="single" w:sz="4" w:space="0" w:color="000001"/>
            </w:tcBorders>
            <w:vAlign w:val="center"/>
          </w:tcPr>
          <w:p w:rsidR="000827FC" w:rsidRPr="002120EF" w:rsidRDefault="000827FC" w:rsidP="007B0D9F">
            <w:pPr>
              <w:ind w:firstLine="814"/>
              <w:jc w:val="center"/>
              <w:rPr>
                <w:rFonts w:hAnsi="Times New Roman"/>
                <w:sz w:val="28"/>
                <w:szCs w:val="28"/>
                <w:lang w:val="uk-UA"/>
              </w:rPr>
            </w:pPr>
            <w:r w:rsidRPr="002120EF">
              <w:rPr>
                <w:rFonts w:hAnsi="Times New Roman"/>
                <w:b/>
                <w:sz w:val="28"/>
                <w:szCs w:val="28"/>
                <w:lang w:val="uk-UA"/>
              </w:rPr>
              <w:t>Зміст відповідного положення (норми)</w:t>
            </w:r>
          </w:p>
          <w:p w:rsidR="000827FC" w:rsidRPr="002120EF" w:rsidRDefault="000827FC" w:rsidP="007B0D9F">
            <w:pPr>
              <w:ind w:firstLine="814"/>
              <w:jc w:val="center"/>
              <w:rPr>
                <w:rFonts w:hAnsi="Times New Roman"/>
                <w:sz w:val="28"/>
                <w:szCs w:val="28"/>
                <w:lang w:val="uk-UA"/>
              </w:rPr>
            </w:pPr>
            <w:r w:rsidRPr="002120EF">
              <w:rPr>
                <w:rFonts w:hAnsi="Times New Roman"/>
                <w:b/>
                <w:sz w:val="28"/>
                <w:szCs w:val="28"/>
                <w:lang w:val="uk-UA"/>
              </w:rPr>
              <w:t>запропонованого проекту акта</w:t>
            </w:r>
          </w:p>
        </w:tc>
      </w:tr>
      <w:tr w:rsidR="00EC2112" w:rsidRPr="002120EF" w:rsidTr="00EC2112">
        <w:tc>
          <w:tcPr>
            <w:tcW w:w="5000" w:type="pct"/>
            <w:gridSpan w:val="2"/>
            <w:tcBorders>
              <w:top w:val="single" w:sz="4" w:space="0" w:color="000001"/>
              <w:left w:val="single" w:sz="4" w:space="0" w:color="000001"/>
              <w:bottom w:val="single" w:sz="4" w:space="0" w:color="000001"/>
              <w:right w:val="single" w:sz="4" w:space="0" w:color="000001"/>
            </w:tcBorders>
          </w:tcPr>
          <w:p w:rsidR="00EC2112" w:rsidRPr="002120EF" w:rsidRDefault="00EC2112" w:rsidP="00D162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14"/>
              <w:jc w:val="center"/>
              <w:rPr>
                <w:rFonts w:hAnsi="Times New Roman"/>
                <w:b/>
                <w:sz w:val="28"/>
                <w:szCs w:val="28"/>
                <w:lang w:val="uk-UA"/>
              </w:rPr>
            </w:pPr>
            <w:r w:rsidRPr="002120EF">
              <w:rPr>
                <w:rFonts w:hAnsi="Times New Roman"/>
                <w:b/>
                <w:sz w:val="28"/>
                <w:szCs w:val="28"/>
                <w:lang w:val="uk-UA"/>
              </w:rPr>
              <w:t>Податковий кодекс України</w:t>
            </w:r>
          </w:p>
        </w:tc>
      </w:tr>
      <w:tr w:rsidR="00EC2112" w:rsidRPr="00862AD8" w:rsidTr="00EC2112">
        <w:trPr>
          <w:trHeight w:val="712"/>
        </w:trPr>
        <w:tc>
          <w:tcPr>
            <w:tcW w:w="2500" w:type="pct"/>
            <w:tcBorders>
              <w:top w:val="single" w:sz="4" w:space="0" w:color="000001"/>
              <w:left w:val="single" w:sz="4" w:space="0" w:color="000001"/>
              <w:bottom w:val="single" w:sz="4" w:space="0" w:color="000001"/>
              <w:right w:val="single" w:sz="4" w:space="0" w:color="000001"/>
            </w:tcBorders>
            <w:vAlign w:val="center"/>
          </w:tcPr>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Стаття 172. Порядок оподаткування операцій з продажу (обміну) об'єктів нерухомого майна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172.1. Дохід, отриманий платником податку від продажу (обміну) не частіше одного разу протягом звітного податкового року житлового будинку, квартири або їх частини, кімнати, садового (дачного) будинку (включаючи об’єкт незавершеного будівництва таких об’єктів, земельну ділянку, на якій розташовані такі об'єкти, а також господарсько-побутові споруди та будівлі, розташовані на такій земельній ділянці), а також земельної ділянки, що не перевищує норми безоплатної передачі, визначеної статтею 121 Земельного кодексу України залежно від її призначення, та за умови перебування такого майна у власності платника податку понад три роки, не оподатковується.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Умова щодо перебування такого майна у власності платника податку понад три роки не розповсюджується на майно, отримане таким платником у спадщину.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Дохід від відчуження господарсько-побутових споруд, що розташовані на одній ділянці з житловим або садовим (дачним) будинком та продаються разом з ним, для цілей оподаткування окремо не визначається.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172.2. Дохід, отриманий платником податку від продажу протягом звітного податкового року більш як </w:t>
            </w:r>
            <w:r w:rsidRPr="00EC2112">
              <w:rPr>
                <w:rFonts w:hAnsi="Times New Roman"/>
                <w:sz w:val="28"/>
                <w:szCs w:val="28"/>
                <w:lang w:val="uk-UA"/>
              </w:rPr>
              <w:lastRenderedPageBreak/>
              <w:t>одного з 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Дохід від продажу (обміну) об’єкта незавершеного будівництва оподатковується у порядку, визначеному цією статтею для об’єктів нерухомого майна.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172.3. Дохід від продажу об’єкта нерухомості визначається виходячи з ціни, зазначеної в договорі купівлі-продажу, але не нижче оціночної вартості такого об’єкта, розрахованої модулем електронного визначення оціночної вартості Єдиної бази даних звітів про оцінку, або не нижче ринкової вартості такого об’єкта, визначеної суб’єктом оціночної діяльності (оцінювачем) відповідно до законодавства та зазначеної у звіті про оцінку, зареєстрованому в Єдиній базі даних звітів про оцінку.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Єдина база даних звітів про оцінку (далі - Єдина база) - державна автоматизована інформаційно-телекомунікаційна система, до складу якої входять база даних, програмне забезпечення, модуль електронного визначення оціночної вартості, сервіс послуги електронного визначення оціночної вартості та автоматичного формування електронних довідок про оціночну вартість об’єкта нерухомості.</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Єдина база забезпечує:</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1) внесення, оновлення, створення, зберігання, передавання та автоматичне оприлюднення відповідної інформації про об’єкт нерухомості та його вартість (крім </w:t>
            </w:r>
            <w:r w:rsidRPr="00EC2112">
              <w:rPr>
                <w:rFonts w:hAnsi="Times New Roman"/>
                <w:sz w:val="28"/>
                <w:szCs w:val="28"/>
                <w:lang w:val="uk-UA"/>
              </w:rPr>
              <w:lastRenderedPageBreak/>
              <w:t>інформації про нормативну грошову оцінку земельної ділянки);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2) реєстрацію, авторизацію (ідентифікацію) суб’єктів оціночної діяльності (оцінювачів) та нотаріусів;</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3) внесення суб’єктами оціночної діяльності (оцінювачами) звітів про оцінку та інформації з них напряму та безпосередньо до Єдиної бази;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4) реєстрацію і зберігання звітів про оцінку в Єдиній базі з автоматичним присвоєнням кожному звіту унікального реєстраційного номера;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5) електронне визначення оціночної вартості об’єктів нерухомості та автоматичне формування на запит фізичних і юридичних осіб електронних довідок про оціночну вартість об’єктів нерухомості з автоматичним присвоєнням кожній довідці унікального реєстраційного номера;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6) автоматичний обмін інформацією і документами, доступ до яких здійснюється за допомогою мережі Інтернет.</w:t>
            </w: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Власником Єдиної бази, прав інтелектуальної власності на Єдину базу та її програмного забезпечення є держава в особі </w:t>
            </w:r>
            <w:r w:rsidRPr="003454B4">
              <w:rPr>
                <w:rFonts w:hAnsi="Times New Roman"/>
                <w:b/>
                <w:sz w:val="28"/>
                <w:szCs w:val="28"/>
                <w:lang w:val="uk-UA"/>
              </w:rPr>
              <w:t>Фонду державного майна України</w:t>
            </w:r>
            <w:r w:rsidRPr="00EC2112">
              <w:rPr>
                <w:rFonts w:hAnsi="Times New Roman"/>
                <w:sz w:val="28"/>
                <w:szCs w:val="28"/>
                <w:lang w:val="uk-UA"/>
              </w:rPr>
              <w:t>.</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Default="00EC2112" w:rsidP="00EC2112">
            <w:pPr>
              <w:ind w:firstLine="709"/>
              <w:jc w:val="both"/>
              <w:rPr>
                <w:rFonts w:hAnsi="Times New Roman"/>
                <w:sz w:val="28"/>
                <w:szCs w:val="28"/>
                <w:lang w:val="uk-UA"/>
              </w:rPr>
            </w:pPr>
            <w:r w:rsidRPr="003454B4">
              <w:rPr>
                <w:rFonts w:hAnsi="Times New Roman"/>
                <w:b/>
                <w:sz w:val="28"/>
                <w:szCs w:val="28"/>
                <w:lang w:val="uk-UA"/>
              </w:rPr>
              <w:t>Фонд державного майна України</w:t>
            </w:r>
            <w:r w:rsidRPr="00EC2112">
              <w:rPr>
                <w:rFonts w:hAnsi="Times New Roman"/>
                <w:sz w:val="28"/>
                <w:szCs w:val="28"/>
                <w:lang w:val="uk-UA"/>
              </w:rPr>
              <w:t xml:space="preserve"> є держателем, розпорядником та адміністратором Єдиної бази, а також власником всієї інформації, що міститься в ній.</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Єдина база повинна забезпечувати збереження та належний захист всієї інформації щодо об’єктів </w:t>
            </w:r>
            <w:r w:rsidRPr="00EC2112">
              <w:rPr>
                <w:rFonts w:hAnsi="Times New Roman"/>
                <w:sz w:val="28"/>
                <w:szCs w:val="28"/>
                <w:lang w:val="uk-UA"/>
              </w:rPr>
              <w:lastRenderedPageBreak/>
              <w:t>нерухомості, оціночна вартість яких визначається та перевіряється, можливість доступу до інформації суб’єктів оціночної діяльності (оцінювачів), нотаріусів та контролюючих органів у межах повноважень.</w:t>
            </w: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Інформація Єдиної бази про об’єкт нерухомості та його вартість, у тому числі звіти про оцінку, автоматично оприлюднюється на офіційному веб-сайті </w:t>
            </w:r>
            <w:r w:rsidRPr="003454B4">
              <w:rPr>
                <w:rFonts w:hAnsi="Times New Roman"/>
                <w:b/>
                <w:sz w:val="28"/>
                <w:szCs w:val="28"/>
                <w:lang w:val="uk-UA"/>
              </w:rPr>
              <w:t>Фонду державного майна України</w:t>
            </w:r>
            <w:r w:rsidRPr="00EC2112">
              <w:rPr>
                <w:rFonts w:hAnsi="Times New Roman"/>
                <w:sz w:val="28"/>
                <w:szCs w:val="28"/>
                <w:lang w:val="uk-UA"/>
              </w:rPr>
              <w:t xml:space="preserve"> в режимі реального часу (крім інформації з обмеженим доступом). До такої інформації забезпечується відкритий, прямий неавторизований доступ з можливістю завантаження у форматі відкритих даних.</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Для цілей цього пункту до інформації з обмеженим доступом не належить інформація про суб’єктів оціночної діяльності (оцінювачів).</w:t>
            </w: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Порядок ведення Єдиної бази затверджується </w:t>
            </w:r>
            <w:r w:rsidRPr="003454B4">
              <w:rPr>
                <w:rFonts w:hAnsi="Times New Roman"/>
                <w:b/>
                <w:sz w:val="28"/>
                <w:szCs w:val="28"/>
                <w:lang w:val="uk-UA"/>
              </w:rPr>
              <w:t>Фондом державного майна України</w:t>
            </w:r>
            <w:r w:rsidRPr="00EC2112">
              <w:rPr>
                <w:rFonts w:hAnsi="Times New Roman"/>
                <w:sz w:val="28"/>
                <w:szCs w:val="28"/>
                <w:lang w:val="uk-UA"/>
              </w:rPr>
              <w:t xml:space="preserve"> за погодженням з центральним органом виконавчої влади, що забезпечує формування державної фінансової політики.</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З метою формування інформаційної основи для визначення оціночної вартості об’єкта нерухомості </w:t>
            </w:r>
            <w:r w:rsidRPr="003454B4">
              <w:rPr>
                <w:rFonts w:hAnsi="Times New Roman"/>
                <w:b/>
                <w:sz w:val="28"/>
                <w:szCs w:val="28"/>
                <w:lang w:val="uk-UA"/>
              </w:rPr>
              <w:t>Фонд державного майна України</w:t>
            </w:r>
            <w:r w:rsidRPr="00EC2112">
              <w:rPr>
                <w:rFonts w:hAnsi="Times New Roman"/>
                <w:sz w:val="28"/>
                <w:szCs w:val="28"/>
                <w:lang w:val="uk-UA"/>
              </w:rPr>
              <w:t xml:space="preserve"> використовує інформаційні джерела з відкритим доступом та дані про ціни, зазначені в договорах купівлі-продажу об’єктів нерухомості, внесені нотаріусами до Єдиної бази, а також дані про ринкову </w:t>
            </w:r>
            <w:r w:rsidRPr="00EC2112">
              <w:rPr>
                <w:rFonts w:hAnsi="Times New Roman"/>
                <w:sz w:val="28"/>
                <w:szCs w:val="28"/>
                <w:lang w:val="uk-UA"/>
              </w:rPr>
              <w:lastRenderedPageBreak/>
              <w:t>вартість об’єктів нерухомості, внесені до Єдиної бази на підставі звітів про оцінку.</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Визначення оціночної вартості об’єкта нерухомості здійснюється автоматично, на підставі даних про об’єкт нерухомості, внесених до Єдиної бази будь-якою особою за допомогою мережі Інтернет, що підтверджуються офіційними документами на такий об’єкт. Перелік даних, які вносяться особою до Єдиної бази з метою визначення оціночної вартості об’єкта нерухомості, затверджується </w:t>
            </w:r>
            <w:r w:rsidRPr="003454B4">
              <w:rPr>
                <w:rFonts w:hAnsi="Times New Roman"/>
                <w:b/>
                <w:sz w:val="28"/>
                <w:szCs w:val="28"/>
                <w:lang w:val="uk-UA"/>
              </w:rPr>
              <w:t>Фондом державного майна України</w:t>
            </w:r>
            <w:r w:rsidRPr="00EC2112">
              <w:rPr>
                <w:rFonts w:hAnsi="Times New Roman"/>
                <w:sz w:val="28"/>
                <w:szCs w:val="28"/>
                <w:lang w:val="uk-UA"/>
              </w:rPr>
              <w:t>.</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За результатом визначення оціночної вартості об’єкта нерухомості Єдиною базою формується довідка про його оціночну вартість з автоматичним присвоєнням кожній довідці унікального реєстраційного номера.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Якщо особа не погоджується з результатами автоматичного визначення оціночної вартості об’єкта нерухомості, вона має право звернутися до суб’єкта оціночної діяльності (оцінювача) з метою визначення ринкової вартості такого об’єкта.</w:t>
            </w: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Внесення інформації зі звітів про оцінку до Єдиної бази здійснюється суб’єктом оціночної діяльності (оцінювачем) на підставі звіту про оцінку, електронна версія якого зберігається в Єдиній базі. Перелік даних про об’єкт нерухомості зі звіту про оцінку, які вносяться суб’єктом оціночної діяльності (оцінювачем) до Єдиної бази з метою </w:t>
            </w:r>
            <w:r w:rsidRPr="00EC2112">
              <w:rPr>
                <w:rFonts w:hAnsi="Times New Roman"/>
                <w:sz w:val="28"/>
                <w:szCs w:val="28"/>
                <w:lang w:val="uk-UA"/>
              </w:rPr>
              <w:lastRenderedPageBreak/>
              <w:t xml:space="preserve">реєстрації звіту у Єдиній базі, затверджується </w:t>
            </w:r>
            <w:r w:rsidRPr="003454B4">
              <w:rPr>
                <w:rFonts w:hAnsi="Times New Roman"/>
                <w:b/>
                <w:sz w:val="28"/>
                <w:szCs w:val="28"/>
                <w:lang w:val="uk-UA"/>
              </w:rPr>
              <w:t>Фондом державного майна України</w:t>
            </w:r>
            <w:r w:rsidRPr="00EC2112">
              <w:rPr>
                <w:rFonts w:hAnsi="Times New Roman"/>
                <w:sz w:val="28"/>
                <w:szCs w:val="28"/>
                <w:lang w:val="uk-UA"/>
              </w:rPr>
              <w:t>. Звіти про оцінку реєструються в Єдиній базі суб’єктами оціночної діяльності (оцінювачами) виключно з використанням кваліфікованого електронного підпису оцінювачів, які безпосередньо проводили оцінку.</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Реєстрація звіту про оцінку з присвоєнням йому унікального реєстраційного номера здійснюється Єдиною базою за умови, що визначена у звіті про оцінку ринкова вартість об’єкта нерухомості перебуває в межах допустимого 25-відсоткового цінового діапазону ринкових цін на співставні об’єкти нерухомості, інформація про які міститься у Єдиній базі. Алгоритми встановлення Єдиною базою співставних об’єктів нерухомості визначаються </w:t>
            </w:r>
            <w:r w:rsidRPr="003454B4">
              <w:rPr>
                <w:rFonts w:hAnsi="Times New Roman"/>
                <w:b/>
                <w:sz w:val="28"/>
                <w:szCs w:val="28"/>
                <w:lang w:val="uk-UA"/>
              </w:rPr>
              <w:t>Фондом державного майна України</w:t>
            </w:r>
            <w:r w:rsidRPr="00EC2112">
              <w:rPr>
                <w:rFonts w:hAnsi="Times New Roman"/>
                <w:sz w:val="28"/>
                <w:szCs w:val="28"/>
                <w:lang w:val="uk-UA"/>
              </w:rPr>
              <w:t>.</w:t>
            </w:r>
          </w:p>
          <w:p w:rsidR="00F82FA3" w:rsidRDefault="00F82FA3" w:rsidP="00EC2112">
            <w:pPr>
              <w:ind w:firstLine="709"/>
              <w:jc w:val="both"/>
              <w:rPr>
                <w:rFonts w:hAnsi="Times New Roman"/>
                <w:sz w:val="28"/>
                <w:szCs w:val="28"/>
                <w:lang w:val="uk-UA"/>
              </w:rPr>
            </w:pPr>
          </w:p>
          <w:p w:rsidR="00F82FA3" w:rsidRPr="00EC2112" w:rsidRDefault="00F82FA3" w:rsidP="00EC2112">
            <w:pPr>
              <w:ind w:firstLine="709"/>
              <w:jc w:val="both"/>
              <w:rPr>
                <w:rFonts w:hAnsi="Times New Roman"/>
                <w:sz w:val="28"/>
                <w:szCs w:val="28"/>
                <w:lang w:val="uk-UA"/>
              </w:rPr>
            </w:pP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У разі якщо визначена у звіті про оцінку ринкова вартість об’єкта нерухомості виходить за межі допустимого 25-відсоткового цінового діапазону, Єдина база автоматично відмовляє в реєстрації такого звіту. У такому разі особа, яка використовує звіт про оцінку, або суб’єкт оціночної діяльності (оцінювач) має право протягом п’яти робочих днів з дня відмови у реєстрації звіту про оцінку звернутися через Єдину базу або письмово до </w:t>
            </w:r>
            <w:r w:rsidRPr="003454B4">
              <w:rPr>
                <w:rFonts w:hAnsi="Times New Roman"/>
                <w:b/>
                <w:sz w:val="28"/>
                <w:szCs w:val="28"/>
                <w:lang w:val="uk-UA"/>
              </w:rPr>
              <w:t>Фонду державного майна України</w:t>
            </w:r>
            <w:r w:rsidRPr="00EC2112">
              <w:rPr>
                <w:rFonts w:hAnsi="Times New Roman"/>
                <w:sz w:val="28"/>
                <w:szCs w:val="28"/>
                <w:lang w:val="uk-UA"/>
              </w:rPr>
              <w:t xml:space="preserve"> із заявою про забезпечення рецензування звіту про оцінку відповідно до Закону України "Про оцінку </w:t>
            </w:r>
            <w:r w:rsidRPr="00EC2112">
              <w:rPr>
                <w:rFonts w:hAnsi="Times New Roman"/>
                <w:sz w:val="28"/>
                <w:szCs w:val="28"/>
                <w:lang w:val="uk-UA"/>
              </w:rPr>
              <w:lastRenderedPageBreak/>
              <w:t xml:space="preserve">майна, майнових прав та професійну оціночну діяльність". </w:t>
            </w:r>
            <w:r w:rsidRPr="003454B4">
              <w:rPr>
                <w:rFonts w:hAnsi="Times New Roman"/>
                <w:b/>
                <w:sz w:val="28"/>
                <w:szCs w:val="28"/>
                <w:lang w:val="uk-UA"/>
              </w:rPr>
              <w:t>Фонд державного майна України</w:t>
            </w:r>
            <w:r w:rsidRPr="00EC2112">
              <w:rPr>
                <w:rFonts w:hAnsi="Times New Roman"/>
                <w:sz w:val="28"/>
                <w:szCs w:val="28"/>
                <w:lang w:val="uk-UA"/>
              </w:rPr>
              <w:t xml:space="preserve"> розглядає таку заяву не більше п’яти робочих днів з моменту отримання та приймає відповідне рішення. Зазначене рішення не пізніше наступного робочого дня після його прийняття реєструється </w:t>
            </w:r>
            <w:r w:rsidRPr="003454B4">
              <w:rPr>
                <w:rFonts w:hAnsi="Times New Roman"/>
                <w:b/>
                <w:sz w:val="28"/>
                <w:szCs w:val="28"/>
                <w:lang w:val="uk-UA"/>
              </w:rPr>
              <w:t>Фондом державного майна України</w:t>
            </w:r>
            <w:r w:rsidRPr="00EC2112">
              <w:rPr>
                <w:rFonts w:hAnsi="Times New Roman"/>
                <w:sz w:val="28"/>
                <w:szCs w:val="28"/>
                <w:lang w:val="uk-UA"/>
              </w:rPr>
              <w:t xml:space="preserve"> в Єдиній базі. Звіт про оцінку за результатами рецензування підлягає реєстрації в Єдиній базі із присвоєнням йому унікального реєстраційного номера, за умови прийняття такого рішення.</w:t>
            </w:r>
          </w:p>
          <w:p w:rsidR="00F82FA3" w:rsidRDefault="00F82FA3" w:rsidP="00EC2112">
            <w:pPr>
              <w:ind w:firstLine="709"/>
              <w:jc w:val="both"/>
              <w:rPr>
                <w:rFonts w:hAnsi="Times New Roman"/>
                <w:sz w:val="28"/>
                <w:szCs w:val="28"/>
                <w:lang w:val="uk-UA"/>
              </w:rPr>
            </w:pPr>
          </w:p>
          <w:p w:rsidR="00F82FA3" w:rsidRDefault="00F82FA3" w:rsidP="00EC2112">
            <w:pPr>
              <w:ind w:firstLine="709"/>
              <w:jc w:val="both"/>
              <w:rPr>
                <w:rFonts w:hAnsi="Times New Roman"/>
                <w:sz w:val="28"/>
                <w:szCs w:val="28"/>
                <w:lang w:val="uk-UA"/>
              </w:rPr>
            </w:pPr>
          </w:p>
          <w:p w:rsidR="00F82FA3" w:rsidRDefault="00F82FA3" w:rsidP="00EC2112">
            <w:pPr>
              <w:ind w:firstLine="709"/>
              <w:jc w:val="both"/>
              <w:rPr>
                <w:rFonts w:hAnsi="Times New Roman"/>
                <w:sz w:val="28"/>
                <w:szCs w:val="28"/>
                <w:lang w:val="uk-UA"/>
              </w:rPr>
            </w:pPr>
          </w:p>
          <w:p w:rsidR="00F82FA3" w:rsidRDefault="00F82FA3" w:rsidP="00EC2112">
            <w:pPr>
              <w:ind w:firstLine="709"/>
              <w:jc w:val="both"/>
              <w:rPr>
                <w:rFonts w:hAnsi="Times New Roman"/>
                <w:sz w:val="28"/>
                <w:szCs w:val="28"/>
                <w:lang w:val="uk-UA"/>
              </w:rPr>
            </w:pPr>
          </w:p>
          <w:p w:rsidR="00F82FA3" w:rsidRDefault="00F82FA3" w:rsidP="00EC2112">
            <w:pPr>
              <w:ind w:firstLine="709"/>
              <w:jc w:val="both"/>
              <w:rPr>
                <w:rFonts w:hAnsi="Times New Roman"/>
                <w:sz w:val="28"/>
                <w:szCs w:val="28"/>
                <w:lang w:val="uk-UA"/>
              </w:rPr>
            </w:pPr>
          </w:p>
          <w:p w:rsidR="00F82FA3" w:rsidRDefault="00F82FA3" w:rsidP="00EC2112">
            <w:pPr>
              <w:ind w:firstLine="709"/>
              <w:jc w:val="both"/>
              <w:rPr>
                <w:rFonts w:hAnsi="Times New Roman"/>
                <w:sz w:val="28"/>
                <w:szCs w:val="28"/>
                <w:lang w:val="uk-UA"/>
              </w:rPr>
            </w:pP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Доступ, внесення, перевірка інформації до/з Єдиної бази здійснюються безоплатно. Формування електронних довідок про оціночну вартість об’єкта нерухомості здійснюється безоплатно.</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Звіт про оцінку, не зареєстрований у Єдиній базі, без присвоєного унікального реєстраційного номера відповідно до вимог цієї статті або з дати реєстрації якого минуло більше шести місяців, для цілей оподаткування не застосовується. Єдина база не присвоює унікальний реєстраційний номер звіту про оцінку, якщо з дати звіту про оцінку (або у разі здійснення рецензування звіту про оцінку - з дати завершення такого рецензування) минуло більше п’яти робочих днів.</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lastRenderedPageBreak/>
              <w:t>Під час посвідчення правочинів з продажу (обміну) об’єктів нерухомості нотаріус перевіряє зміст електронної довідки про оціночну вартість об’єкта нерухомості на достовірність даних про об’єкт нерухомості, унікальний реєстраційний номер та дату формування цієї довідки або реєстрації звіту про оцінку в Єдиній базі та наявність присвоєного йому унікального реєстраційного номера, а також звіряє інформацію про суб’єкта оціночної діяльності (оцінювача) та ринкову вартість об’єкта нерухомості, які містяться у звіті про оцінку, з даними Єдиної бази.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Довідка про оціночну вартість об’єкта нерухомості за результатами електронного визначення оціночної вартості є чинною впродовж 30 календарних днів з дня її формування Єдиною базою.</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Доступ нотаріуса до Єдиної бази для перевірки факту формування Єдиною базою довідки про оціночну вартість об’єкта нерухомості чи реєстрації звіту про оцінку в Єдиній базі та присвоєння йому унікального реєстраційного номера, а також для внесення до Єдиної бази інформації про ціну об’єкта нерухомості, зазначену в договорі купівлі-продажу, що ним посвідчується, є безоплатним.</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У разі обміну об’єкта нерухомості на інший (інші) об’єкти нерухомості дохід платника податку у вигляді отриманої ним грошової компенсації від відчуження об’єкта нерухомості, визначеного:</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а) абзацом першим пункту 172.1 цієї статті, - не оподатковується;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lastRenderedPageBreak/>
              <w:t>б) пунктом 172.2 цієї статті, - оподатковується за ставкою, визначеною пунктом 167.2 статті 167 цього Кодексу.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172.4. Під час проведення операцій з продажу (обміну) об’єктів нерухомості між фізичними особами нотаріус посвідчує відповідний договір за наявності електронної довідки про оціночну вартість такого об’єкта нерухомості або звіту про оцінку, зареєстрованого відповідно до пункту 172.3 цієї статті, та документа про сплату податку до бюджету стороною (сторонами) договору і вносить до Єдиної бази інформацію про ціну договору купівлі-продажу.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Нотаріус щокварталу в порядку, встановленому цим розділом для податкового розрахунку, подає до контролюючого органу за місцем розташування державної нотаріальної контори або робочого місця приватного нотаріуса інформацію про посвідчені ним протягом звітного кварталу договори купівлі-продажу (міни) між фізичними особами, включаючи інформацію про ціну таких договорів та розмір сплаченого податку у розрізі кожного договору.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172.5. Сума податку визначається та самостійно сплачується через банківські установи: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а) особою, яка продає або обмінює з іншою фізичною особою нерухомість, - до нотаріального посвідчення договору купівлі-продажу, міни;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б) особою, у власності якої перебував об'єкт нерухомості, відчужений за рішенням суду про зміну власника та перехід права власності на таке майно. Фізична особа зобов'язана відобразити доход від такого відчуження у річній податковій декларації.</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lastRenderedPageBreak/>
              <w:t>172.6. У разі невчинення нотаріальної дії щодо посвідчення договору купівлі-продажу, міни об'єкта нерухомості, за яким сплачено податок, платник податку має право на повернення надміру сплаченої суми податку на підставі податкової декларації, поданої в установленому порядку, та підтвердних документів про фактичну сплату податку.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172.7. Одночасно з дією пункту 172.4 цієї статті, якщо стороною договору купівлі-продажу, міни об'єкта нерухомого майна є юридична особа чи самозайнята особа, така особа є податковим агентом платника податку щодо нарахування, утримання та сплати (перерахування) до бюджету податку з доходів, отриманих платником податку від такого продажу (обміну).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172.8. Для цілей цієї статті під продажем розуміється будь-який перехід права власності на об'єкти нерухомості, крім їх успадкування та дарування.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172.9. Дохід від операцій з продажу (обміну) об'єктів нерухомості, що здійснюються фізичними особами - нерезидентами, оподатковується згідно із цією статтею в порядку, встановленому для резидентів, за ставкою, визначеною у пункті 167.1 статті 167 цього Кодексу.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172.10. Продаж резидентами та нерезидентами успадкованого (отриманого в подарунок) об'єкта нерухомості підлягає оподаткуванню згідно з положеннями цієї статті.</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172.11. Порядок визначення оціночної вартості нерухомості та об'єктів незавершеного будівництва, що </w:t>
            </w:r>
            <w:r w:rsidRPr="00EC2112">
              <w:rPr>
                <w:rFonts w:hAnsi="Times New Roman"/>
                <w:sz w:val="28"/>
                <w:szCs w:val="28"/>
                <w:lang w:val="uk-UA"/>
              </w:rPr>
              <w:lastRenderedPageBreak/>
              <w:t xml:space="preserve">продаються (обмінюються), визначається </w:t>
            </w:r>
            <w:r w:rsidRPr="003454B4">
              <w:rPr>
                <w:rFonts w:hAnsi="Times New Roman"/>
                <w:b/>
                <w:sz w:val="28"/>
                <w:szCs w:val="28"/>
                <w:lang w:val="uk-UA"/>
              </w:rPr>
              <w:t>Фондом державного майна України</w:t>
            </w:r>
            <w:r w:rsidRPr="00EC2112">
              <w:rPr>
                <w:rFonts w:hAnsi="Times New Roman"/>
                <w:sz w:val="28"/>
                <w:szCs w:val="28"/>
                <w:lang w:val="uk-UA"/>
              </w:rPr>
              <w:t>.</w:t>
            </w:r>
          </w:p>
        </w:tc>
        <w:tc>
          <w:tcPr>
            <w:tcW w:w="2500" w:type="pct"/>
            <w:tcBorders>
              <w:top w:val="single" w:sz="4" w:space="0" w:color="000001"/>
              <w:left w:val="single" w:sz="4" w:space="0" w:color="000001"/>
              <w:bottom w:val="single" w:sz="4" w:space="0" w:color="000001"/>
              <w:right w:val="single" w:sz="4" w:space="0" w:color="000001"/>
            </w:tcBorders>
            <w:vAlign w:val="center"/>
          </w:tcPr>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lastRenderedPageBreak/>
              <w:t>Стаття 172. Порядок оподаткування операцій з продажу (обміну) об'єктів нерухомого майна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172.1. Дохід, отриманий платником податку від продажу (обміну) не частіше одного разу протягом звітного податкового року житлового будинку, квартири або їх частини, кімнати, садового (дачного) будинку (включаючи об’єкт незавершеного будівництва таких об’єктів, земельну ділянку, на якій розташовані такі об'єкти, а також господарсько-побутові споруди та будівлі, розташовані на такій земельній ділянці), а також земельної ділянки, що не перевищує норми безоплатної передачі, визначеної статтею 121 Земельного кодексу України залежно від її призначення, та за умови перебування такого майна у власності платника податку понад три роки, не оподатковується.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Умова щодо перебування такого майна у власності платника податку понад три роки не розповсюджується на майно, отримане таким платником у спадщину.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Дохід від відчуження господарсько-побутових споруд, що розташовані на одній ділянці з житловим або садовим (дачним) будинком та продаються разом з ним, для цілей оподаткування окремо не визначається.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172.2. Дохід, отриманий платником податку від продажу протягом звітного податкового року більш як </w:t>
            </w:r>
            <w:r w:rsidRPr="00EC2112">
              <w:rPr>
                <w:rFonts w:hAnsi="Times New Roman"/>
                <w:sz w:val="28"/>
                <w:szCs w:val="28"/>
                <w:lang w:val="uk-UA"/>
              </w:rPr>
              <w:lastRenderedPageBreak/>
              <w:t>одного з 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Дохід від продажу (обміну) об’єкта незавершеного будівництва оподатковується у порядку, визначеному цією статтею для об’єктів нерухомого майна.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172.3. Дохід від продажу об’єкта нерухомості визначається виходячи з ціни, зазначеної в договорі купівлі-продажу, але не нижче оціночної вартості такого об’єкта, розрахованої модулем електронного визначення оціночної вартості Єдиної бази даних звітів про оцінку, або не нижче ринкової вартості такого об’єкта, визначеної суб’єктом оціночної діяльності (оцінювачем) відповідно до законодавства та зазначеної у звіті про оцінку, зареєстрованому в Єдиній базі даних звітів про оцінку.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Єдина база даних звітів про оцінку (далі - Єдина база) - державна автоматизована інформаційно-телекомунікаційна система, до складу якої входять база даних, програмне забезпечення, модуль електронного визначення оціночної вартості, сервіс послуги електронного визначення оціночної вартості та автоматичного формування електронних довідок про оціночну вартість об’єкта нерухомості.</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Єдина база забезпечує:</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1) внесення, оновлення, створення, зберігання, передавання та автоматичне оприлюднення відповідної інформації про об’єкт нерухомості та його вартість (крім </w:t>
            </w:r>
            <w:r w:rsidRPr="00EC2112">
              <w:rPr>
                <w:rFonts w:hAnsi="Times New Roman"/>
                <w:sz w:val="28"/>
                <w:szCs w:val="28"/>
                <w:lang w:val="uk-UA"/>
              </w:rPr>
              <w:lastRenderedPageBreak/>
              <w:t>інформації про нормативну грошову оцінку земельної ділянки);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2) реєстрацію, авторизацію (ідентифікацію) суб’єктів оціночної діяльності (оцінювачів) та нотаріусів;</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3) внесення суб’єктами оціночної діяльності (оцінювачами) звітів про оцінку та інформації з них напряму та безпосередньо до Єдиної бази;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4) реєстрацію і зберігання звітів про оцінку в Єдиній базі з автоматичним присвоєнням кожному звіту унікального реєстраційного номера;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5) електронне визначення оціночної вартості об’єктів нерухомості та автоматичне формування на запит фізичних і юридичних осіб електронних довідок про оціночну вартість об’єктів нерухомості з автоматичним присвоєнням кожній довідці унікального реєстраційного номера;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6) автоматичний обмін інформацією і документами, доступ до яких здійснюється за допомогою мережі Інтернет.</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Власником Єдиної бази, прав інтелектуальної власності на Єдину базу та її програмного забезпечення є держава в особі </w:t>
            </w:r>
            <w:r w:rsidR="00F82FA3" w:rsidRPr="00F82FA3">
              <w:rPr>
                <w:rFonts w:hAnsi="Times New Roman"/>
                <w:b/>
                <w:sz w:val="28"/>
                <w:szCs w:val="28"/>
                <w:lang w:val="uk-UA"/>
              </w:rPr>
              <w:t>центрального органу виконавчої влади, що забезпечує формування та/або реалізацію державної політики у сфері електронного урядування</w:t>
            </w:r>
            <w:r w:rsidRPr="00EC2112">
              <w:rPr>
                <w:rFonts w:hAnsi="Times New Roman"/>
                <w:sz w:val="28"/>
                <w:szCs w:val="28"/>
                <w:lang w:val="uk-UA"/>
              </w:rPr>
              <w:t>.</w:t>
            </w:r>
          </w:p>
          <w:p w:rsidR="00EC2112" w:rsidRPr="00EC2112" w:rsidRDefault="00F82FA3" w:rsidP="00EC2112">
            <w:pPr>
              <w:ind w:firstLine="709"/>
              <w:jc w:val="both"/>
              <w:rPr>
                <w:rFonts w:hAnsi="Times New Roman"/>
                <w:sz w:val="28"/>
                <w:szCs w:val="28"/>
                <w:lang w:val="uk-UA"/>
              </w:rPr>
            </w:pPr>
            <w:r w:rsidRPr="00F82FA3">
              <w:rPr>
                <w:rFonts w:hAnsi="Times New Roman"/>
                <w:b/>
                <w:sz w:val="28"/>
                <w:szCs w:val="28"/>
                <w:lang w:val="uk-UA"/>
              </w:rPr>
              <w:t>Центральн</w:t>
            </w:r>
            <w:r>
              <w:rPr>
                <w:rFonts w:hAnsi="Times New Roman"/>
                <w:b/>
                <w:sz w:val="28"/>
                <w:szCs w:val="28"/>
                <w:lang w:val="uk-UA"/>
              </w:rPr>
              <w:t>ий</w:t>
            </w:r>
            <w:r w:rsidRPr="00F82FA3">
              <w:rPr>
                <w:rFonts w:hAnsi="Times New Roman"/>
                <w:b/>
                <w:sz w:val="28"/>
                <w:szCs w:val="28"/>
                <w:lang w:val="uk-UA"/>
              </w:rPr>
              <w:t xml:space="preserve"> орган виконавчої влади, що забезпечує формування та/або реалізацію державної політики у сфері електронного урядування</w:t>
            </w:r>
            <w:r w:rsidRPr="00EC2112">
              <w:rPr>
                <w:rFonts w:hAnsi="Times New Roman"/>
                <w:sz w:val="28"/>
                <w:szCs w:val="28"/>
                <w:lang w:val="uk-UA"/>
              </w:rPr>
              <w:t xml:space="preserve"> </w:t>
            </w:r>
            <w:r w:rsidR="00EC2112" w:rsidRPr="00EC2112">
              <w:rPr>
                <w:rFonts w:hAnsi="Times New Roman"/>
                <w:sz w:val="28"/>
                <w:szCs w:val="28"/>
                <w:lang w:val="uk-UA"/>
              </w:rPr>
              <w:t>є держателем, розпорядником та адміністратором Єдиної бази, а також власником всієї інформації, що міститься в ній.</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Єдина база повинна забезпечувати збереження та належний захист всієї інформації щодо об’єктів </w:t>
            </w:r>
            <w:r w:rsidRPr="00EC2112">
              <w:rPr>
                <w:rFonts w:hAnsi="Times New Roman"/>
                <w:sz w:val="28"/>
                <w:szCs w:val="28"/>
                <w:lang w:val="uk-UA"/>
              </w:rPr>
              <w:lastRenderedPageBreak/>
              <w:t>нерухомості, оціночна вартість яких визначається та перевіряється, можливість доступу до інформації суб’єктів оціночної діяльності (оцінювачів), нотаріусів та контролюючих органів у межах повноважень.</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Інформація Єдиної бази про об’єкт нерухомості та його вартість, у тому числі звіти про оцінку, автоматично оприлюднюється на офіційному веб-сайті </w:t>
            </w:r>
            <w:r w:rsidR="00F82FA3" w:rsidRPr="00F82FA3">
              <w:rPr>
                <w:rFonts w:hAnsi="Times New Roman"/>
                <w:b/>
                <w:sz w:val="28"/>
                <w:szCs w:val="28"/>
                <w:lang w:val="uk-UA"/>
              </w:rPr>
              <w:t>центрального органу виконавчої влади, що забезпечує формування та/або реалізацію державної політики у сфері електронного урядування</w:t>
            </w:r>
            <w:r w:rsidR="00F82FA3">
              <w:rPr>
                <w:rFonts w:hAnsi="Times New Roman"/>
                <w:b/>
                <w:sz w:val="28"/>
                <w:szCs w:val="28"/>
                <w:lang w:val="uk-UA"/>
              </w:rPr>
              <w:t>,</w:t>
            </w:r>
            <w:r w:rsidRPr="00EC2112">
              <w:rPr>
                <w:rFonts w:hAnsi="Times New Roman"/>
                <w:sz w:val="28"/>
                <w:szCs w:val="28"/>
                <w:lang w:val="uk-UA"/>
              </w:rPr>
              <w:t xml:space="preserve"> в режимі реального часу (крім інформації з обмеженим доступом). До такої інформації забезпечується відкритий, прямий неавторизований доступ з можливістю завантаження у форматі відкритих даних.</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Для цілей цього пункту до інформації з обмеженим доступом не належить інформація про суб’єктів оціночної діяльності (оцінювачів).</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Порядок ведення Єдиної бази затверджується </w:t>
            </w:r>
            <w:r w:rsidR="00F82FA3" w:rsidRPr="00F82FA3">
              <w:rPr>
                <w:rFonts w:hAnsi="Times New Roman"/>
                <w:b/>
                <w:sz w:val="28"/>
                <w:szCs w:val="28"/>
                <w:lang w:val="uk-UA"/>
              </w:rPr>
              <w:t>центральн</w:t>
            </w:r>
            <w:r w:rsidR="00F82FA3">
              <w:rPr>
                <w:rFonts w:hAnsi="Times New Roman"/>
                <w:b/>
                <w:sz w:val="28"/>
                <w:szCs w:val="28"/>
                <w:lang w:val="uk-UA"/>
              </w:rPr>
              <w:t>им</w:t>
            </w:r>
            <w:r w:rsidR="00F82FA3" w:rsidRPr="00F82FA3">
              <w:rPr>
                <w:rFonts w:hAnsi="Times New Roman"/>
                <w:b/>
                <w:sz w:val="28"/>
                <w:szCs w:val="28"/>
                <w:lang w:val="uk-UA"/>
              </w:rPr>
              <w:t xml:space="preserve"> орган</w:t>
            </w:r>
            <w:r w:rsidR="00F82FA3">
              <w:rPr>
                <w:rFonts w:hAnsi="Times New Roman"/>
                <w:b/>
                <w:sz w:val="28"/>
                <w:szCs w:val="28"/>
                <w:lang w:val="uk-UA"/>
              </w:rPr>
              <w:t>ом</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00F82FA3">
              <w:rPr>
                <w:rFonts w:hAnsi="Times New Roman"/>
                <w:b/>
                <w:sz w:val="28"/>
                <w:szCs w:val="28"/>
                <w:lang w:val="uk-UA"/>
              </w:rPr>
              <w:t>,</w:t>
            </w:r>
            <w:r w:rsidR="00F82FA3" w:rsidRPr="00EC2112">
              <w:rPr>
                <w:rFonts w:hAnsi="Times New Roman"/>
                <w:sz w:val="28"/>
                <w:szCs w:val="28"/>
                <w:lang w:val="uk-UA"/>
              </w:rPr>
              <w:t xml:space="preserve"> </w:t>
            </w:r>
            <w:r w:rsidRPr="00EC2112">
              <w:rPr>
                <w:rFonts w:hAnsi="Times New Roman"/>
                <w:sz w:val="28"/>
                <w:szCs w:val="28"/>
                <w:lang w:val="uk-UA"/>
              </w:rPr>
              <w:t>за погодженням з центральним органом виконавчої влади, що забезпечує формування державної фінансової політики.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З метою формування інформаційної основи для визначення оціночної вартості об’єкта нерухомості </w:t>
            </w:r>
            <w:r w:rsidR="00F82FA3" w:rsidRPr="00F82FA3">
              <w:rPr>
                <w:rFonts w:hAnsi="Times New Roman"/>
                <w:b/>
                <w:sz w:val="28"/>
                <w:szCs w:val="28"/>
                <w:lang w:val="uk-UA"/>
              </w:rPr>
              <w:t>центральн</w:t>
            </w:r>
            <w:r w:rsidR="00F82FA3">
              <w:rPr>
                <w:rFonts w:hAnsi="Times New Roman"/>
                <w:b/>
                <w:sz w:val="28"/>
                <w:szCs w:val="28"/>
                <w:lang w:val="uk-UA"/>
              </w:rPr>
              <w:t>ий</w:t>
            </w:r>
            <w:r w:rsidR="00F82FA3" w:rsidRPr="00F82FA3">
              <w:rPr>
                <w:rFonts w:hAnsi="Times New Roman"/>
                <w:b/>
                <w:sz w:val="28"/>
                <w:szCs w:val="28"/>
                <w:lang w:val="uk-UA"/>
              </w:rPr>
              <w:t xml:space="preserve"> орган виконавчої влади, що забезпечує формування та/або реалізацію державної політики у сфері електронного урядування</w:t>
            </w:r>
            <w:r w:rsidR="00F82FA3">
              <w:rPr>
                <w:rFonts w:hAnsi="Times New Roman"/>
                <w:b/>
                <w:sz w:val="28"/>
                <w:szCs w:val="28"/>
                <w:lang w:val="uk-UA"/>
              </w:rPr>
              <w:t>,</w:t>
            </w:r>
            <w:r w:rsidR="00F82FA3" w:rsidRPr="00EC2112">
              <w:rPr>
                <w:rFonts w:hAnsi="Times New Roman"/>
                <w:sz w:val="28"/>
                <w:szCs w:val="28"/>
                <w:lang w:val="uk-UA"/>
              </w:rPr>
              <w:t xml:space="preserve"> </w:t>
            </w:r>
            <w:r w:rsidRPr="00EC2112">
              <w:rPr>
                <w:rFonts w:hAnsi="Times New Roman"/>
                <w:sz w:val="28"/>
                <w:szCs w:val="28"/>
                <w:lang w:val="uk-UA"/>
              </w:rPr>
              <w:t xml:space="preserve">використовує інформаційні джерела з відкритим доступом та дані про ціни, зазначені в договорах купівлі-продажу об’єктів </w:t>
            </w:r>
            <w:r w:rsidRPr="00EC2112">
              <w:rPr>
                <w:rFonts w:hAnsi="Times New Roman"/>
                <w:sz w:val="28"/>
                <w:szCs w:val="28"/>
                <w:lang w:val="uk-UA"/>
              </w:rPr>
              <w:lastRenderedPageBreak/>
              <w:t>нерухомості, внесені нотаріусами до Єдиної бази, а також дані про ринкову вартість об’єктів нерухомості, внесені до Єдиної бази на підставі звітів про оцінку.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Визначення оціночної вартості об’єкта нерухомості здійснюється автоматично, на підставі даних про об’єкт нерухомості, внесених до Єдиної бази будь-якою особою за допомогою мережі Інтернет, що підтверджуються офіційними документами на такий об’єкт. Перелік даних, які вносяться особою до Єдиної бази з метою визначення оціночної вартості об’єкта нерухомості, затверджується </w:t>
            </w:r>
            <w:r w:rsidR="00F82FA3" w:rsidRPr="00F82FA3">
              <w:rPr>
                <w:rFonts w:hAnsi="Times New Roman"/>
                <w:b/>
                <w:sz w:val="28"/>
                <w:szCs w:val="28"/>
                <w:lang w:val="uk-UA"/>
              </w:rPr>
              <w:t>центральн</w:t>
            </w:r>
            <w:r w:rsidR="00F82FA3">
              <w:rPr>
                <w:rFonts w:hAnsi="Times New Roman"/>
                <w:b/>
                <w:sz w:val="28"/>
                <w:szCs w:val="28"/>
                <w:lang w:val="uk-UA"/>
              </w:rPr>
              <w:t>им</w:t>
            </w:r>
            <w:r w:rsidR="00F82FA3" w:rsidRPr="00F82FA3">
              <w:rPr>
                <w:rFonts w:hAnsi="Times New Roman"/>
                <w:b/>
                <w:sz w:val="28"/>
                <w:szCs w:val="28"/>
                <w:lang w:val="uk-UA"/>
              </w:rPr>
              <w:t xml:space="preserve"> орган</w:t>
            </w:r>
            <w:r w:rsidR="00F82FA3">
              <w:rPr>
                <w:rFonts w:hAnsi="Times New Roman"/>
                <w:b/>
                <w:sz w:val="28"/>
                <w:szCs w:val="28"/>
                <w:lang w:val="uk-UA"/>
              </w:rPr>
              <w:t>ом</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Pr="00EC2112">
              <w:rPr>
                <w:rFonts w:hAnsi="Times New Roman"/>
                <w:sz w:val="28"/>
                <w:szCs w:val="28"/>
                <w:lang w:val="uk-UA"/>
              </w:rPr>
              <w:t>.</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За результатом визначення оціночної вартості об’єкта нерухомості Єдиною базою формується довідка про його оціночну вартість з автоматичним присвоєнням кожній довідці унікального реєстраційного номера.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Якщо особа не погоджується з результатами автоматичного визначення оціночної вартості об’єкта нерухомості, вона має право звернутися до суб’єкта оціночної діяльності (оцінювача) з метою визначення ринкової вартості такого об’єкта.</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Внесення інформації зі звітів про оцінку до Єдиної бази здійснюється суб’єктом оціночної діяльності (оцінювачем) на підставі звіту про оцінку, електронна версія якого зберігається в Єдиній базі. Перелік даних про об’єкт нерухомості зі звіту про оцінку, які вносяться суб’єктом оціночної діяльності (оцінювачем) до Єдиної бази з метою реєстрації звіту у Єдиній базі, затверджується </w:t>
            </w:r>
            <w:r w:rsidR="00F82FA3" w:rsidRPr="00F82FA3">
              <w:rPr>
                <w:rFonts w:hAnsi="Times New Roman"/>
                <w:b/>
                <w:sz w:val="28"/>
                <w:szCs w:val="28"/>
                <w:lang w:val="uk-UA"/>
              </w:rPr>
              <w:t>центральн</w:t>
            </w:r>
            <w:r w:rsidR="00F82FA3">
              <w:rPr>
                <w:rFonts w:hAnsi="Times New Roman"/>
                <w:b/>
                <w:sz w:val="28"/>
                <w:szCs w:val="28"/>
                <w:lang w:val="uk-UA"/>
              </w:rPr>
              <w:t>им</w:t>
            </w:r>
            <w:r w:rsidR="00F82FA3" w:rsidRPr="00F82FA3">
              <w:rPr>
                <w:rFonts w:hAnsi="Times New Roman"/>
                <w:b/>
                <w:sz w:val="28"/>
                <w:szCs w:val="28"/>
                <w:lang w:val="uk-UA"/>
              </w:rPr>
              <w:t xml:space="preserve"> </w:t>
            </w:r>
            <w:r w:rsidR="00F82FA3" w:rsidRPr="00F82FA3">
              <w:rPr>
                <w:rFonts w:hAnsi="Times New Roman"/>
                <w:b/>
                <w:sz w:val="28"/>
                <w:szCs w:val="28"/>
                <w:lang w:val="uk-UA"/>
              </w:rPr>
              <w:lastRenderedPageBreak/>
              <w:t>орган</w:t>
            </w:r>
            <w:r w:rsidR="00F82FA3">
              <w:rPr>
                <w:rFonts w:hAnsi="Times New Roman"/>
                <w:b/>
                <w:sz w:val="28"/>
                <w:szCs w:val="28"/>
                <w:lang w:val="uk-UA"/>
              </w:rPr>
              <w:t>ом</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Pr="00EC2112">
              <w:rPr>
                <w:rFonts w:hAnsi="Times New Roman"/>
                <w:sz w:val="28"/>
                <w:szCs w:val="28"/>
                <w:lang w:val="uk-UA"/>
              </w:rPr>
              <w:t>. Звіти про оцінку реєструються в Єдиній базі суб’єктами оціночної діяльності (оцінювачами) виключно з використанням кваліфікованого електронного підпису оцінювачів, які безпосередньо проводили оцінку.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Реєстрація звіту про оцінку з присвоєнням йому унікального реєстраційного номера здійснюється Єдиною базою за умови, що визначена у звіті про оцінку ринкова вартість об’єкта нерухомості перебуває в межах допустимого 25-відсоткового цінового діапазону ринкових цін на співставні об’єкти нерухомості, інформація про які міститься у Єдиній базі. Алгоритми встановлення Єдиною базою співставних об’єктів нерухомості визначаються </w:t>
            </w:r>
            <w:r w:rsidR="00F82FA3" w:rsidRPr="00F82FA3">
              <w:rPr>
                <w:rFonts w:hAnsi="Times New Roman"/>
                <w:b/>
                <w:sz w:val="28"/>
                <w:szCs w:val="28"/>
                <w:lang w:val="uk-UA"/>
              </w:rPr>
              <w:t>центральн</w:t>
            </w:r>
            <w:r w:rsidR="00F82FA3">
              <w:rPr>
                <w:rFonts w:hAnsi="Times New Roman"/>
                <w:b/>
                <w:sz w:val="28"/>
                <w:szCs w:val="28"/>
                <w:lang w:val="uk-UA"/>
              </w:rPr>
              <w:t>им</w:t>
            </w:r>
            <w:r w:rsidR="00F82FA3" w:rsidRPr="00F82FA3">
              <w:rPr>
                <w:rFonts w:hAnsi="Times New Roman"/>
                <w:b/>
                <w:sz w:val="28"/>
                <w:szCs w:val="28"/>
                <w:lang w:val="uk-UA"/>
              </w:rPr>
              <w:t xml:space="preserve"> орган</w:t>
            </w:r>
            <w:r w:rsidR="00F82FA3">
              <w:rPr>
                <w:rFonts w:hAnsi="Times New Roman"/>
                <w:b/>
                <w:sz w:val="28"/>
                <w:szCs w:val="28"/>
                <w:lang w:val="uk-UA"/>
              </w:rPr>
              <w:t>ом</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Pr="00EC2112">
              <w:rPr>
                <w:rFonts w:hAnsi="Times New Roman"/>
                <w:sz w:val="28"/>
                <w:szCs w:val="28"/>
                <w:lang w:val="uk-UA"/>
              </w:rPr>
              <w:t>.</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У разі якщо визначена у звіті про оцінку ринкова вартість об’єкта нерухомості виходить за межі допустимого 25-відсоткового цінового діапазону, Єдина база автоматично відмовляє в реєстрації такого звіту. У такому разі особа, яка використовує звіт про оцінку, або суб’єкт оціночної діяльності (оцінювач) має право протягом п’яти робочих днів з дня відмови у реєстрації звіту про оцінку звернутися через Єдину базу або письмово до </w:t>
            </w:r>
            <w:r w:rsidR="00F82FA3" w:rsidRPr="00F82FA3">
              <w:rPr>
                <w:rFonts w:hAnsi="Times New Roman"/>
                <w:b/>
                <w:sz w:val="28"/>
                <w:szCs w:val="28"/>
                <w:lang w:val="uk-UA"/>
              </w:rPr>
              <w:t>центральн</w:t>
            </w:r>
            <w:r w:rsidR="00F82FA3">
              <w:rPr>
                <w:rFonts w:hAnsi="Times New Roman"/>
                <w:b/>
                <w:sz w:val="28"/>
                <w:szCs w:val="28"/>
                <w:lang w:val="uk-UA"/>
              </w:rPr>
              <w:t>ого</w:t>
            </w:r>
            <w:r w:rsidR="00F82FA3" w:rsidRPr="00F82FA3">
              <w:rPr>
                <w:rFonts w:hAnsi="Times New Roman"/>
                <w:b/>
                <w:sz w:val="28"/>
                <w:szCs w:val="28"/>
                <w:lang w:val="uk-UA"/>
              </w:rPr>
              <w:t xml:space="preserve"> орган</w:t>
            </w:r>
            <w:r w:rsidR="00F82FA3">
              <w:rPr>
                <w:rFonts w:hAnsi="Times New Roman"/>
                <w:b/>
                <w:sz w:val="28"/>
                <w:szCs w:val="28"/>
                <w:lang w:val="uk-UA"/>
              </w:rPr>
              <w:t>у</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00F82FA3">
              <w:rPr>
                <w:rFonts w:hAnsi="Times New Roman"/>
                <w:b/>
                <w:sz w:val="28"/>
                <w:szCs w:val="28"/>
                <w:lang w:val="uk-UA"/>
              </w:rPr>
              <w:t>,</w:t>
            </w:r>
            <w:r w:rsidR="00F82FA3" w:rsidRPr="00EC2112">
              <w:rPr>
                <w:rFonts w:hAnsi="Times New Roman"/>
                <w:sz w:val="28"/>
                <w:szCs w:val="28"/>
                <w:lang w:val="uk-UA"/>
              </w:rPr>
              <w:t xml:space="preserve"> </w:t>
            </w:r>
            <w:r w:rsidRPr="00EC2112">
              <w:rPr>
                <w:rFonts w:hAnsi="Times New Roman"/>
                <w:sz w:val="28"/>
                <w:szCs w:val="28"/>
                <w:lang w:val="uk-UA"/>
              </w:rPr>
              <w:t xml:space="preserve">із заявою про забезпечення рецензування звіту </w:t>
            </w:r>
            <w:r w:rsidRPr="00EC2112">
              <w:rPr>
                <w:rFonts w:hAnsi="Times New Roman"/>
                <w:sz w:val="28"/>
                <w:szCs w:val="28"/>
                <w:lang w:val="uk-UA"/>
              </w:rPr>
              <w:lastRenderedPageBreak/>
              <w:t xml:space="preserve">про оцінку відповідно до Закону України "Про оцінку майна, майнових прав та професійну оціночну діяльність". </w:t>
            </w:r>
            <w:r w:rsidR="00F82FA3">
              <w:rPr>
                <w:rFonts w:hAnsi="Times New Roman"/>
                <w:b/>
                <w:sz w:val="28"/>
                <w:szCs w:val="28"/>
                <w:lang w:val="uk-UA"/>
              </w:rPr>
              <w:t>Ц</w:t>
            </w:r>
            <w:r w:rsidR="00F82FA3" w:rsidRPr="00F82FA3">
              <w:rPr>
                <w:rFonts w:hAnsi="Times New Roman"/>
                <w:b/>
                <w:sz w:val="28"/>
                <w:szCs w:val="28"/>
                <w:lang w:val="uk-UA"/>
              </w:rPr>
              <w:t>ентральн</w:t>
            </w:r>
            <w:r w:rsidR="00F82FA3">
              <w:rPr>
                <w:rFonts w:hAnsi="Times New Roman"/>
                <w:b/>
                <w:sz w:val="28"/>
                <w:szCs w:val="28"/>
                <w:lang w:val="uk-UA"/>
              </w:rPr>
              <w:t>ий</w:t>
            </w:r>
            <w:r w:rsidR="00F82FA3" w:rsidRPr="00F82FA3">
              <w:rPr>
                <w:rFonts w:hAnsi="Times New Roman"/>
                <w:b/>
                <w:sz w:val="28"/>
                <w:szCs w:val="28"/>
                <w:lang w:val="uk-UA"/>
              </w:rPr>
              <w:t xml:space="preserve"> орган виконавчої влади, що забезпечує формування та/або реалізацію державної політики у сфері електронного урядування</w:t>
            </w:r>
            <w:r w:rsidR="00F82FA3">
              <w:rPr>
                <w:rFonts w:hAnsi="Times New Roman"/>
                <w:b/>
                <w:sz w:val="28"/>
                <w:szCs w:val="28"/>
                <w:lang w:val="uk-UA"/>
              </w:rPr>
              <w:t>,</w:t>
            </w:r>
            <w:r w:rsidR="00F82FA3" w:rsidRPr="00EC2112">
              <w:rPr>
                <w:rFonts w:hAnsi="Times New Roman"/>
                <w:sz w:val="28"/>
                <w:szCs w:val="28"/>
                <w:lang w:val="uk-UA"/>
              </w:rPr>
              <w:t xml:space="preserve"> </w:t>
            </w:r>
            <w:r w:rsidRPr="00EC2112">
              <w:rPr>
                <w:rFonts w:hAnsi="Times New Roman"/>
                <w:sz w:val="28"/>
                <w:szCs w:val="28"/>
                <w:lang w:val="uk-UA"/>
              </w:rPr>
              <w:t xml:space="preserve">розглядає таку заяву не більше п’яти робочих днів з моменту отримання та приймає відповідне рішення. Зазначене рішення не пізніше наступного робочого дня після його прийняття реєструється </w:t>
            </w:r>
            <w:r w:rsidR="00F82FA3" w:rsidRPr="00F82FA3">
              <w:rPr>
                <w:rFonts w:hAnsi="Times New Roman"/>
                <w:b/>
                <w:sz w:val="28"/>
                <w:szCs w:val="28"/>
                <w:lang w:val="uk-UA"/>
              </w:rPr>
              <w:t>центральн</w:t>
            </w:r>
            <w:r w:rsidR="00F82FA3">
              <w:rPr>
                <w:rFonts w:hAnsi="Times New Roman"/>
                <w:b/>
                <w:sz w:val="28"/>
                <w:szCs w:val="28"/>
                <w:lang w:val="uk-UA"/>
              </w:rPr>
              <w:t>им</w:t>
            </w:r>
            <w:r w:rsidR="00F82FA3" w:rsidRPr="00F82FA3">
              <w:rPr>
                <w:rFonts w:hAnsi="Times New Roman"/>
                <w:b/>
                <w:sz w:val="28"/>
                <w:szCs w:val="28"/>
                <w:lang w:val="uk-UA"/>
              </w:rPr>
              <w:t xml:space="preserve"> орган</w:t>
            </w:r>
            <w:r w:rsidR="00F82FA3">
              <w:rPr>
                <w:rFonts w:hAnsi="Times New Roman"/>
                <w:b/>
                <w:sz w:val="28"/>
                <w:szCs w:val="28"/>
                <w:lang w:val="uk-UA"/>
              </w:rPr>
              <w:t>ом</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00F82FA3">
              <w:rPr>
                <w:rFonts w:hAnsi="Times New Roman"/>
                <w:b/>
                <w:sz w:val="28"/>
                <w:szCs w:val="28"/>
                <w:lang w:val="uk-UA"/>
              </w:rPr>
              <w:t>,</w:t>
            </w:r>
            <w:r w:rsidR="00F82FA3" w:rsidRPr="00EC2112">
              <w:rPr>
                <w:rFonts w:hAnsi="Times New Roman"/>
                <w:sz w:val="28"/>
                <w:szCs w:val="28"/>
                <w:lang w:val="uk-UA"/>
              </w:rPr>
              <w:t xml:space="preserve"> </w:t>
            </w:r>
            <w:r w:rsidRPr="00EC2112">
              <w:rPr>
                <w:rFonts w:hAnsi="Times New Roman"/>
                <w:sz w:val="28"/>
                <w:szCs w:val="28"/>
                <w:lang w:val="uk-UA"/>
              </w:rPr>
              <w:t>в Єдиній базі. Звіт про оцінку за результатами рецензування підлягає реєстрації в Єдиній базі із присвоєнням йому унікального реєстраційного номера, за умови прийняття такого рішення.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Доступ, внесення, перевірка інформації до/з Єдиної бази здійснюються безоплатно. Формування електронних довідок про оціночну вартість об’єкта нерухомості здійснюється безоплатно.</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Звіт про оцінку, не зареєстрований у Єдиній базі, без присвоєного унікального реєстраційного номера відповідно до вимог цієї статті або з дати реєстрації якого минуло більше шести місяців, для цілей оподаткування не застосовується. Єдина база не присвоює унікальний реєстраційний номер звіту про оцінку, якщо з дати звіту про оцінку (або у разі здійснення рецензування звіту про оцінку - з дати завершення такого рецензування) минуло більше п’яти робочих днів.</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Під час посвідчення правочинів з продажу (обміну) об’єктів нерухомості нотаріус перевіряє зміст електронної </w:t>
            </w:r>
            <w:r w:rsidRPr="00EC2112">
              <w:rPr>
                <w:rFonts w:hAnsi="Times New Roman"/>
                <w:sz w:val="28"/>
                <w:szCs w:val="28"/>
                <w:lang w:val="uk-UA"/>
              </w:rPr>
              <w:lastRenderedPageBreak/>
              <w:t>довідки про оціночну вартість об’єкта нерухомості на достовірність даних про об’єкт нерухомості, унікальний реєстраційний номер та дату формування цієї довідки або реєстрації звіту про оцінку в Єдиній базі та наявність присвоєного йому унікального реєстраційного номера, а також звіряє інформацію про суб’єкта оціночної діяльності (оцінювача) та ринкову вартість об’єкта нерухомості, які містяться у звіті про оцінку, з даними Єдиної бази.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Довідка про оціночну вартість об’єкта нерухомості за результатами електронного визначення оціночної вартості є чинною впродовж 30 календарних днів з дня її формування Єдиною базою.</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Доступ нотаріуса до Єдиної бази для перевірки факту формування Єдиною базою довідки про оціночну вартість об’єкта нерухомості чи реєстрації звіту про оцінку в Єдиній базі та присвоєння йому унікального реєстраційного номера, а також для внесення до Єдиної бази інформації про ціну об’єкта нерухомості, зазначену в договорі купівлі-продажу, що ним посвідчується, є безоплатним.</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У разі обміну об’єкта нерухомості на інший (інші) об’єкти нерухомості дохід платника податку у вигляді отриманої ним грошової компенсації від відчуження об’єкта нерухомості, визначеного:</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а) абзацом першим пункту 172.1 цієї статті, - не оподатковується;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б) пунктом 172.2 цієї статті, - оподатковується за ставкою, визначеною пунктом 167.2 статті 167 цього Кодексу.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lastRenderedPageBreak/>
              <w:t>172.4. Під час проведення операцій з продажу (обміну) об’єктів нерухомості між фізичними особами нотаріус посвідчує відповідний договір за наявності електронної довідки про оціночну вартість такого об’єкта нерухомості або звіту про оцінку, зареєстрованого відповідно до пункту 172.3 цієї статті, та документа про сплату податку до бюджету стороною (сторонами) договору і вносить до Єдиної бази інформацію про ціну договору купівлі-продажу.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Нотаріус щокварталу в порядку, встановленому цим розділом для податкового розрахунку, подає до контролюючого органу за місцем розташування державної нотаріальної контори або робочого місця приватного нотаріуса інформацію про посвідчені ним протягом звітного кварталу договори купівлі-продажу (міни) між фізичними особами, включаючи інформацію про ціну таких договорів та розмір сплаченого податку у розрізі кожного договору.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172.5. Сума податку визначається та самостійно сплачується через банківські установи: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а) особою, яка продає або обмінює з іншою фізичною особою нерухомість, - до нотаріального посвідчення договору купівлі-продажу, міни;</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б) особою, у власності якої перебував об'єкт нерухомості, відчужений за рішенням суду про зміну власника та перехід права власності на таке майно. Фізична особа зобов'язана відобразити доход від такого відчуження у річній податковій декларації.</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 xml:space="preserve">172.6. У разі невчинення нотаріальної дії щодо посвідчення договору купівлі-продажу, міни об'єкта нерухомості, за яким сплачено податок, платник податку має </w:t>
            </w:r>
            <w:r w:rsidRPr="00EC2112">
              <w:rPr>
                <w:rFonts w:hAnsi="Times New Roman"/>
                <w:sz w:val="28"/>
                <w:szCs w:val="28"/>
                <w:lang w:val="uk-UA"/>
              </w:rPr>
              <w:lastRenderedPageBreak/>
              <w:t>право на повернення надміру сплаченої суми податку на підставі податкової декларації, поданої в установленому порядку, та підтвердних документів про фактичну сплату податку.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172.7. Одночасно з дією пункту 172.4 цієї статті, якщо стороною договору купівлі-продажу, міни об'єкта нерухомого майна є юридична особа чи самозайнята особа, така особа є податковим агентом платника податку щодо нарахування, утримання та сплати (перерахування) до бюджету податку з доходів, отриманих платником податку від такого продажу (обміну).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172.8. Для цілей цієї статті під продажем розуміється будь-який перехід права власності на об'єкти нерухомості, крім їх успадкування та дарування.</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172.9. Дохід від операцій з продажу (обміну) об'єктів нерухомості, що здійснюються фізичними особами - нерезидентами, оподатковується згідно із цією статтею в порядку, встановленому для резидентів, за ставкою, визначеною у пункті 167.1 статті 167 цього Кодексу.</w:t>
            </w:r>
          </w:p>
          <w:p w:rsidR="00EC2112" w:rsidRPr="00EC2112" w:rsidRDefault="00EC2112" w:rsidP="00EC2112">
            <w:pPr>
              <w:ind w:firstLine="709"/>
              <w:jc w:val="both"/>
              <w:rPr>
                <w:rFonts w:hAnsi="Times New Roman"/>
                <w:sz w:val="28"/>
                <w:szCs w:val="28"/>
                <w:lang w:val="uk-UA"/>
              </w:rPr>
            </w:pPr>
            <w:r w:rsidRPr="00EC2112">
              <w:rPr>
                <w:rFonts w:hAnsi="Times New Roman"/>
                <w:sz w:val="28"/>
                <w:szCs w:val="28"/>
                <w:lang w:val="uk-UA"/>
              </w:rPr>
              <w:t>172.10. Продаж резидентами та нерезидентами успадкованого (отриманого в подарунок) об'єкта нерухомості підлягає оподаткуванню згідно з положеннями цієї статті.</w:t>
            </w:r>
          </w:p>
          <w:p w:rsidR="00EC2112" w:rsidRPr="00EC2112" w:rsidRDefault="00EC2112" w:rsidP="00F82FA3">
            <w:pPr>
              <w:ind w:firstLine="709"/>
              <w:jc w:val="both"/>
              <w:rPr>
                <w:rFonts w:hAnsi="Times New Roman"/>
                <w:sz w:val="28"/>
                <w:szCs w:val="28"/>
                <w:lang w:val="uk-UA"/>
              </w:rPr>
            </w:pPr>
            <w:r w:rsidRPr="00EC2112">
              <w:rPr>
                <w:rFonts w:hAnsi="Times New Roman"/>
                <w:sz w:val="28"/>
                <w:szCs w:val="28"/>
                <w:lang w:val="uk-UA"/>
              </w:rPr>
              <w:t xml:space="preserve">172.11. Порядок визначення оціночної вартості нерухомості та об'єктів незавершеного будівництва, що продаються (обмінюються), визначається </w:t>
            </w:r>
            <w:r w:rsidR="00F82FA3" w:rsidRPr="00F82FA3">
              <w:rPr>
                <w:rFonts w:hAnsi="Times New Roman"/>
                <w:b/>
                <w:sz w:val="28"/>
                <w:szCs w:val="28"/>
                <w:lang w:val="uk-UA"/>
              </w:rPr>
              <w:t>центральн</w:t>
            </w:r>
            <w:r w:rsidR="00F82FA3">
              <w:rPr>
                <w:rFonts w:hAnsi="Times New Roman"/>
                <w:b/>
                <w:sz w:val="28"/>
                <w:szCs w:val="28"/>
                <w:lang w:val="uk-UA"/>
              </w:rPr>
              <w:t>им</w:t>
            </w:r>
            <w:r w:rsidR="00F82FA3" w:rsidRPr="00F82FA3">
              <w:rPr>
                <w:rFonts w:hAnsi="Times New Roman"/>
                <w:b/>
                <w:sz w:val="28"/>
                <w:szCs w:val="28"/>
                <w:lang w:val="uk-UA"/>
              </w:rPr>
              <w:t xml:space="preserve"> орган</w:t>
            </w:r>
            <w:r w:rsidR="00F82FA3">
              <w:rPr>
                <w:rFonts w:hAnsi="Times New Roman"/>
                <w:b/>
                <w:sz w:val="28"/>
                <w:szCs w:val="28"/>
                <w:lang w:val="uk-UA"/>
              </w:rPr>
              <w:t>ом</w:t>
            </w:r>
            <w:r w:rsidR="00F82FA3" w:rsidRPr="00F82FA3">
              <w:rPr>
                <w:rFonts w:hAnsi="Times New Roman"/>
                <w:b/>
                <w:sz w:val="28"/>
                <w:szCs w:val="28"/>
                <w:lang w:val="uk-UA"/>
              </w:rPr>
              <w:t xml:space="preserve"> виконавчої влади, що забезпечує формування та/або реалізацію державної політики у сфері електронного урядування</w:t>
            </w:r>
            <w:r w:rsidRPr="00EC2112">
              <w:rPr>
                <w:rFonts w:hAnsi="Times New Roman"/>
                <w:sz w:val="28"/>
                <w:szCs w:val="28"/>
                <w:lang w:val="uk-UA"/>
              </w:rPr>
              <w:t>.</w:t>
            </w:r>
          </w:p>
        </w:tc>
      </w:tr>
    </w:tbl>
    <w:p w:rsidR="00DB60CB" w:rsidRPr="002120EF" w:rsidRDefault="00DB60CB" w:rsidP="005A2CFB">
      <w:pPr>
        <w:widowControl w:val="0"/>
        <w:tabs>
          <w:tab w:val="left" w:pos="0"/>
        </w:tabs>
        <w:spacing w:line="120" w:lineRule="atLeast"/>
        <w:jc w:val="both"/>
        <w:rPr>
          <w:b/>
          <w:sz w:val="28"/>
          <w:lang w:val="uk-UA"/>
        </w:rPr>
      </w:pPr>
    </w:p>
    <w:p w:rsidR="00862AD8" w:rsidRDefault="00862AD8">
      <w:pPr>
        <w:widowControl w:val="0"/>
        <w:tabs>
          <w:tab w:val="left" w:pos="0"/>
        </w:tabs>
        <w:spacing w:line="120" w:lineRule="atLeast"/>
        <w:jc w:val="both"/>
        <w:rPr>
          <w:b/>
          <w:sz w:val="28"/>
          <w:lang w:val="uk-UA"/>
        </w:rPr>
      </w:pPr>
    </w:p>
    <w:p w:rsidR="0070604B" w:rsidRPr="00350417" w:rsidRDefault="00862AD8">
      <w:pPr>
        <w:widowControl w:val="0"/>
        <w:tabs>
          <w:tab w:val="left" w:pos="0"/>
        </w:tabs>
        <w:spacing w:line="120" w:lineRule="atLeast"/>
        <w:jc w:val="both"/>
        <w:rPr>
          <w:b/>
          <w:sz w:val="28"/>
          <w:lang w:val="uk-UA"/>
        </w:rPr>
      </w:pPr>
      <w:r>
        <w:rPr>
          <w:b/>
          <w:sz w:val="28"/>
          <w:lang w:val="uk-UA"/>
        </w:rPr>
        <w:t>Народні</w:t>
      </w:r>
      <w:r>
        <w:rPr>
          <w:b/>
          <w:sz w:val="28"/>
          <w:lang w:val="uk-UA"/>
        </w:rPr>
        <w:t xml:space="preserve"> </w:t>
      </w:r>
      <w:r>
        <w:rPr>
          <w:b/>
          <w:sz w:val="28"/>
          <w:lang w:val="uk-UA"/>
        </w:rPr>
        <w:t>депутати</w:t>
      </w:r>
      <w:r>
        <w:rPr>
          <w:b/>
          <w:sz w:val="28"/>
          <w:lang w:val="uk-UA"/>
        </w:rPr>
        <w:t xml:space="preserve"> </w:t>
      </w:r>
      <w:r>
        <w:rPr>
          <w:b/>
          <w:sz w:val="28"/>
          <w:lang w:val="uk-UA"/>
        </w:rPr>
        <w:t>України</w:t>
      </w:r>
    </w:p>
    <w:sectPr w:rsidR="0070604B" w:rsidRPr="00350417" w:rsidSect="007451E5">
      <w:headerReference w:type="default" r:id="rId10"/>
      <w:type w:val="continuous"/>
      <w:pgSz w:w="16840" w:h="11907" w:orient="landscape"/>
      <w:pgMar w:top="1134" w:right="1134" w:bottom="1134" w:left="1134" w:header="425" w:footer="709"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A57" w:rsidRDefault="006C1A57">
      <w:r>
        <w:separator/>
      </w:r>
    </w:p>
  </w:endnote>
  <w:endnote w:type="continuationSeparator" w:id="0">
    <w:p w:rsidR="006C1A57" w:rsidRDefault="006C1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swiss"/>
    <w:notTrueType/>
    <w:pitch w:val="variable"/>
    <w:sig w:usb0="00000201" w:usb1="00000000" w:usb2="00000000" w:usb3="00000000" w:csb0="00000004" w:csb1="00000000"/>
  </w:font>
  <w:font w:name="Verdana">
    <w:altName w:val=" Arial"/>
    <w:panose1 w:val="020B0604030504040204"/>
    <w:charset w:val="CC"/>
    <w:family w:val="swiss"/>
    <w:pitch w:val="variable"/>
    <w:sig w:usb0="A00006FF" w:usb1="4000205B" w:usb2="0000001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A57" w:rsidRDefault="006C1A57">
      <w:r>
        <w:rPr>
          <w:rFonts w:ascii="Liberation Serif" w:eastAsiaTheme="minorEastAsia"/>
          <w:kern w:val="0"/>
          <w:lang w:val="en-US" w:eastAsia="en-US"/>
        </w:rPr>
        <w:separator/>
      </w:r>
    </w:p>
  </w:footnote>
  <w:footnote w:type="continuationSeparator" w:id="0">
    <w:p w:rsidR="006C1A57" w:rsidRDefault="006C1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2B8" w:rsidRDefault="00DD32B8">
    <w:pPr>
      <w:pStyle w:val="c2e5f0f5edb3e9eaeeebeeedf2e8f2f3eb"/>
      <w:jc w:val="center"/>
    </w:pPr>
    <w:r>
      <w:fldChar w:fldCharType="begin"/>
    </w:r>
    <w:r>
      <w:instrText xml:space="preserve"> PAGE </w:instrText>
    </w:r>
    <w:r>
      <w:fldChar w:fldCharType="separate"/>
    </w:r>
    <w:r w:rsidR="004265FE">
      <w:rPr>
        <w:noProof/>
      </w:rPr>
      <w:t>2</w:t>
    </w:r>
    <w:r>
      <w:fldChar w:fldCharType="end"/>
    </w:r>
  </w:p>
  <w:p w:rsidR="00DD32B8" w:rsidRDefault="00DD32B8">
    <w:pPr>
      <w:pStyle w:val="c2e5f0f5edb3e9eaeeebeeedf2e8f2f3e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defaultTabStop w:val="708"/>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CB"/>
    <w:rsid w:val="000024B0"/>
    <w:rsid w:val="00016D9D"/>
    <w:rsid w:val="0002790B"/>
    <w:rsid w:val="00032CD2"/>
    <w:rsid w:val="00050CF0"/>
    <w:rsid w:val="000554A2"/>
    <w:rsid w:val="0007293D"/>
    <w:rsid w:val="0007353C"/>
    <w:rsid w:val="000827FC"/>
    <w:rsid w:val="000939B5"/>
    <w:rsid w:val="000A05AE"/>
    <w:rsid w:val="000A6518"/>
    <w:rsid w:val="000C0E6E"/>
    <w:rsid w:val="000C29EB"/>
    <w:rsid w:val="000D0817"/>
    <w:rsid w:val="000E2323"/>
    <w:rsid w:val="000E3CCD"/>
    <w:rsid w:val="000F24AF"/>
    <w:rsid w:val="000F2F48"/>
    <w:rsid w:val="000F396B"/>
    <w:rsid w:val="00106D26"/>
    <w:rsid w:val="001136C1"/>
    <w:rsid w:val="0012340B"/>
    <w:rsid w:val="00140F9F"/>
    <w:rsid w:val="00157000"/>
    <w:rsid w:val="001651B7"/>
    <w:rsid w:val="001724AB"/>
    <w:rsid w:val="001724FD"/>
    <w:rsid w:val="001834CC"/>
    <w:rsid w:val="00193865"/>
    <w:rsid w:val="00196446"/>
    <w:rsid w:val="001B6656"/>
    <w:rsid w:val="001C58F6"/>
    <w:rsid w:val="001C6F0E"/>
    <w:rsid w:val="001D7AE4"/>
    <w:rsid w:val="001E039C"/>
    <w:rsid w:val="001F0951"/>
    <w:rsid w:val="001F0CBA"/>
    <w:rsid w:val="001F133F"/>
    <w:rsid w:val="001F43D9"/>
    <w:rsid w:val="002059A9"/>
    <w:rsid w:val="002120EF"/>
    <w:rsid w:val="0021472B"/>
    <w:rsid w:val="002274E3"/>
    <w:rsid w:val="00251A7C"/>
    <w:rsid w:val="00264702"/>
    <w:rsid w:val="002656FD"/>
    <w:rsid w:val="0027062E"/>
    <w:rsid w:val="00272580"/>
    <w:rsid w:val="0027411F"/>
    <w:rsid w:val="00277C66"/>
    <w:rsid w:val="0028308C"/>
    <w:rsid w:val="00284EE2"/>
    <w:rsid w:val="002948A5"/>
    <w:rsid w:val="002A73C1"/>
    <w:rsid w:val="002D336B"/>
    <w:rsid w:val="002D4535"/>
    <w:rsid w:val="002E3500"/>
    <w:rsid w:val="002F3044"/>
    <w:rsid w:val="002F3B43"/>
    <w:rsid w:val="00301BEC"/>
    <w:rsid w:val="00321A4B"/>
    <w:rsid w:val="00322377"/>
    <w:rsid w:val="003277EB"/>
    <w:rsid w:val="003454B4"/>
    <w:rsid w:val="00350417"/>
    <w:rsid w:val="00350F58"/>
    <w:rsid w:val="00363B1C"/>
    <w:rsid w:val="0037104D"/>
    <w:rsid w:val="00381756"/>
    <w:rsid w:val="003907F9"/>
    <w:rsid w:val="003A3414"/>
    <w:rsid w:val="003B6477"/>
    <w:rsid w:val="003C0F7A"/>
    <w:rsid w:val="003D0AEC"/>
    <w:rsid w:val="003D1A74"/>
    <w:rsid w:val="003D4C94"/>
    <w:rsid w:val="003F2430"/>
    <w:rsid w:val="00404993"/>
    <w:rsid w:val="00407F1F"/>
    <w:rsid w:val="004265FE"/>
    <w:rsid w:val="00430663"/>
    <w:rsid w:val="00432865"/>
    <w:rsid w:val="00437556"/>
    <w:rsid w:val="00440F4F"/>
    <w:rsid w:val="00453345"/>
    <w:rsid w:val="004603E9"/>
    <w:rsid w:val="0046696A"/>
    <w:rsid w:val="004719BC"/>
    <w:rsid w:val="0048467F"/>
    <w:rsid w:val="0049274D"/>
    <w:rsid w:val="004A3340"/>
    <w:rsid w:val="004B154B"/>
    <w:rsid w:val="004C46A3"/>
    <w:rsid w:val="004C507C"/>
    <w:rsid w:val="004C6A4E"/>
    <w:rsid w:val="004E4172"/>
    <w:rsid w:val="004E539C"/>
    <w:rsid w:val="00502C88"/>
    <w:rsid w:val="00510154"/>
    <w:rsid w:val="00512076"/>
    <w:rsid w:val="005327CA"/>
    <w:rsid w:val="00542C49"/>
    <w:rsid w:val="00547CBE"/>
    <w:rsid w:val="00552912"/>
    <w:rsid w:val="00563C1D"/>
    <w:rsid w:val="00564CF7"/>
    <w:rsid w:val="005748D3"/>
    <w:rsid w:val="00582CAD"/>
    <w:rsid w:val="0058595F"/>
    <w:rsid w:val="005A2CFB"/>
    <w:rsid w:val="005B6D26"/>
    <w:rsid w:val="005E30F3"/>
    <w:rsid w:val="005F18A6"/>
    <w:rsid w:val="00630181"/>
    <w:rsid w:val="00631892"/>
    <w:rsid w:val="006328E4"/>
    <w:rsid w:val="006368D8"/>
    <w:rsid w:val="00641FE8"/>
    <w:rsid w:val="00667A7D"/>
    <w:rsid w:val="0067375F"/>
    <w:rsid w:val="00674A3A"/>
    <w:rsid w:val="006A01DA"/>
    <w:rsid w:val="006A0DAA"/>
    <w:rsid w:val="006B1533"/>
    <w:rsid w:val="006B2CEC"/>
    <w:rsid w:val="006C1A57"/>
    <w:rsid w:val="006C2414"/>
    <w:rsid w:val="006C7191"/>
    <w:rsid w:val="006E556A"/>
    <w:rsid w:val="006F27CC"/>
    <w:rsid w:val="0070604B"/>
    <w:rsid w:val="00710777"/>
    <w:rsid w:val="007153F3"/>
    <w:rsid w:val="00730B06"/>
    <w:rsid w:val="007451E5"/>
    <w:rsid w:val="00762B81"/>
    <w:rsid w:val="00763DF2"/>
    <w:rsid w:val="00767117"/>
    <w:rsid w:val="00796AFC"/>
    <w:rsid w:val="007A1D08"/>
    <w:rsid w:val="007A57CD"/>
    <w:rsid w:val="007A659B"/>
    <w:rsid w:val="007B0D9F"/>
    <w:rsid w:val="007C3E3B"/>
    <w:rsid w:val="007C3EF3"/>
    <w:rsid w:val="007C53F3"/>
    <w:rsid w:val="007C5F3D"/>
    <w:rsid w:val="007D0B15"/>
    <w:rsid w:val="007D6AF7"/>
    <w:rsid w:val="007E7361"/>
    <w:rsid w:val="007F4A45"/>
    <w:rsid w:val="00810E93"/>
    <w:rsid w:val="008122DE"/>
    <w:rsid w:val="00815EE2"/>
    <w:rsid w:val="00822AF2"/>
    <w:rsid w:val="00844BE3"/>
    <w:rsid w:val="00862AD8"/>
    <w:rsid w:val="00880226"/>
    <w:rsid w:val="00892A18"/>
    <w:rsid w:val="008C4FA7"/>
    <w:rsid w:val="008D1AC1"/>
    <w:rsid w:val="008E66DC"/>
    <w:rsid w:val="008E72EC"/>
    <w:rsid w:val="008F5607"/>
    <w:rsid w:val="00903CCE"/>
    <w:rsid w:val="009248C9"/>
    <w:rsid w:val="009256A3"/>
    <w:rsid w:val="009278B1"/>
    <w:rsid w:val="009402DC"/>
    <w:rsid w:val="00950575"/>
    <w:rsid w:val="00951E26"/>
    <w:rsid w:val="00954EE5"/>
    <w:rsid w:val="009566D6"/>
    <w:rsid w:val="00960F04"/>
    <w:rsid w:val="0097507E"/>
    <w:rsid w:val="00991729"/>
    <w:rsid w:val="009A1F33"/>
    <w:rsid w:val="009A1FFE"/>
    <w:rsid w:val="009A32D5"/>
    <w:rsid w:val="009A516C"/>
    <w:rsid w:val="009A65AB"/>
    <w:rsid w:val="009D4085"/>
    <w:rsid w:val="009E4996"/>
    <w:rsid w:val="009F2FC7"/>
    <w:rsid w:val="00A04BA9"/>
    <w:rsid w:val="00A05698"/>
    <w:rsid w:val="00A06A35"/>
    <w:rsid w:val="00A106EA"/>
    <w:rsid w:val="00A2516F"/>
    <w:rsid w:val="00A35A8E"/>
    <w:rsid w:val="00A51153"/>
    <w:rsid w:val="00A615ED"/>
    <w:rsid w:val="00A6774F"/>
    <w:rsid w:val="00A67D1A"/>
    <w:rsid w:val="00AB1211"/>
    <w:rsid w:val="00AD0D34"/>
    <w:rsid w:val="00AF0DA8"/>
    <w:rsid w:val="00AF4D2F"/>
    <w:rsid w:val="00B248FE"/>
    <w:rsid w:val="00B25527"/>
    <w:rsid w:val="00B25DD3"/>
    <w:rsid w:val="00B32E94"/>
    <w:rsid w:val="00B404EA"/>
    <w:rsid w:val="00B41BF8"/>
    <w:rsid w:val="00B43FFF"/>
    <w:rsid w:val="00B466DC"/>
    <w:rsid w:val="00B5501B"/>
    <w:rsid w:val="00B56925"/>
    <w:rsid w:val="00B6157B"/>
    <w:rsid w:val="00B6398C"/>
    <w:rsid w:val="00B826FB"/>
    <w:rsid w:val="00BB17E8"/>
    <w:rsid w:val="00BC6AF3"/>
    <w:rsid w:val="00BD4A83"/>
    <w:rsid w:val="00BE5377"/>
    <w:rsid w:val="00BF29A8"/>
    <w:rsid w:val="00C047BF"/>
    <w:rsid w:val="00C07691"/>
    <w:rsid w:val="00C22024"/>
    <w:rsid w:val="00C313BF"/>
    <w:rsid w:val="00C31498"/>
    <w:rsid w:val="00C33CDE"/>
    <w:rsid w:val="00C51437"/>
    <w:rsid w:val="00C55FB6"/>
    <w:rsid w:val="00C624F2"/>
    <w:rsid w:val="00C67913"/>
    <w:rsid w:val="00C70565"/>
    <w:rsid w:val="00C73D4F"/>
    <w:rsid w:val="00C77B9F"/>
    <w:rsid w:val="00CA3C37"/>
    <w:rsid w:val="00CA460D"/>
    <w:rsid w:val="00CA5BD2"/>
    <w:rsid w:val="00CB3286"/>
    <w:rsid w:val="00CB4ABE"/>
    <w:rsid w:val="00CB56CB"/>
    <w:rsid w:val="00CB6582"/>
    <w:rsid w:val="00CE4BD8"/>
    <w:rsid w:val="00CE553E"/>
    <w:rsid w:val="00CF0084"/>
    <w:rsid w:val="00CF0539"/>
    <w:rsid w:val="00CF0F45"/>
    <w:rsid w:val="00CF201B"/>
    <w:rsid w:val="00D02B64"/>
    <w:rsid w:val="00D12090"/>
    <w:rsid w:val="00D127B8"/>
    <w:rsid w:val="00D12F59"/>
    <w:rsid w:val="00D16291"/>
    <w:rsid w:val="00D1754E"/>
    <w:rsid w:val="00D30F9A"/>
    <w:rsid w:val="00D3215B"/>
    <w:rsid w:val="00D43878"/>
    <w:rsid w:val="00D43B2F"/>
    <w:rsid w:val="00D54198"/>
    <w:rsid w:val="00D5504C"/>
    <w:rsid w:val="00D64FAB"/>
    <w:rsid w:val="00D659C5"/>
    <w:rsid w:val="00D705F0"/>
    <w:rsid w:val="00D71333"/>
    <w:rsid w:val="00D75012"/>
    <w:rsid w:val="00D77EC2"/>
    <w:rsid w:val="00D91E39"/>
    <w:rsid w:val="00DA7EF8"/>
    <w:rsid w:val="00DB60CB"/>
    <w:rsid w:val="00DC4479"/>
    <w:rsid w:val="00DD32B8"/>
    <w:rsid w:val="00DD5DC2"/>
    <w:rsid w:val="00DF4379"/>
    <w:rsid w:val="00E00529"/>
    <w:rsid w:val="00E034E3"/>
    <w:rsid w:val="00E3556A"/>
    <w:rsid w:val="00E41977"/>
    <w:rsid w:val="00E42AF6"/>
    <w:rsid w:val="00E54E60"/>
    <w:rsid w:val="00E565B5"/>
    <w:rsid w:val="00E566D1"/>
    <w:rsid w:val="00E611F9"/>
    <w:rsid w:val="00E62245"/>
    <w:rsid w:val="00E67448"/>
    <w:rsid w:val="00E74D6F"/>
    <w:rsid w:val="00E75330"/>
    <w:rsid w:val="00E75835"/>
    <w:rsid w:val="00E8645C"/>
    <w:rsid w:val="00E964B9"/>
    <w:rsid w:val="00E97E9B"/>
    <w:rsid w:val="00EA35CC"/>
    <w:rsid w:val="00EA4092"/>
    <w:rsid w:val="00EC0231"/>
    <w:rsid w:val="00EC2112"/>
    <w:rsid w:val="00EE078C"/>
    <w:rsid w:val="00F02197"/>
    <w:rsid w:val="00F119D7"/>
    <w:rsid w:val="00F14FFB"/>
    <w:rsid w:val="00F17685"/>
    <w:rsid w:val="00F226EA"/>
    <w:rsid w:val="00F24E7E"/>
    <w:rsid w:val="00F25E54"/>
    <w:rsid w:val="00F36702"/>
    <w:rsid w:val="00F36DAD"/>
    <w:rsid w:val="00F42F9B"/>
    <w:rsid w:val="00F434BB"/>
    <w:rsid w:val="00F623F1"/>
    <w:rsid w:val="00F802CF"/>
    <w:rsid w:val="00F80D32"/>
    <w:rsid w:val="00F82FA3"/>
    <w:rsid w:val="00FA7ECF"/>
    <w:rsid w:val="00FD1458"/>
    <w:rsid w:val="00FE4E34"/>
    <w:rsid w:val="00FF3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BE211-6553-4287-BF83-E31C460E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98C"/>
    <w:pPr>
      <w:autoSpaceDE w:val="0"/>
      <w:autoSpaceDN w:val="0"/>
      <w:adjustRightInd w:val="0"/>
      <w:spacing w:after="0" w:line="240" w:lineRule="auto"/>
    </w:pPr>
    <w:rPr>
      <w:rFonts w:ascii="Times New Roman" w:eastAsia="Times New Roman" w:hAnsi="Liberation Serif"/>
      <w:kern w:val="1"/>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e0e3eeebeee2eeea9">
    <w:name w:val="Зc7аe0гe3оeeлebоeeвe2оeeкea 9"/>
    <w:basedOn w:val="a"/>
    <w:uiPriority w:val="99"/>
    <w:pPr>
      <w:keepNext/>
      <w:tabs>
        <w:tab w:val="left" w:pos="0"/>
      </w:tabs>
      <w:ind w:right="-360" w:firstLine="720"/>
      <w:jc w:val="center"/>
    </w:pPr>
    <w:rPr>
      <w:b/>
      <w:bCs/>
      <w:kern w:val="0"/>
      <w:lang w:val="uk-UA"/>
    </w:rPr>
  </w:style>
  <w:style w:type="character" w:customStyle="1" w:styleId="c7e0e3eeebeee2eeea9c7ede0ea">
    <w:name w:val="Зc7аe0гe3оeeлebоeeвe2оeeкea 9 Зc7нedаe0кea"/>
    <w:basedOn w:val="a0"/>
    <w:uiPriority w:val="99"/>
    <w:rPr>
      <w:rFonts w:ascii="Times New Roman" w:eastAsia="Times New Roman" w:cs="Times New Roman"/>
      <w:b/>
      <w:bCs/>
      <w:lang w:val="ru-RU" w:eastAsia="ru-RU"/>
    </w:rPr>
  </w:style>
  <w:style w:type="character" w:styleId="a3">
    <w:name w:val="annotation reference"/>
    <w:basedOn w:val="a0"/>
    <w:uiPriority w:val="99"/>
    <w:rPr>
      <w:rFonts w:eastAsia="Times New Roman" w:cs="Times New Roman"/>
      <w:sz w:val="16"/>
      <w:szCs w:val="16"/>
    </w:rPr>
  </w:style>
  <w:style w:type="character" w:customStyle="1" w:styleId="d1f2e0ede4e0f0f2ede8e9HTMLc7ede0ea">
    <w:name w:val="Сd1тf2аe0нedдe4аe0рf0тf2нedиe8йe9 HTML Зc7нedаe0кea"/>
    <w:basedOn w:val="a0"/>
    <w:uiPriority w:val="99"/>
    <w:rPr>
      <w:rFonts w:ascii="Courier New" w:eastAsia="Times New Roman" w:cs="Courier New"/>
      <w:sz w:val="20"/>
      <w:szCs w:val="20"/>
      <w:lang w:val="ru-RU" w:eastAsia="ru-RU"/>
    </w:rPr>
  </w:style>
  <w:style w:type="character" w:customStyle="1" w:styleId="d2e5eaf1f2eff0e8ecb3f2eae8c7ede0ea">
    <w:name w:val="Тd2еe5кeaсf1тf2 пefрf0иe8мecіb3тf2кeaиe8 Зc7нedаe0кea"/>
    <w:basedOn w:val="a0"/>
    <w:uiPriority w:val="99"/>
    <w:rPr>
      <w:rFonts w:ascii="Times New Roman" w:eastAsia="Times New Roman" w:cs="Times New Roman"/>
      <w:sz w:val="20"/>
      <w:szCs w:val="20"/>
      <w:lang w:val="ru-RU" w:eastAsia="ru-RU"/>
    </w:rPr>
  </w:style>
  <w:style w:type="character" w:customStyle="1" w:styleId="d2e5ece0eff0e8ecb3f2eae8c7ede0ea">
    <w:name w:val="Тd2еe5мecаe0 пefрf0иe8мecіb3тf2кeaиe8 Зc7нedаe0кea"/>
    <w:basedOn w:val="d2e5eaf1f2eff0e8ecb3f2eae8c7ede0ea"/>
    <w:uiPriority w:val="99"/>
    <w:rPr>
      <w:rFonts w:ascii="Times New Roman" w:eastAsia="Times New Roman" w:cs="Times New Roman"/>
      <w:b/>
      <w:bCs/>
      <w:sz w:val="20"/>
      <w:szCs w:val="20"/>
      <w:lang w:val="ru-RU" w:eastAsia="ru-RU"/>
    </w:rPr>
  </w:style>
  <w:style w:type="character" w:customStyle="1" w:styleId="d2e5eaf1f2f3e2e8edeef1f6b3c7ede0ea">
    <w:name w:val="Тd2еe5кeaсf1тf2 уf3 вe2иe8нedоeeсf1цf6іb3 Зc7нedаe0кea"/>
    <w:basedOn w:val="a0"/>
    <w:uiPriority w:val="99"/>
    <w:rPr>
      <w:rFonts w:ascii="Tahoma" w:eastAsia="Times New Roman" w:cs="Tahoma"/>
      <w:sz w:val="16"/>
      <w:szCs w:val="16"/>
      <w:lang w:val="ru-RU" w:eastAsia="ru-RU"/>
    </w:rPr>
  </w:style>
  <w:style w:type="character" w:customStyle="1" w:styleId="c2e5f0f5edb3e9eaeeebeeedf2e8f2f3ebc7ede0ea">
    <w:name w:val="Вc2еe5рf0хf5нedіb3йe9 кeaоeeлebоeeнedтf2иe8тf2уf3лeb Зc7нedаe0кea"/>
    <w:basedOn w:val="a0"/>
    <w:uiPriority w:val="99"/>
    <w:rPr>
      <w:rFonts w:ascii="Times New Roman" w:eastAsia="Times New Roman" w:cs="Times New Roman"/>
      <w:lang w:val="ru-RU" w:eastAsia="ru-RU"/>
    </w:rPr>
  </w:style>
  <w:style w:type="character" w:customStyle="1" w:styleId="cde8e6edb3e9eaeeebeeedf2e8f2f3ebc7ede0ea">
    <w:name w:val="Нcdиe8жe6нedіb3йe9 кeaоeeлebоeeнedтf2иe8тf2уf3лeb Зc7нedаe0кea"/>
    <w:basedOn w:val="a0"/>
    <w:uiPriority w:val="99"/>
    <w:rPr>
      <w:rFonts w:ascii="Times New Roman" w:eastAsia="Times New Roman" w:cs="Times New Roman"/>
      <w:lang w:val="ru-RU" w:eastAsia="ru-RU"/>
    </w:rPr>
  </w:style>
  <w:style w:type="character" w:customStyle="1" w:styleId="rvts46">
    <w:name w:val="rvts46"/>
    <w:uiPriority w:val="99"/>
  </w:style>
  <w:style w:type="character" w:customStyle="1" w:styleId="apple-converted-space">
    <w:name w:val="apple-converted-space"/>
  </w:style>
  <w:style w:type="character" w:customStyle="1" w:styleId="c3b3efe5f0efeef1e8ebe0ededff">
    <w:name w:val="Гc3іb3пefеe5рf0пefоeeсf1иe8лebаe0нedнedяff"/>
    <w:basedOn w:val="a0"/>
    <w:uiPriority w:val="99"/>
    <w:rPr>
      <w:rFonts w:eastAsia="Times New Roman" w:cs="Times New Roman"/>
      <w:color w:val="0000FF"/>
      <w:u w:val="single"/>
    </w:rPr>
  </w:style>
  <w:style w:type="character" w:customStyle="1" w:styleId="rvts9">
    <w:name w:val="rvts9"/>
  </w:style>
  <w:style w:type="paragraph" w:customStyle="1" w:styleId="c7e0e3eeebeee2eeea">
    <w:name w:val="Зc7аe0гe3оeeлebоeeвe2оeeкea"/>
    <w:basedOn w:val="a"/>
    <w:next w:val="cef1edeee2ede8e9f2e5eaf1f2"/>
    <w:uiPriority w:val="99"/>
    <w:pPr>
      <w:keepNext/>
      <w:spacing w:before="240" w:after="120"/>
    </w:pPr>
    <w:rPr>
      <w:rFonts w:ascii="Liberation Sans" w:cs="Liberation Sans"/>
      <w:kern w:val="0"/>
      <w:sz w:val="28"/>
      <w:szCs w:val="28"/>
    </w:rPr>
  </w:style>
  <w:style w:type="paragraph" w:customStyle="1" w:styleId="cef1edeee2ede8e9f2e5eaf1f2">
    <w:name w:val="Оceсf1нedоeeвe2нedиe8йe9 тf2еe5кeaсf1тf2"/>
    <w:basedOn w:val="a"/>
    <w:uiPriority w:val="99"/>
    <w:pPr>
      <w:spacing w:after="140" w:line="288" w:lineRule="auto"/>
    </w:pPr>
    <w:rPr>
      <w:kern w:val="0"/>
    </w:rPr>
  </w:style>
  <w:style w:type="paragraph" w:customStyle="1" w:styleId="d1efe8f1eeea">
    <w:name w:val="Сd1пefиe8сf1оeeкea"/>
    <w:basedOn w:val="cef1edeee2ede8e9f2e5eaf1f2"/>
    <w:uiPriority w:val="99"/>
  </w:style>
  <w:style w:type="paragraph" w:customStyle="1" w:styleId="d0eee7e4b3eb">
    <w:name w:val="Рd0оeeзe7дe4іb3лeb"/>
    <w:basedOn w:val="a"/>
    <w:uiPriority w:val="99"/>
    <w:pPr>
      <w:suppressLineNumbers/>
      <w:spacing w:before="120" w:after="120"/>
    </w:pPr>
    <w:rPr>
      <w:i/>
      <w:iCs/>
      <w:kern w:val="0"/>
    </w:rPr>
  </w:style>
  <w:style w:type="paragraph" w:customStyle="1" w:styleId="cfeeeae0e6f7e8ea">
    <w:name w:val="Пcfоeeкeaаe0жe6чf7иe8кea"/>
    <w:basedOn w:val="a"/>
    <w:uiPriority w:val="99"/>
    <w:pPr>
      <w:suppressLineNumbers/>
    </w:pPr>
    <w:rPr>
      <w:kern w:val="0"/>
    </w:rPr>
  </w:style>
  <w:style w:type="paragraph" w:customStyle="1" w:styleId="DocumentMap">
    <w:name w:val="DocumentMap"/>
    <w:uiPriority w:val="99"/>
    <w:pPr>
      <w:autoSpaceDE w:val="0"/>
      <w:autoSpaceDN w:val="0"/>
      <w:adjustRightInd w:val="0"/>
      <w:spacing w:line="256" w:lineRule="auto"/>
    </w:pPr>
    <w:rPr>
      <w:rFonts w:ascii="Calibri" w:eastAsia="Times New Roman" w:hAnsi="Liberation Serif" w:cs="Calibri"/>
      <w:kern w:val="1"/>
    </w:rPr>
  </w:style>
  <w:style w:type="paragraph" w:customStyle="1" w:styleId="c7ede0eac7ede0eac7ede0eac7ede0eac7ede0eac7ede0eac7ede0eac7ede0eac7ede0eac7ede0eac7ede0eac7ede0eac7ede0eac7ede0eac7ede0ea">
    <w:name w:val="Зc7нedаe0кea Зc7нedаe0кea Зc7нedаe0кea Зc7нedаe0кea Зc7нedаe0кea Зc7нedаe0кea Зc7нedаe0кea Зc7нedаe0кea Зc7нedаe0кea Зc7нedаe0кea Зc7нedаe0кea Зc7нedаe0кea Зc7нedаe0кea Зc7нedаe0кea Зc7нedаe0кea"/>
    <w:basedOn w:val="a"/>
    <w:uiPriority w:val="99"/>
    <w:rPr>
      <w:rFonts w:ascii="Verdana" w:cs="Verdana"/>
      <w:kern w:val="0"/>
      <w:sz w:val="20"/>
      <w:szCs w:val="20"/>
      <w:lang w:val="en-US" w:eastAsia="en-US"/>
    </w:rPr>
  </w:style>
  <w:style w:type="table" w:styleId="a4">
    <w:name w:val="Table Grid"/>
    <w:basedOn w:val="a1"/>
    <w:uiPriority w:val="99"/>
    <w:pPr>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Prop">
    <w:name w:val="StyleProp"/>
    <w:basedOn w:val="a"/>
    <w:uiPriority w:val="99"/>
    <w:pPr>
      <w:spacing w:line="200" w:lineRule="exact"/>
      <w:ind w:firstLine="227"/>
      <w:jc w:val="both"/>
    </w:pPr>
    <w:rPr>
      <w:kern w:val="0"/>
      <w:sz w:val="18"/>
      <w:szCs w:val="18"/>
      <w:lang w:val="uk-UA"/>
    </w:rPr>
  </w:style>
  <w:style w:type="paragraph" w:customStyle="1" w:styleId="StyleZakonu">
    <w:name w:val="StyleZakonu"/>
    <w:basedOn w:val="a"/>
    <w:uiPriority w:val="99"/>
    <w:pPr>
      <w:spacing w:after="60" w:line="220" w:lineRule="exact"/>
      <w:ind w:firstLine="284"/>
      <w:jc w:val="both"/>
    </w:pPr>
    <w:rPr>
      <w:kern w:val="0"/>
      <w:sz w:val="20"/>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kern w:val="0"/>
      <w:sz w:val="20"/>
      <w:szCs w:val="20"/>
    </w:rPr>
  </w:style>
  <w:style w:type="paragraph" w:styleId="a5">
    <w:name w:val="annotation text"/>
    <w:basedOn w:val="a"/>
    <w:link w:val="a6"/>
    <w:uiPriority w:val="99"/>
    <w:rPr>
      <w:kern w:val="0"/>
      <w:sz w:val="20"/>
      <w:szCs w:val="20"/>
    </w:rPr>
  </w:style>
  <w:style w:type="character" w:customStyle="1" w:styleId="HTML0">
    <w:name w:val="Стандартний HTML Знак"/>
    <w:basedOn w:val="a0"/>
    <w:link w:val="HTML"/>
    <w:uiPriority w:val="99"/>
    <w:semiHidden/>
    <w:locked/>
    <w:rPr>
      <w:rFonts w:ascii="Courier New" w:hAnsi="Courier New" w:cs="Courier New"/>
      <w:kern w:val="1"/>
      <w:sz w:val="20"/>
      <w:szCs w:val="20"/>
      <w:lang w:val="ru-RU" w:eastAsia="ru-RU"/>
    </w:rPr>
  </w:style>
  <w:style w:type="paragraph" w:styleId="a7">
    <w:name w:val="annotation subject"/>
    <w:basedOn w:val="a5"/>
    <w:link w:val="a8"/>
    <w:uiPriority w:val="99"/>
    <w:rPr>
      <w:b/>
      <w:bCs/>
    </w:rPr>
  </w:style>
  <w:style w:type="character" w:customStyle="1" w:styleId="a6">
    <w:name w:val="Текст примітки Знак"/>
    <w:basedOn w:val="a0"/>
    <w:link w:val="a5"/>
    <w:uiPriority w:val="99"/>
    <w:semiHidden/>
    <w:locked/>
    <w:rPr>
      <w:rFonts w:ascii="Times New Roman" w:eastAsia="Times New Roman" w:hAnsi="Liberation Serif" w:cs="Times New Roman"/>
      <w:kern w:val="1"/>
      <w:sz w:val="20"/>
      <w:szCs w:val="20"/>
      <w:lang w:val="ru-RU" w:eastAsia="ru-RU"/>
    </w:rPr>
  </w:style>
  <w:style w:type="paragraph" w:styleId="a9">
    <w:name w:val="Balloon Text"/>
    <w:basedOn w:val="a"/>
    <w:link w:val="aa"/>
    <w:uiPriority w:val="99"/>
    <w:rPr>
      <w:rFonts w:ascii="Tahoma" w:cs="Tahoma"/>
      <w:kern w:val="0"/>
      <w:sz w:val="16"/>
      <w:szCs w:val="16"/>
    </w:rPr>
  </w:style>
  <w:style w:type="character" w:customStyle="1" w:styleId="a8">
    <w:name w:val="Тема примітки Знак"/>
    <w:basedOn w:val="a6"/>
    <w:link w:val="a7"/>
    <w:uiPriority w:val="99"/>
    <w:semiHidden/>
    <w:locked/>
    <w:rPr>
      <w:rFonts w:ascii="Times New Roman" w:eastAsia="Times New Roman" w:hAnsi="Liberation Serif" w:cs="Times New Roman"/>
      <w:b/>
      <w:bCs/>
      <w:kern w:val="1"/>
      <w:sz w:val="20"/>
      <w:szCs w:val="20"/>
      <w:lang w:val="ru-RU" w:eastAsia="ru-RU"/>
    </w:rPr>
  </w:style>
  <w:style w:type="paragraph" w:customStyle="1" w:styleId="c2e5f0f5edb3e9eaeeebeeedf2e8f2f3eb">
    <w:name w:val="Вc2еe5рf0хf5нedіb3йe9 кeaоeeлebоeeнedтf2иe8тf2уf3лeb"/>
    <w:basedOn w:val="a"/>
    <w:uiPriority w:val="99"/>
    <w:pPr>
      <w:tabs>
        <w:tab w:val="center" w:pos="4819"/>
        <w:tab w:val="right" w:pos="9639"/>
      </w:tabs>
    </w:pPr>
    <w:rPr>
      <w:kern w:val="0"/>
    </w:rPr>
  </w:style>
  <w:style w:type="character" w:customStyle="1" w:styleId="aa">
    <w:name w:val="Текст у виносці Знак"/>
    <w:basedOn w:val="a0"/>
    <w:link w:val="a9"/>
    <w:uiPriority w:val="99"/>
    <w:semiHidden/>
    <w:locked/>
    <w:rPr>
      <w:rFonts w:ascii="Segoe UI" w:hAnsi="Segoe UI" w:cs="Segoe UI"/>
      <w:kern w:val="1"/>
      <w:sz w:val="18"/>
      <w:szCs w:val="18"/>
      <w:lang w:val="ru-RU" w:eastAsia="ru-RU"/>
    </w:rPr>
  </w:style>
  <w:style w:type="paragraph" w:customStyle="1" w:styleId="cde8e6edb3e9eaeeebeeedf2e8f2f3eb">
    <w:name w:val="Нcdиe8жe6нedіb3йe9 кeaоeeлebоeeнedтf2иe8тf2уf3лeb"/>
    <w:basedOn w:val="a"/>
    <w:uiPriority w:val="99"/>
    <w:pPr>
      <w:tabs>
        <w:tab w:val="center" w:pos="4819"/>
        <w:tab w:val="right" w:pos="9639"/>
      </w:tabs>
    </w:pPr>
    <w:rPr>
      <w:kern w:val="0"/>
    </w:rPr>
  </w:style>
  <w:style w:type="paragraph" w:customStyle="1" w:styleId="rvps2">
    <w:name w:val="rvps2"/>
    <w:basedOn w:val="a"/>
    <w:pPr>
      <w:spacing w:before="280" w:after="280"/>
    </w:pPr>
    <w:rPr>
      <w:kern w:val="0"/>
      <w:lang w:val="uk-UA" w:eastAsia="uk-UA"/>
    </w:rPr>
  </w:style>
  <w:style w:type="paragraph" w:customStyle="1" w:styleId="c2ecb3f1f2f2e0e1ebe8f6b3">
    <w:name w:val="Вc2мecіb3сf1тf2 тf2аe0бe1лebиe8цf6іb3"/>
    <w:basedOn w:val="a"/>
    <w:uiPriority w:val="99"/>
    <w:rPr>
      <w:kern w:val="0"/>
    </w:rPr>
  </w:style>
  <w:style w:type="paragraph" w:customStyle="1" w:styleId="c7e0e3eeebeee2eeeaf2e0e1ebe8f6b3">
    <w:name w:val="Зc7аe0гe3оeeлebоeeвe2оeeкea тf2аe0бe1лebиe8цf6іb3"/>
    <w:basedOn w:val="c2ecb3f1f2f2e0e1ebe8f6b3"/>
    <w:uiPriority w:val="99"/>
  </w:style>
  <w:style w:type="paragraph" w:customStyle="1" w:styleId="d2e5eaf1f2f3e2eae0e7e0edeeecf3f4eef0ece0f2b3">
    <w:name w:val="Тd2еe5кeaсf1тf2 уf3 вe2кeaаe0зe7аe0нedоeeмecуf3 фf4оeeрf0мecаe0тf2іb3"/>
    <w:basedOn w:val="a"/>
    <w:uiPriority w:val="99"/>
    <w:rPr>
      <w:kern w:val="0"/>
    </w:rPr>
  </w:style>
  <w:style w:type="paragraph" w:styleId="ab">
    <w:name w:val="header"/>
    <w:basedOn w:val="a"/>
    <w:link w:val="ac"/>
    <w:uiPriority w:val="99"/>
    <w:unhideWhenUsed/>
    <w:rsid w:val="00D30F9A"/>
    <w:pPr>
      <w:tabs>
        <w:tab w:val="center" w:pos="4819"/>
        <w:tab w:val="right" w:pos="9639"/>
      </w:tabs>
    </w:pPr>
  </w:style>
  <w:style w:type="paragraph" w:styleId="ad">
    <w:name w:val="footer"/>
    <w:basedOn w:val="a"/>
    <w:link w:val="ae"/>
    <w:uiPriority w:val="99"/>
    <w:unhideWhenUsed/>
    <w:rsid w:val="00D30F9A"/>
    <w:pPr>
      <w:tabs>
        <w:tab w:val="center" w:pos="4819"/>
        <w:tab w:val="right" w:pos="9639"/>
      </w:tabs>
    </w:pPr>
  </w:style>
  <w:style w:type="character" w:customStyle="1" w:styleId="ac">
    <w:name w:val="Верхній колонтитул Знак"/>
    <w:basedOn w:val="a0"/>
    <w:link w:val="ab"/>
    <w:uiPriority w:val="99"/>
    <w:locked/>
    <w:rsid w:val="00D30F9A"/>
    <w:rPr>
      <w:rFonts w:ascii="Times New Roman" w:eastAsia="Times New Roman" w:hAnsi="Liberation Serif" w:cs="Times New Roman"/>
      <w:kern w:val="1"/>
      <w:sz w:val="24"/>
      <w:szCs w:val="24"/>
      <w:lang w:val="ru-RU" w:eastAsia="ru-RU"/>
    </w:rPr>
  </w:style>
  <w:style w:type="character" w:styleId="af">
    <w:name w:val="Hyperlink"/>
    <w:basedOn w:val="a0"/>
    <w:uiPriority w:val="99"/>
    <w:unhideWhenUsed/>
    <w:rsid w:val="00A51153"/>
    <w:rPr>
      <w:rFonts w:cs="Times New Roman"/>
      <w:color w:val="0563C1" w:themeColor="hyperlink"/>
      <w:u w:val="single"/>
    </w:rPr>
  </w:style>
  <w:style w:type="character" w:customStyle="1" w:styleId="ae">
    <w:name w:val="Нижній колонтитул Знак"/>
    <w:basedOn w:val="a0"/>
    <w:link w:val="ad"/>
    <w:uiPriority w:val="99"/>
    <w:locked/>
    <w:rsid w:val="00D30F9A"/>
    <w:rPr>
      <w:rFonts w:ascii="Times New Roman" w:eastAsia="Times New Roman" w:hAnsi="Liberation Serif" w:cs="Times New Roman"/>
      <w:kern w:val="1"/>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148353">
      <w:marLeft w:val="0"/>
      <w:marRight w:val="0"/>
      <w:marTop w:val="0"/>
      <w:marBottom w:val="0"/>
      <w:divBdr>
        <w:top w:val="none" w:sz="0" w:space="0" w:color="auto"/>
        <w:left w:val="none" w:sz="0" w:space="0" w:color="auto"/>
        <w:bottom w:val="none" w:sz="0" w:space="0" w:color="auto"/>
        <w:right w:val="none" w:sz="0" w:space="0" w:color="auto"/>
      </w:divBdr>
    </w:div>
    <w:div w:id="1352148354">
      <w:marLeft w:val="0"/>
      <w:marRight w:val="0"/>
      <w:marTop w:val="0"/>
      <w:marBottom w:val="0"/>
      <w:divBdr>
        <w:top w:val="none" w:sz="0" w:space="0" w:color="auto"/>
        <w:left w:val="none" w:sz="0" w:space="0" w:color="auto"/>
        <w:bottom w:val="none" w:sz="0" w:space="0" w:color="auto"/>
        <w:right w:val="none" w:sz="0" w:space="0" w:color="auto"/>
      </w:divBdr>
    </w:div>
    <w:div w:id="1352148355">
      <w:marLeft w:val="0"/>
      <w:marRight w:val="0"/>
      <w:marTop w:val="0"/>
      <w:marBottom w:val="0"/>
      <w:divBdr>
        <w:top w:val="none" w:sz="0" w:space="0" w:color="auto"/>
        <w:left w:val="none" w:sz="0" w:space="0" w:color="auto"/>
        <w:bottom w:val="none" w:sz="0" w:space="0" w:color="auto"/>
        <w:right w:val="none" w:sz="0" w:space="0" w:color="auto"/>
      </w:divBdr>
    </w:div>
    <w:div w:id="1352148356">
      <w:marLeft w:val="0"/>
      <w:marRight w:val="0"/>
      <w:marTop w:val="0"/>
      <w:marBottom w:val="0"/>
      <w:divBdr>
        <w:top w:val="none" w:sz="0" w:space="0" w:color="auto"/>
        <w:left w:val="none" w:sz="0" w:space="0" w:color="auto"/>
        <w:bottom w:val="none" w:sz="0" w:space="0" w:color="auto"/>
        <w:right w:val="none" w:sz="0" w:space="0" w:color="auto"/>
      </w:divBdr>
    </w:div>
    <w:div w:id="1352148357">
      <w:marLeft w:val="0"/>
      <w:marRight w:val="0"/>
      <w:marTop w:val="0"/>
      <w:marBottom w:val="0"/>
      <w:divBdr>
        <w:top w:val="none" w:sz="0" w:space="0" w:color="auto"/>
        <w:left w:val="none" w:sz="0" w:space="0" w:color="auto"/>
        <w:bottom w:val="none" w:sz="0" w:space="0" w:color="auto"/>
        <w:right w:val="none" w:sz="0" w:space="0" w:color="auto"/>
      </w:divBdr>
    </w:div>
    <w:div w:id="1352148358">
      <w:marLeft w:val="0"/>
      <w:marRight w:val="0"/>
      <w:marTop w:val="0"/>
      <w:marBottom w:val="0"/>
      <w:divBdr>
        <w:top w:val="none" w:sz="0" w:space="0" w:color="auto"/>
        <w:left w:val="none" w:sz="0" w:space="0" w:color="auto"/>
        <w:bottom w:val="none" w:sz="0" w:space="0" w:color="auto"/>
        <w:right w:val="none" w:sz="0" w:space="0" w:color="auto"/>
      </w:divBdr>
    </w:div>
    <w:div w:id="1352148359">
      <w:marLeft w:val="0"/>
      <w:marRight w:val="0"/>
      <w:marTop w:val="0"/>
      <w:marBottom w:val="0"/>
      <w:divBdr>
        <w:top w:val="none" w:sz="0" w:space="0" w:color="auto"/>
        <w:left w:val="none" w:sz="0" w:space="0" w:color="auto"/>
        <w:bottom w:val="none" w:sz="0" w:space="0" w:color="auto"/>
        <w:right w:val="none" w:sz="0" w:space="0" w:color="auto"/>
      </w:divBdr>
    </w:div>
    <w:div w:id="1352148360">
      <w:marLeft w:val="0"/>
      <w:marRight w:val="0"/>
      <w:marTop w:val="0"/>
      <w:marBottom w:val="0"/>
      <w:divBdr>
        <w:top w:val="none" w:sz="0" w:space="0" w:color="auto"/>
        <w:left w:val="none" w:sz="0" w:space="0" w:color="auto"/>
        <w:bottom w:val="none" w:sz="0" w:space="0" w:color="auto"/>
        <w:right w:val="none" w:sz="0" w:space="0" w:color="auto"/>
      </w:divBdr>
    </w:div>
    <w:div w:id="1352148361">
      <w:marLeft w:val="0"/>
      <w:marRight w:val="0"/>
      <w:marTop w:val="0"/>
      <w:marBottom w:val="0"/>
      <w:divBdr>
        <w:top w:val="none" w:sz="0" w:space="0" w:color="auto"/>
        <w:left w:val="none" w:sz="0" w:space="0" w:color="auto"/>
        <w:bottom w:val="none" w:sz="0" w:space="0" w:color="auto"/>
        <w:right w:val="none" w:sz="0" w:space="0" w:color="auto"/>
      </w:divBdr>
    </w:div>
    <w:div w:id="1352148362">
      <w:marLeft w:val="0"/>
      <w:marRight w:val="0"/>
      <w:marTop w:val="0"/>
      <w:marBottom w:val="0"/>
      <w:divBdr>
        <w:top w:val="none" w:sz="0" w:space="0" w:color="auto"/>
        <w:left w:val="none" w:sz="0" w:space="0" w:color="auto"/>
        <w:bottom w:val="none" w:sz="0" w:space="0" w:color="auto"/>
        <w:right w:val="none" w:sz="0" w:space="0" w:color="auto"/>
      </w:divBdr>
    </w:div>
    <w:div w:id="1352148363">
      <w:marLeft w:val="0"/>
      <w:marRight w:val="0"/>
      <w:marTop w:val="0"/>
      <w:marBottom w:val="0"/>
      <w:divBdr>
        <w:top w:val="none" w:sz="0" w:space="0" w:color="auto"/>
        <w:left w:val="none" w:sz="0" w:space="0" w:color="auto"/>
        <w:bottom w:val="none" w:sz="0" w:space="0" w:color="auto"/>
        <w:right w:val="none" w:sz="0" w:space="0" w:color="auto"/>
      </w:divBdr>
    </w:div>
    <w:div w:id="1352148364">
      <w:marLeft w:val="0"/>
      <w:marRight w:val="0"/>
      <w:marTop w:val="0"/>
      <w:marBottom w:val="0"/>
      <w:divBdr>
        <w:top w:val="none" w:sz="0" w:space="0" w:color="auto"/>
        <w:left w:val="none" w:sz="0" w:space="0" w:color="auto"/>
        <w:bottom w:val="none" w:sz="0" w:space="0" w:color="auto"/>
        <w:right w:val="none" w:sz="0" w:space="0" w:color="auto"/>
      </w:divBdr>
    </w:div>
    <w:div w:id="1352148365">
      <w:marLeft w:val="0"/>
      <w:marRight w:val="0"/>
      <w:marTop w:val="0"/>
      <w:marBottom w:val="0"/>
      <w:divBdr>
        <w:top w:val="none" w:sz="0" w:space="0" w:color="auto"/>
        <w:left w:val="none" w:sz="0" w:space="0" w:color="auto"/>
        <w:bottom w:val="none" w:sz="0" w:space="0" w:color="auto"/>
        <w:right w:val="none" w:sz="0" w:space="0" w:color="auto"/>
      </w:divBdr>
    </w:div>
    <w:div w:id="1352148368">
      <w:marLeft w:val="0"/>
      <w:marRight w:val="0"/>
      <w:marTop w:val="0"/>
      <w:marBottom w:val="0"/>
      <w:divBdr>
        <w:top w:val="none" w:sz="0" w:space="0" w:color="auto"/>
        <w:left w:val="none" w:sz="0" w:space="0" w:color="auto"/>
        <w:bottom w:val="none" w:sz="0" w:space="0" w:color="auto"/>
        <w:right w:val="none" w:sz="0" w:space="0" w:color="auto"/>
      </w:divBdr>
    </w:div>
    <w:div w:id="1352148373">
      <w:marLeft w:val="0"/>
      <w:marRight w:val="0"/>
      <w:marTop w:val="0"/>
      <w:marBottom w:val="0"/>
      <w:divBdr>
        <w:top w:val="none" w:sz="0" w:space="0" w:color="auto"/>
        <w:left w:val="none" w:sz="0" w:space="0" w:color="auto"/>
        <w:bottom w:val="none" w:sz="0" w:space="0" w:color="auto"/>
        <w:right w:val="none" w:sz="0" w:space="0" w:color="auto"/>
      </w:divBdr>
      <w:divsChild>
        <w:div w:id="1352148366">
          <w:marLeft w:val="0"/>
          <w:marRight w:val="0"/>
          <w:marTop w:val="0"/>
          <w:marBottom w:val="0"/>
          <w:divBdr>
            <w:top w:val="none" w:sz="0" w:space="0" w:color="auto"/>
            <w:left w:val="none" w:sz="0" w:space="0" w:color="auto"/>
            <w:bottom w:val="none" w:sz="0" w:space="0" w:color="auto"/>
            <w:right w:val="none" w:sz="0" w:space="0" w:color="auto"/>
          </w:divBdr>
        </w:div>
        <w:div w:id="1352148367">
          <w:marLeft w:val="0"/>
          <w:marRight w:val="0"/>
          <w:marTop w:val="0"/>
          <w:marBottom w:val="0"/>
          <w:divBdr>
            <w:top w:val="none" w:sz="0" w:space="0" w:color="auto"/>
            <w:left w:val="none" w:sz="0" w:space="0" w:color="auto"/>
            <w:bottom w:val="none" w:sz="0" w:space="0" w:color="auto"/>
            <w:right w:val="none" w:sz="0" w:space="0" w:color="auto"/>
          </w:divBdr>
        </w:div>
        <w:div w:id="1352148369">
          <w:marLeft w:val="0"/>
          <w:marRight w:val="0"/>
          <w:marTop w:val="0"/>
          <w:marBottom w:val="0"/>
          <w:divBdr>
            <w:top w:val="none" w:sz="0" w:space="0" w:color="auto"/>
            <w:left w:val="none" w:sz="0" w:space="0" w:color="auto"/>
            <w:bottom w:val="none" w:sz="0" w:space="0" w:color="auto"/>
            <w:right w:val="none" w:sz="0" w:space="0" w:color="auto"/>
          </w:divBdr>
        </w:div>
        <w:div w:id="1352148370">
          <w:marLeft w:val="0"/>
          <w:marRight w:val="0"/>
          <w:marTop w:val="0"/>
          <w:marBottom w:val="0"/>
          <w:divBdr>
            <w:top w:val="none" w:sz="0" w:space="0" w:color="auto"/>
            <w:left w:val="none" w:sz="0" w:space="0" w:color="auto"/>
            <w:bottom w:val="none" w:sz="0" w:space="0" w:color="auto"/>
            <w:right w:val="none" w:sz="0" w:space="0" w:color="auto"/>
          </w:divBdr>
        </w:div>
        <w:div w:id="1352148371">
          <w:marLeft w:val="0"/>
          <w:marRight w:val="0"/>
          <w:marTop w:val="0"/>
          <w:marBottom w:val="0"/>
          <w:divBdr>
            <w:top w:val="none" w:sz="0" w:space="0" w:color="auto"/>
            <w:left w:val="none" w:sz="0" w:space="0" w:color="auto"/>
            <w:bottom w:val="none" w:sz="0" w:space="0" w:color="auto"/>
            <w:right w:val="none" w:sz="0" w:space="0" w:color="auto"/>
          </w:divBdr>
        </w:div>
        <w:div w:id="1352148372">
          <w:marLeft w:val="0"/>
          <w:marRight w:val="0"/>
          <w:marTop w:val="0"/>
          <w:marBottom w:val="0"/>
          <w:divBdr>
            <w:top w:val="none" w:sz="0" w:space="0" w:color="auto"/>
            <w:left w:val="none" w:sz="0" w:space="0" w:color="auto"/>
            <w:bottom w:val="none" w:sz="0" w:space="0" w:color="auto"/>
            <w:right w:val="none" w:sz="0" w:space="0" w:color="auto"/>
          </w:divBdr>
        </w:div>
        <w:div w:id="1352148374">
          <w:marLeft w:val="0"/>
          <w:marRight w:val="0"/>
          <w:marTop w:val="0"/>
          <w:marBottom w:val="0"/>
          <w:divBdr>
            <w:top w:val="none" w:sz="0" w:space="0" w:color="auto"/>
            <w:left w:val="none" w:sz="0" w:space="0" w:color="auto"/>
            <w:bottom w:val="none" w:sz="0" w:space="0" w:color="auto"/>
            <w:right w:val="none" w:sz="0" w:space="0" w:color="auto"/>
          </w:divBdr>
        </w:div>
        <w:div w:id="1352148376">
          <w:marLeft w:val="0"/>
          <w:marRight w:val="0"/>
          <w:marTop w:val="0"/>
          <w:marBottom w:val="0"/>
          <w:divBdr>
            <w:top w:val="none" w:sz="0" w:space="0" w:color="auto"/>
            <w:left w:val="none" w:sz="0" w:space="0" w:color="auto"/>
            <w:bottom w:val="none" w:sz="0" w:space="0" w:color="auto"/>
            <w:right w:val="none" w:sz="0" w:space="0" w:color="auto"/>
          </w:divBdr>
        </w:div>
        <w:div w:id="1352148377">
          <w:marLeft w:val="0"/>
          <w:marRight w:val="0"/>
          <w:marTop w:val="0"/>
          <w:marBottom w:val="0"/>
          <w:divBdr>
            <w:top w:val="none" w:sz="0" w:space="0" w:color="auto"/>
            <w:left w:val="none" w:sz="0" w:space="0" w:color="auto"/>
            <w:bottom w:val="none" w:sz="0" w:space="0" w:color="auto"/>
            <w:right w:val="none" w:sz="0" w:space="0" w:color="auto"/>
          </w:divBdr>
        </w:div>
        <w:div w:id="1352148384">
          <w:marLeft w:val="0"/>
          <w:marRight w:val="0"/>
          <w:marTop w:val="0"/>
          <w:marBottom w:val="0"/>
          <w:divBdr>
            <w:top w:val="none" w:sz="0" w:space="0" w:color="auto"/>
            <w:left w:val="none" w:sz="0" w:space="0" w:color="auto"/>
            <w:bottom w:val="none" w:sz="0" w:space="0" w:color="auto"/>
            <w:right w:val="none" w:sz="0" w:space="0" w:color="auto"/>
          </w:divBdr>
        </w:div>
        <w:div w:id="1352148385">
          <w:marLeft w:val="0"/>
          <w:marRight w:val="0"/>
          <w:marTop w:val="0"/>
          <w:marBottom w:val="0"/>
          <w:divBdr>
            <w:top w:val="none" w:sz="0" w:space="0" w:color="auto"/>
            <w:left w:val="none" w:sz="0" w:space="0" w:color="auto"/>
            <w:bottom w:val="none" w:sz="0" w:space="0" w:color="auto"/>
            <w:right w:val="none" w:sz="0" w:space="0" w:color="auto"/>
          </w:divBdr>
        </w:div>
        <w:div w:id="1352148386">
          <w:marLeft w:val="0"/>
          <w:marRight w:val="0"/>
          <w:marTop w:val="0"/>
          <w:marBottom w:val="0"/>
          <w:divBdr>
            <w:top w:val="none" w:sz="0" w:space="0" w:color="auto"/>
            <w:left w:val="none" w:sz="0" w:space="0" w:color="auto"/>
            <w:bottom w:val="none" w:sz="0" w:space="0" w:color="auto"/>
            <w:right w:val="none" w:sz="0" w:space="0" w:color="auto"/>
          </w:divBdr>
        </w:div>
        <w:div w:id="1352148387">
          <w:marLeft w:val="0"/>
          <w:marRight w:val="0"/>
          <w:marTop w:val="0"/>
          <w:marBottom w:val="0"/>
          <w:divBdr>
            <w:top w:val="none" w:sz="0" w:space="0" w:color="auto"/>
            <w:left w:val="none" w:sz="0" w:space="0" w:color="auto"/>
            <w:bottom w:val="none" w:sz="0" w:space="0" w:color="auto"/>
            <w:right w:val="none" w:sz="0" w:space="0" w:color="auto"/>
          </w:divBdr>
        </w:div>
        <w:div w:id="1352148389">
          <w:marLeft w:val="0"/>
          <w:marRight w:val="0"/>
          <w:marTop w:val="0"/>
          <w:marBottom w:val="0"/>
          <w:divBdr>
            <w:top w:val="none" w:sz="0" w:space="0" w:color="auto"/>
            <w:left w:val="none" w:sz="0" w:space="0" w:color="auto"/>
            <w:bottom w:val="none" w:sz="0" w:space="0" w:color="auto"/>
            <w:right w:val="none" w:sz="0" w:space="0" w:color="auto"/>
          </w:divBdr>
        </w:div>
        <w:div w:id="1352148390">
          <w:marLeft w:val="0"/>
          <w:marRight w:val="0"/>
          <w:marTop w:val="0"/>
          <w:marBottom w:val="0"/>
          <w:divBdr>
            <w:top w:val="none" w:sz="0" w:space="0" w:color="auto"/>
            <w:left w:val="none" w:sz="0" w:space="0" w:color="auto"/>
            <w:bottom w:val="none" w:sz="0" w:space="0" w:color="auto"/>
            <w:right w:val="none" w:sz="0" w:space="0" w:color="auto"/>
          </w:divBdr>
        </w:div>
        <w:div w:id="1352148391">
          <w:marLeft w:val="0"/>
          <w:marRight w:val="0"/>
          <w:marTop w:val="0"/>
          <w:marBottom w:val="0"/>
          <w:divBdr>
            <w:top w:val="none" w:sz="0" w:space="0" w:color="auto"/>
            <w:left w:val="none" w:sz="0" w:space="0" w:color="auto"/>
            <w:bottom w:val="none" w:sz="0" w:space="0" w:color="auto"/>
            <w:right w:val="none" w:sz="0" w:space="0" w:color="auto"/>
          </w:divBdr>
        </w:div>
        <w:div w:id="1352148392">
          <w:marLeft w:val="0"/>
          <w:marRight w:val="0"/>
          <w:marTop w:val="0"/>
          <w:marBottom w:val="0"/>
          <w:divBdr>
            <w:top w:val="none" w:sz="0" w:space="0" w:color="auto"/>
            <w:left w:val="none" w:sz="0" w:space="0" w:color="auto"/>
            <w:bottom w:val="none" w:sz="0" w:space="0" w:color="auto"/>
            <w:right w:val="none" w:sz="0" w:space="0" w:color="auto"/>
          </w:divBdr>
        </w:div>
        <w:div w:id="1352148393">
          <w:marLeft w:val="0"/>
          <w:marRight w:val="0"/>
          <w:marTop w:val="0"/>
          <w:marBottom w:val="0"/>
          <w:divBdr>
            <w:top w:val="none" w:sz="0" w:space="0" w:color="auto"/>
            <w:left w:val="none" w:sz="0" w:space="0" w:color="auto"/>
            <w:bottom w:val="none" w:sz="0" w:space="0" w:color="auto"/>
            <w:right w:val="none" w:sz="0" w:space="0" w:color="auto"/>
          </w:divBdr>
        </w:div>
        <w:div w:id="1352148394">
          <w:marLeft w:val="0"/>
          <w:marRight w:val="0"/>
          <w:marTop w:val="0"/>
          <w:marBottom w:val="0"/>
          <w:divBdr>
            <w:top w:val="none" w:sz="0" w:space="0" w:color="auto"/>
            <w:left w:val="none" w:sz="0" w:space="0" w:color="auto"/>
            <w:bottom w:val="none" w:sz="0" w:space="0" w:color="auto"/>
            <w:right w:val="none" w:sz="0" w:space="0" w:color="auto"/>
          </w:divBdr>
        </w:div>
      </w:divsChild>
    </w:div>
    <w:div w:id="1352148375">
      <w:marLeft w:val="0"/>
      <w:marRight w:val="0"/>
      <w:marTop w:val="0"/>
      <w:marBottom w:val="0"/>
      <w:divBdr>
        <w:top w:val="none" w:sz="0" w:space="0" w:color="auto"/>
        <w:left w:val="none" w:sz="0" w:space="0" w:color="auto"/>
        <w:bottom w:val="none" w:sz="0" w:space="0" w:color="auto"/>
        <w:right w:val="none" w:sz="0" w:space="0" w:color="auto"/>
      </w:divBdr>
    </w:div>
    <w:div w:id="1352148378">
      <w:marLeft w:val="0"/>
      <w:marRight w:val="0"/>
      <w:marTop w:val="0"/>
      <w:marBottom w:val="0"/>
      <w:divBdr>
        <w:top w:val="none" w:sz="0" w:space="0" w:color="auto"/>
        <w:left w:val="none" w:sz="0" w:space="0" w:color="auto"/>
        <w:bottom w:val="none" w:sz="0" w:space="0" w:color="auto"/>
        <w:right w:val="none" w:sz="0" w:space="0" w:color="auto"/>
      </w:divBdr>
    </w:div>
    <w:div w:id="1352148379">
      <w:marLeft w:val="0"/>
      <w:marRight w:val="0"/>
      <w:marTop w:val="0"/>
      <w:marBottom w:val="0"/>
      <w:divBdr>
        <w:top w:val="none" w:sz="0" w:space="0" w:color="auto"/>
        <w:left w:val="none" w:sz="0" w:space="0" w:color="auto"/>
        <w:bottom w:val="none" w:sz="0" w:space="0" w:color="auto"/>
        <w:right w:val="none" w:sz="0" w:space="0" w:color="auto"/>
      </w:divBdr>
    </w:div>
    <w:div w:id="1352148380">
      <w:marLeft w:val="0"/>
      <w:marRight w:val="0"/>
      <w:marTop w:val="0"/>
      <w:marBottom w:val="0"/>
      <w:divBdr>
        <w:top w:val="none" w:sz="0" w:space="0" w:color="auto"/>
        <w:left w:val="none" w:sz="0" w:space="0" w:color="auto"/>
        <w:bottom w:val="none" w:sz="0" w:space="0" w:color="auto"/>
        <w:right w:val="none" w:sz="0" w:space="0" w:color="auto"/>
      </w:divBdr>
    </w:div>
    <w:div w:id="1352148381">
      <w:marLeft w:val="0"/>
      <w:marRight w:val="0"/>
      <w:marTop w:val="0"/>
      <w:marBottom w:val="0"/>
      <w:divBdr>
        <w:top w:val="none" w:sz="0" w:space="0" w:color="auto"/>
        <w:left w:val="none" w:sz="0" w:space="0" w:color="auto"/>
        <w:bottom w:val="none" w:sz="0" w:space="0" w:color="auto"/>
        <w:right w:val="none" w:sz="0" w:space="0" w:color="auto"/>
      </w:divBdr>
    </w:div>
    <w:div w:id="1352148382">
      <w:marLeft w:val="0"/>
      <w:marRight w:val="0"/>
      <w:marTop w:val="0"/>
      <w:marBottom w:val="0"/>
      <w:divBdr>
        <w:top w:val="none" w:sz="0" w:space="0" w:color="auto"/>
        <w:left w:val="none" w:sz="0" w:space="0" w:color="auto"/>
        <w:bottom w:val="none" w:sz="0" w:space="0" w:color="auto"/>
        <w:right w:val="none" w:sz="0" w:space="0" w:color="auto"/>
      </w:divBdr>
    </w:div>
    <w:div w:id="1352148383">
      <w:marLeft w:val="0"/>
      <w:marRight w:val="0"/>
      <w:marTop w:val="0"/>
      <w:marBottom w:val="0"/>
      <w:divBdr>
        <w:top w:val="none" w:sz="0" w:space="0" w:color="auto"/>
        <w:left w:val="none" w:sz="0" w:space="0" w:color="auto"/>
        <w:bottom w:val="none" w:sz="0" w:space="0" w:color="auto"/>
        <w:right w:val="none" w:sz="0" w:space="0" w:color="auto"/>
      </w:divBdr>
    </w:div>
    <w:div w:id="1352148388">
      <w:marLeft w:val="0"/>
      <w:marRight w:val="0"/>
      <w:marTop w:val="0"/>
      <w:marBottom w:val="0"/>
      <w:divBdr>
        <w:top w:val="none" w:sz="0" w:space="0" w:color="auto"/>
        <w:left w:val="none" w:sz="0" w:space="0" w:color="auto"/>
        <w:bottom w:val="none" w:sz="0" w:space="0" w:color="auto"/>
        <w:right w:val="none" w:sz="0" w:space="0" w:color="auto"/>
      </w:divBdr>
    </w:div>
    <w:div w:id="1352148395">
      <w:marLeft w:val="0"/>
      <w:marRight w:val="0"/>
      <w:marTop w:val="0"/>
      <w:marBottom w:val="0"/>
      <w:divBdr>
        <w:top w:val="none" w:sz="0" w:space="0" w:color="auto"/>
        <w:left w:val="none" w:sz="0" w:space="0" w:color="auto"/>
        <w:bottom w:val="none" w:sz="0" w:space="0" w:color="auto"/>
        <w:right w:val="none" w:sz="0" w:space="0" w:color="auto"/>
      </w:divBdr>
    </w:div>
    <w:div w:id="1352148396">
      <w:marLeft w:val="0"/>
      <w:marRight w:val="0"/>
      <w:marTop w:val="0"/>
      <w:marBottom w:val="0"/>
      <w:divBdr>
        <w:top w:val="none" w:sz="0" w:space="0" w:color="auto"/>
        <w:left w:val="none" w:sz="0" w:space="0" w:color="auto"/>
        <w:bottom w:val="none" w:sz="0" w:space="0" w:color="auto"/>
        <w:right w:val="none" w:sz="0" w:space="0" w:color="auto"/>
      </w:divBdr>
    </w:div>
    <w:div w:id="1352148397">
      <w:marLeft w:val="0"/>
      <w:marRight w:val="0"/>
      <w:marTop w:val="0"/>
      <w:marBottom w:val="0"/>
      <w:divBdr>
        <w:top w:val="none" w:sz="0" w:space="0" w:color="auto"/>
        <w:left w:val="none" w:sz="0" w:space="0" w:color="auto"/>
        <w:bottom w:val="none" w:sz="0" w:space="0" w:color="auto"/>
        <w:right w:val="none" w:sz="0" w:space="0" w:color="auto"/>
      </w:divBdr>
    </w:div>
    <w:div w:id="1352148398">
      <w:marLeft w:val="0"/>
      <w:marRight w:val="0"/>
      <w:marTop w:val="0"/>
      <w:marBottom w:val="0"/>
      <w:divBdr>
        <w:top w:val="none" w:sz="0" w:space="0" w:color="auto"/>
        <w:left w:val="none" w:sz="0" w:space="0" w:color="auto"/>
        <w:bottom w:val="none" w:sz="0" w:space="0" w:color="auto"/>
        <w:right w:val="none" w:sz="0" w:space="0" w:color="auto"/>
      </w:divBdr>
    </w:div>
    <w:div w:id="1352148399">
      <w:marLeft w:val="0"/>
      <w:marRight w:val="0"/>
      <w:marTop w:val="0"/>
      <w:marBottom w:val="0"/>
      <w:divBdr>
        <w:top w:val="none" w:sz="0" w:space="0" w:color="auto"/>
        <w:left w:val="none" w:sz="0" w:space="0" w:color="auto"/>
        <w:bottom w:val="none" w:sz="0" w:space="0" w:color="auto"/>
        <w:right w:val="none" w:sz="0" w:space="0" w:color="auto"/>
      </w:divBdr>
    </w:div>
    <w:div w:id="1352148400">
      <w:marLeft w:val="0"/>
      <w:marRight w:val="0"/>
      <w:marTop w:val="0"/>
      <w:marBottom w:val="0"/>
      <w:divBdr>
        <w:top w:val="none" w:sz="0" w:space="0" w:color="auto"/>
        <w:left w:val="none" w:sz="0" w:space="0" w:color="auto"/>
        <w:bottom w:val="none" w:sz="0" w:space="0" w:color="auto"/>
        <w:right w:val="none" w:sz="0" w:space="0" w:color="auto"/>
      </w:divBdr>
    </w:div>
    <w:div w:id="1352148401">
      <w:marLeft w:val="0"/>
      <w:marRight w:val="0"/>
      <w:marTop w:val="0"/>
      <w:marBottom w:val="0"/>
      <w:divBdr>
        <w:top w:val="none" w:sz="0" w:space="0" w:color="auto"/>
        <w:left w:val="none" w:sz="0" w:space="0" w:color="auto"/>
        <w:bottom w:val="none" w:sz="0" w:space="0" w:color="auto"/>
        <w:right w:val="none" w:sz="0" w:space="0" w:color="auto"/>
      </w:divBdr>
    </w:div>
    <w:div w:id="1352148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3f%3f%3f%3f%3f%3f%3f%3f%3f%3f%3f%3f%3f%20%3f%3f%3f%3f%3f%3f%3f%20Office\%3f%3f%3f%3f%3f%3f%3f%3f%3f%3f%3f%20%3f%3f%3f%3f%3f%3f%3f.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A76FD-6552-4281-9BC9-235CB8411204}">
  <ds:schemaRefs>
    <ds:schemaRef ds:uri="http://schemas.microsoft.com/sharepoint/v3/contenttype/forms"/>
  </ds:schemaRefs>
</ds:datastoreItem>
</file>

<file path=customXml/itemProps2.xml><?xml version="1.0" encoding="utf-8"?>
<ds:datastoreItem xmlns:ds="http://schemas.openxmlformats.org/officeDocument/2006/customXml" ds:itemID="{F61CFCAF-99F7-4AF8-8288-E8D645D24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1C7BF8-105C-43B7-AB73-C324C57525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5EF47D-B820-4DA8-A89B-A1D502E8C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emplate>
  <TotalTime>0</TotalTime>
  <Pages>11</Pages>
  <Words>17422</Words>
  <Characters>9931</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2021-04-16T09:13:00Z</dcterms:created>
  <dcterms:modified xsi:type="dcterms:W3CDTF">2021-04-16T09:13:00Z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