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574DBA">
        <w:trPr>
          <w:trHeight w:val="333"/>
        </w:trPr>
        <w:tc>
          <w:tcPr>
            <w:tcW w:w="35" w:type="pct"/>
            <w:gridSpan w:val="2"/>
            <w:tcBorders>
              <w:top w:val="nil"/>
              <w:left w:val="nil"/>
              <w:bottom w:val="nil"/>
              <w:right w:val="nil"/>
            </w:tcBorders>
          </w:tcPr>
          <w:p w:rsidR="00574DBA" w:rsidRDefault="00BF7312">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574DBA" w:rsidRDefault="00BF7312">
            <w:pPr>
              <w:rPr>
                <w:rFonts w:ascii="Times New Roman" w:hAnsi="Times New Roman" w:cs="Times New Roman"/>
                <w:sz w:val="28"/>
              </w:rPr>
            </w:pPr>
            <w:r>
              <w:rPr>
                <w:rFonts w:ascii="Times New Roman" w:hAnsi="Times New Roman" w:cs="Times New Roman"/>
                <w:b/>
                <w:sz w:val="28"/>
              </w:rPr>
              <w:t>Реєстраційний № 5397</w:t>
            </w:r>
          </w:p>
        </w:tc>
      </w:tr>
      <w:tr w:rsidR="00574DBA">
        <w:trPr>
          <w:trHeight w:val="333"/>
        </w:trPr>
        <w:tc>
          <w:tcPr>
            <w:tcW w:w="35" w:type="pct"/>
            <w:gridSpan w:val="2"/>
            <w:tcBorders>
              <w:top w:val="nil"/>
              <w:left w:val="nil"/>
              <w:bottom w:val="nil"/>
              <w:right w:val="nil"/>
            </w:tcBorders>
          </w:tcPr>
          <w:p w:rsidR="00574DBA" w:rsidRDefault="00BF7312">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приватизацію державного і комунального майна” щодо уточнення деяких положень та сприяння </w:t>
            </w:r>
            <w:r>
              <w:rPr>
                <w:rFonts w:ascii="Times New Roman" w:hAnsi="Times New Roman" w:cs="Times New Roman"/>
                <w:sz w:val="28"/>
              </w:rPr>
              <w:t>залученню інвестицій в процесі приватизації</w:t>
            </w:r>
          </w:p>
        </w:tc>
        <w:tc>
          <w:tcPr>
            <w:tcW w:w="20" w:type="pct"/>
          </w:tcPr>
          <w:p w:rsidR="00574DBA" w:rsidRDefault="00574DBA">
            <w:pPr>
              <w:rPr>
                <w:rFonts w:ascii="Times New Roman" w:hAnsi="Times New Roman" w:cs="Times New Roman"/>
                <w:sz w:val="28"/>
              </w:rPr>
            </w:pPr>
          </w:p>
        </w:tc>
      </w:tr>
      <w:tr w:rsidR="00574DBA">
        <w:trPr>
          <w:trHeight w:val="333"/>
        </w:trPr>
        <w:tc>
          <w:tcPr>
            <w:tcW w:w="35" w:type="pct"/>
            <w:tcBorders>
              <w:top w:val="nil"/>
              <w:left w:val="nil"/>
              <w:bottom w:val="nil"/>
              <w:right w:val="nil"/>
            </w:tcBorders>
          </w:tcPr>
          <w:p w:rsidR="00574DBA" w:rsidRDefault="00BF7312">
            <w:pPr>
              <w:rPr>
                <w:rFonts w:ascii="Times New Roman" w:hAnsi="Times New Roman" w:cs="Times New Roman"/>
                <w:sz w:val="28"/>
              </w:rPr>
            </w:pPr>
            <w:r>
              <w:rPr>
                <w:rFonts w:ascii="Times New Roman" w:hAnsi="Times New Roman" w:cs="Times New Roman"/>
                <w:b/>
                <w:sz w:val="28"/>
              </w:rPr>
              <w:t>Автор(и):</w:t>
            </w:r>
          </w:p>
        </w:tc>
        <w:tc>
          <w:tcPr>
            <w:tcW w:w="45" w:type="pct"/>
          </w:tcPr>
          <w:p w:rsidR="00574DBA" w:rsidRDefault="00BF7312">
            <w:pPr>
              <w:rPr>
                <w:rFonts w:ascii="Times New Roman" w:hAnsi="Times New Roman" w:cs="Times New Roman"/>
                <w:sz w:val="28"/>
              </w:rPr>
            </w:pPr>
            <w:r>
              <w:rPr>
                <w:rFonts w:ascii="Times New Roman" w:hAnsi="Times New Roman" w:cs="Times New Roman"/>
                <w:sz w:val="28"/>
              </w:rPr>
              <w:t>Народні депутати  України Мовчан О. В., Третьякова Г. М., Мотовиловець А. В., Лис О. Г., Брагар Є. В., Боблях А. Р., Швець С. Ф., Костюх А. В., Безугла М. В., Мазурашу Г. Г., Підласа Р. А.</w:t>
            </w:r>
          </w:p>
        </w:tc>
        <w:tc>
          <w:tcPr>
            <w:tcW w:w="20" w:type="pct"/>
          </w:tcPr>
          <w:p w:rsidR="00574DBA" w:rsidRDefault="00BF7312">
            <w:pPr>
              <w:rPr>
                <w:rFonts w:ascii="Times New Roman" w:hAnsi="Times New Roman" w:cs="Times New Roman"/>
                <w:sz w:val="28"/>
              </w:rPr>
            </w:pPr>
            <w:r>
              <w:rPr>
                <w:rFonts w:ascii="Times New Roman" w:hAnsi="Times New Roman" w:cs="Times New Roman"/>
                <w:b/>
                <w:sz w:val="28"/>
              </w:rPr>
              <w:t>(Друге чита</w:t>
            </w:r>
            <w:r>
              <w:rPr>
                <w:rFonts w:ascii="Times New Roman" w:hAnsi="Times New Roman" w:cs="Times New Roman"/>
                <w:b/>
                <w:sz w:val="28"/>
              </w:rPr>
              <w:t>ння)</w:t>
            </w:r>
          </w:p>
        </w:tc>
      </w:tr>
      <w:tr w:rsidR="00574DBA">
        <w:trPr>
          <w:trHeight w:val="333"/>
        </w:trPr>
        <w:tc>
          <w:tcPr>
            <w:tcW w:w="35" w:type="pct"/>
            <w:tcBorders>
              <w:top w:val="nil"/>
              <w:left w:val="nil"/>
              <w:bottom w:val="nil"/>
              <w:right w:val="nil"/>
            </w:tcBorders>
          </w:tcPr>
          <w:p w:rsidR="00574DBA" w:rsidRDefault="00BF7312">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574DBA" w:rsidRDefault="00BF7312">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574DBA" w:rsidRDefault="00574DBA">
            <w:pPr>
              <w:rPr>
                <w:rFonts w:ascii="Times New Roman" w:hAnsi="Times New Roman" w:cs="Times New Roman"/>
                <w:sz w:val="28"/>
              </w:rPr>
            </w:pPr>
          </w:p>
        </w:tc>
      </w:tr>
      <w:tr w:rsidR="00574DBA">
        <w:trPr>
          <w:trHeight w:val="333"/>
        </w:trPr>
        <w:tc>
          <w:tcPr>
            <w:tcW w:w="35" w:type="pct"/>
            <w:tcBorders>
              <w:top w:val="nil"/>
              <w:left w:val="nil"/>
              <w:bottom w:val="nil"/>
              <w:right w:val="nil"/>
            </w:tcBorders>
          </w:tcPr>
          <w:p w:rsidR="00574DBA" w:rsidRDefault="00BF7312">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574DBA" w:rsidRDefault="00BF7312">
            <w:pPr>
              <w:rPr>
                <w:rFonts w:ascii="Times New Roman" w:hAnsi="Times New Roman" w:cs="Times New Roman"/>
                <w:sz w:val="28"/>
              </w:rPr>
            </w:pPr>
            <w:r>
              <w:rPr>
                <w:rFonts w:ascii="Times New Roman" w:hAnsi="Times New Roman" w:cs="Times New Roman"/>
                <w:sz w:val="28"/>
              </w:rPr>
              <w:t>03.11.2021</w:t>
            </w:r>
          </w:p>
        </w:tc>
        <w:tc>
          <w:tcPr>
            <w:tcW w:w="20" w:type="pct"/>
          </w:tcPr>
          <w:p w:rsidR="00574DBA" w:rsidRDefault="00574DBA">
            <w:pPr>
              <w:rPr>
                <w:rFonts w:ascii="Times New Roman" w:hAnsi="Times New Roman" w:cs="Times New Roman"/>
                <w:sz w:val="28"/>
              </w:rPr>
            </w:pPr>
          </w:p>
        </w:tc>
      </w:tr>
    </w:tbl>
    <w:p w:rsidR="00574DBA" w:rsidRDefault="00574DBA">
      <w:pPr>
        <w:spacing w:after="0"/>
        <w:jc w:val="center"/>
        <w:rPr>
          <w:rFonts w:ascii="Times New Roman" w:hAnsi="Times New Roman" w:cs="Times New Roman"/>
          <w:sz w:val="28"/>
          <w:szCs w:val="28"/>
        </w:rPr>
      </w:pPr>
    </w:p>
    <w:p w:rsidR="00574DBA" w:rsidRDefault="00574DBA">
      <w:pPr>
        <w:spacing w:after="0"/>
        <w:jc w:val="center"/>
        <w:rPr>
          <w:rFonts w:ascii="Times New Roman" w:hAnsi="Times New Roman" w:cs="Times New Roman"/>
          <w:sz w:val="28"/>
          <w:szCs w:val="28"/>
        </w:rPr>
      </w:pPr>
    </w:p>
    <w:p w:rsidR="00574DBA" w:rsidRDefault="00BF7312">
      <w:pPr>
        <w:ind w:firstLine="273"/>
        <w:jc w:val="right"/>
      </w:pPr>
      <w:r>
        <w:rPr>
          <w:rFonts w:ascii="Times New Roman" w:hAnsi="Times New Roman" w:cs="Times New Roman"/>
          <w:b/>
          <w:sz w:val="28"/>
        </w:rPr>
        <w:t>Проект</w:t>
      </w:r>
    </w:p>
    <w:p w:rsidR="00574DBA" w:rsidRDefault="00BF7312">
      <w:pPr>
        <w:ind w:firstLine="273"/>
        <w:jc w:val="center"/>
      </w:pPr>
      <w:r>
        <w:rPr>
          <w:rFonts w:ascii="Times New Roman" w:hAnsi="Times New Roman" w:cs="Times New Roman"/>
          <w:b/>
          <w:sz w:val="28"/>
        </w:rPr>
        <w:t>ЗАКОН УКРАЇНИ</w:t>
      </w:r>
    </w:p>
    <w:p w:rsidR="00574DBA" w:rsidRDefault="00BF7312">
      <w:pPr>
        <w:ind w:firstLine="273"/>
        <w:jc w:val="center"/>
      </w:pPr>
      <w:r>
        <w:rPr>
          <w:rFonts w:ascii="Times New Roman" w:hAnsi="Times New Roman" w:cs="Times New Roman"/>
          <w:b/>
          <w:sz w:val="28"/>
        </w:rPr>
        <w:t>Про внесення змін до Закону України “Про приватизацію державного і комунального майна” щодо уточнення деяких положень та сприяння залученню інвестицій у процесі приватизації</w:t>
      </w:r>
    </w:p>
    <w:p w:rsidR="00574DBA" w:rsidRDefault="00BF7312">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 о с т а н о в л я є:</w:t>
      </w:r>
    </w:p>
    <w:p w:rsidR="00574DBA" w:rsidRDefault="00BF7312">
      <w:pPr>
        <w:ind w:firstLine="273"/>
        <w:jc w:val="both"/>
      </w:pPr>
      <w:r>
        <w:rPr>
          <w:rFonts w:ascii="Times New Roman" w:hAnsi="Times New Roman" w:cs="Times New Roman"/>
          <w:sz w:val="28"/>
        </w:rPr>
        <w:t>1. Внести до Закону України “Про прив</w:t>
      </w:r>
      <w:r>
        <w:rPr>
          <w:rFonts w:ascii="Times New Roman" w:hAnsi="Times New Roman" w:cs="Times New Roman"/>
          <w:sz w:val="28"/>
        </w:rPr>
        <w:t>атизацію державного і комунального майна” (Відомості Верховної Ради України, 2018 р., № 12, ст. 68 із наступними змінами) такі зміни:</w:t>
      </w:r>
    </w:p>
    <w:p w:rsidR="00574DBA" w:rsidRDefault="00574DBA">
      <w:pPr>
        <w:ind w:firstLine="273"/>
        <w:jc w:val="both"/>
      </w:pPr>
    </w:p>
    <w:p w:rsidR="00574DBA" w:rsidRDefault="00BF7312">
      <w:pPr>
        <w:ind w:firstLine="273"/>
        <w:jc w:val="both"/>
      </w:pPr>
      <w:r>
        <w:rPr>
          <w:rFonts w:ascii="Times New Roman" w:hAnsi="Times New Roman" w:cs="Times New Roman"/>
          <w:sz w:val="28"/>
        </w:rPr>
        <w:t>1) пункти 12 і 28 частини першої статті 1 викласти в такій редакції:</w:t>
      </w:r>
    </w:p>
    <w:p w:rsidR="00574DBA" w:rsidRDefault="00BF7312">
      <w:pPr>
        <w:ind w:firstLine="273"/>
        <w:jc w:val="both"/>
      </w:pPr>
      <w:r>
        <w:rPr>
          <w:rFonts w:ascii="Times New Roman" w:hAnsi="Times New Roman" w:cs="Times New Roman"/>
          <w:sz w:val="28"/>
        </w:rPr>
        <w:t>“12) електронна торгова система (ЕТС) – дворівнева інформаційно-телекомунікаційна система, що включає центральну базу даних та електронні майданчики, які взаємодіють з центральною базою даних через інтерфейс програмування додатків такої центральної бази да</w:t>
      </w:r>
      <w:r>
        <w:rPr>
          <w:rFonts w:ascii="Times New Roman" w:hAnsi="Times New Roman" w:cs="Times New Roman"/>
          <w:sz w:val="28"/>
        </w:rPr>
        <w:t>них. ЕТС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p w:rsidR="00574DBA" w:rsidRDefault="00BF7312">
      <w:pPr>
        <w:ind w:firstLine="273"/>
        <w:jc w:val="both"/>
      </w:pPr>
      <w:r>
        <w:rPr>
          <w:rFonts w:ascii="Times New Roman" w:hAnsi="Times New Roman" w:cs="Times New Roman"/>
          <w:sz w:val="28"/>
        </w:rPr>
        <w:t>“28) центральна база даних – сукупність технічних та програмних засобів</w:t>
      </w:r>
      <w:r>
        <w:rPr>
          <w:rFonts w:ascii="Times New Roman" w:hAnsi="Times New Roman" w:cs="Times New Roman"/>
          <w:sz w:val="28"/>
        </w:rPr>
        <w:t xml:space="preserve"> у складі інтерфейсів програмування додатків, модулів аукціонів, допоміжних програмних сервісів та баз даних, що забезпечують можливість проведення аукціону в електронній формі та гарантують рівний доступ до інформації учасникам такого аукціону. Поточна ве</w:t>
      </w:r>
      <w:r>
        <w:rPr>
          <w:rFonts w:ascii="Times New Roman" w:hAnsi="Times New Roman" w:cs="Times New Roman"/>
          <w:sz w:val="28"/>
        </w:rPr>
        <w:t>рсія програмного коду всіх складових центральної бази даних є відкритою та загальнодоступною”;</w:t>
      </w:r>
    </w:p>
    <w:p w:rsidR="00574DBA" w:rsidRDefault="00BF7312">
      <w:pPr>
        <w:ind w:firstLine="273"/>
        <w:jc w:val="both"/>
      </w:pPr>
      <w:r>
        <w:rPr>
          <w:rFonts w:ascii="Times New Roman" w:hAnsi="Times New Roman" w:cs="Times New Roman"/>
          <w:sz w:val="28"/>
        </w:rPr>
        <w:t>2) у частині другій статті 4:</w:t>
      </w:r>
    </w:p>
    <w:p w:rsidR="00574DBA" w:rsidRDefault="00BF7312">
      <w:pPr>
        <w:ind w:firstLine="273"/>
        <w:jc w:val="both"/>
      </w:pPr>
      <w:r>
        <w:rPr>
          <w:rFonts w:ascii="Times New Roman" w:hAnsi="Times New Roman" w:cs="Times New Roman"/>
          <w:sz w:val="28"/>
        </w:rPr>
        <w:t>після абзацу другого доповнити новим абзацом такого змісту:</w:t>
      </w:r>
    </w:p>
    <w:p w:rsidR="00574DBA" w:rsidRDefault="00BF7312">
      <w:pPr>
        <w:ind w:firstLine="273"/>
        <w:jc w:val="both"/>
      </w:pPr>
      <w:r>
        <w:rPr>
          <w:rFonts w:ascii="Times New Roman" w:hAnsi="Times New Roman" w:cs="Times New Roman"/>
          <w:sz w:val="28"/>
        </w:rPr>
        <w:t xml:space="preserve">“підприємства з виготовлення та ремонту всіх видів зброї, що перебуває </w:t>
      </w:r>
      <w:r>
        <w:rPr>
          <w:rFonts w:ascii="Times New Roman" w:hAnsi="Times New Roman" w:cs="Times New Roman"/>
          <w:sz w:val="28"/>
        </w:rPr>
        <w:t>на озброєнні Збройних Сил України, інших утворених відповідно до закону військових формувань, Служби безпеки України”.</w:t>
      </w:r>
    </w:p>
    <w:p w:rsidR="00574DBA" w:rsidRDefault="00BF7312">
      <w:pPr>
        <w:ind w:firstLine="273"/>
        <w:jc w:val="both"/>
      </w:pPr>
      <w:r>
        <w:rPr>
          <w:rFonts w:ascii="Times New Roman" w:hAnsi="Times New Roman" w:cs="Times New Roman"/>
          <w:sz w:val="28"/>
        </w:rPr>
        <w:t>У зв’язку з цим абзаци третій – сорок шостий вважати відповідно абзацами четвертим – сорок сьомим;</w:t>
      </w:r>
    </w:p>
    <w:p w:rsidR="00574DBA" w:rsidRDefault="00BF7312">
      <w:pPr>
        <w:ind w:firstLine="273"/>
        <w:jc w:val="both"/>
      </w:pPr>
      <w:r>
        <w:rPr>
          <w:rFonts w:ascii="Times New Roman" w:hAnsi="Times New Roman" w:cs="Times New Roman"/>
          <w:sz w:val="28"/>
        </w:rPr>
        <w:t>в абзаці дванадцятому слова “а також о</w:t>
      </w:r>
      <w:r>
        <w:rPr>
          <w:rFonts w:ascii="Times New Roman" w:hAnsi="Times New Roman" w:cs="Times New Roman"/>
          <w:sz w:val="28"/>
        </w:rPr>
        <w:t xml:space="preserve">б’єкти архітектури, меморіальні комплекси, заповідники, парки загальнонаціонального значення” замінити словами “національні природні парки, заповідники, меморіальні комплекси”; </w:t>
      </w:r>
    </w:p>
    <w:p w:rsidR="00574DBA" w:rsidRDefault="00BF7312">
      <w:pPr>
        <w:ind w:firstLine="273"/>
        <w:jc w:val="both"/>
      </w:pPr>
      <w:r>
        <w:rPr>
          <w:rFonts w:ascii="Times New Roman" w:hAnsi="Times New Roman" w:cs="Times New Roman"/>
          <w:sz w:val="28"/>
        </w:rPr>
        <w:t>після абзацу дванадцятого доповнити новим абзацом такого змісту:</w:t>
      </w:r>
    </w:p>
    <w:p w:rsidR="00574DBA" w:rsidRDefault="00BF7312">
      <w:pPr>
        <w:ind w:firstLine="273"/>
        <w:jc w:val="both"/>
      </w:pPr>
      <w:r>
        <w:rPr>
          <w:rFonts w:ascii="Times New Roman" w:hAnsi="Times New Roman" w:cs="Times New Roman"/>
          <w:sz w:val="28"/>
        </w:rPr>
        <w:t>“об’єкти архі</w:t>
      </w:r>
      <w:r>
        <w:rPr>
          <w:rFonts w:ascii="Times New Roman" w:hAnsi="Times New Roman" w:cs="Times New Roman"/>
          <w:sz w:val="28"/>
        </w:rPr>
        <w:t>тектури національного значення”.</w:t>
      </w:r>
    </w:p>
    <w:p w:rsidR="00574DBA" w:rsidRDefault="00BF7312">
      <w:pPr>
        <w:ind w:firstLine="273"/>
        <w:jc w:val="both"/>
      </w:pPr>
      <w:r>
        <w:rPr>
          <w:rFonts w:ascii="Times New Roman" w:hAnsi="Times New Roman" w:cs="Times New Roman"/>
          <w:sz w:val="28"/>
        </w:rPr>
        <w:t>У зв'язку з цим абзаци тринадцятий – сорок сьомий вважати відповідно абзацами чотирнадцятим – сорок восьмим;</w:t>
      </w:r>
    </w:p>
    <w:p w:rsidR="00574DBA" w:rsidRDefault="00BF7312">
      <w:pPr>
        <w:ind w:firstLine="273"/>
        <w:jc w:val="both"/>
      </w:pPr>
      <w:r>
        <w:rPr>
          <w:rFonts w:ascii="Times New Roman" w:hAnsi="Times New Roman" w:cs="Times New Roman"/>
          <w:sz w:val="28"/>
        </w:rPr>
        <w:t xml:space="preserve"> </w:t>
      </w:r>
    </w:p>
    <w:p w:rsidR="00574DBA" w:rsidRDefault="00BF7312">
      <w:pPr>
        <w:ind w:firstLine="273"/>
        <w:jc w:val="both"/>
      </w:pPr>
      <w:r>
        <w:rPr>
          <w:rFonts w:ascii="Times New Roman" w:hAnsi="Times New Roman" w:cs="Times New Roman"/>
          <w:sz w:val="28"/>
        </w:rPr>
        <w:t>абзац сорок другий виключити;</w:t>
      </w:r>
    </w:p>
    <w:p w:rsidR="00574DBA" w:rsidRDefault="00BF7312">
      <w:pPr>
        <w:ind w:firstLine="273"/>
        <w:jc w:val="both"/>
      </w:pPr>
      <w:r>
        <w:rPr>
          <w:rFonts w:ascii="Times New Roman" w:hAnsi="Times New Roman" w:cs="Times New Roman"/>
          <w:sz w:val="28"/>
        </w:rPr>
        <w:t>3) пункт 7</w:t>
      </w:r>
      <w:r>
        <w:rPr>
          <w:rFonts w:ascii="Times New Roman" w:hAnsi="Times New Roman" w:cs="Times New Roman"/>
          <w:sz w:val="28"/>
          <w:vertAlign w:val="superscript"/>
        </w:rPr>
        <w:t>2</w:t>
      </w:r>
      <w:r>
        <w:rPr>
          <w:rFonts w:ascii="Times New Roman" w:hAnsi="Times New Roman" w:cs="Times New Roman"/>
          <w:sz w:val="28"/>
        </w:rPr>
        <w:t xml:space="preserve"> розділу V “Прикінцеві та перехідні положення” виключити.</w:t>
      </w:r>
    </w:p>
    <w:p w:rsidR="00574DBA" w:rsidRDefault="00BF7312">
      <w:pPr>
        <w:ind w:firstLine="273"/>
        <w:jc w:val="both"/>
      </w:pPr>
      <w:r>
        <w:rPr>
          <w:rFonts w:ascii="Times New Roman" w:hAnsi="Times New Roman" w:cs="Times New Roman"/>
          <w:sz w:val="28"/>
        </w:rPr>
        <w:t>2. Цей Закон набирає чинності з дня, наступного за днем його опублікування.</w:t>
      </w:r>
    </w:p>
    <w:sectPr w:rsidR="00574DB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74DBA"/>
    <w:rsid w:val="005A6C16"/>
    <w:rsid w:val="00BF7312"/>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1914</Words>
  <Characters>1092</Characters>
  <Application>Microsoft Office Word</Application>
  <DocSecurity>0</DocSecurity>
  <Lines>9</Lines>
  <Paragraphs>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2021-11-10T08:24:00Z</dcterms:created>
  <dcterms:modified xsi:type="dcterms:W3CDTF">2021-11-10T08:24:00Z</dcterms:modified>
</cp:coreProperties>
</file>