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12B4" w:rsidRPr="00946AAB" w:rsidRDefault="00A712B4" w:rsidP="00A712B4">
      <w:pPr>
        <w:pStyle w:val="a3"/>
      </w:pPr>
    </w:p>
    <w:p w:rsidR="00A712B4" w:rsidRPr="00946AAB" w:rsidRDefault="00A712B4" w:rsidP="00A712B4">
      <w:pPr>
        <w:pStyle w:val="a3"/>
        <w:ind w:firstLine="0"/>
      </w:pPr>
    </w:p>
    <w:p w:rsidR="00A712B4" w:rsidRPr="00946AAB" w:rsidRDefault="00A712B4" w:rsidP="00A712B4">
      <w:pPr>
        <w:pStyle w:val="a3"/>
      </w:pPr>
    </w:p>
    <w:p w:rsidR="00A712B4" w:rsidRPr="00946AAB" w:rsidRDefault="00A712B4" w:rsidP="00A712B4">
      <w:pPr>
        <w:pStyle w:val="Nazva"/>
      </w:pPr>
      <w:r w:rsidRPr="00946AAB">
        <w:t>ВИСНОВОК</w:t>
      </w:r>
    </w:p>
    <w:p w:rsidR="00A712B4" w:rsidRDefault="00A712B4" w:rsidP="00A712B4">
      <w:pPr>
        <w:shd w:val="clear" w:color="auto" w:fill="FFFFFF"/>
        <w:jc w:val="center"/>
        <w:rPr>
          <w:rFonts w:eastAsia="Arial Unicode MS"/>
          <w:b/>
          <w:bCs/>
          <w:color w:val="000000"/>
          <w:szCs w:val="28"/>
          <w:u w:color="000000"/>
        </w:rPr>
      </w:pPr>
      <w:r w:rsidRPr="00946AAB">
        <w:rPr>
          <w:b/>
        </w:rPr>
        <w:t xml:space="preserve">на проект Закону України </w:t>
      </w:r>
      <w:r w:rsidRPr="00946AAB">
        <w:rPr>
          <w:b/>
          <w:bCs/>
          <w:szCs w:val="32"/>
        </w:rPr>
        <w:t>«</w:t>
      </w:r>
      <w:r w:rsidRPr="00AE5AD9">
        <w:rPr>
          <w:rFonts w:eastAsia="Arial Unicode MS"/>
          <w:b/>
          <w:bCs/>
          <w:color w:val="000000"/>
          <w:szCs w:val="28"/>
          <w:u w:color="000000"/>
        </w:rPr>
        <w:t>Про внесення змін до деяких</w:t>
      </w:r>
      <w:r w:rsidRPr="00740E7C">
        <w:rPr>
          <w:rFonts w:eastAsia="Arial Unicode MS"/>
          <w:b/>
          <w:bCs/>
          <w:color w:val="000000"/>
          <w:szCs w:val="28"/>
          <w:u w:color="000000"/>
          <w:lang w:val="ru-RU"/>
        </w:rPr>
        <w:t xml:space="preserve"> </w:t>
      </w:r>
      <w:r w:rsidRPr="00AE5AD9">
        <w:rPr>
          <w:rFonts w:eastAsia="Arial Unicode MS"/>
          <w:b/>
          <w:bCs/>
          <w:color w:val="000000"/>
          <w:szCs w:val="28"/>
          <w:u w:color="000000"/>
        </w:rPr>
        <w:t>законодавчих актів України щодо</w:t>
      </w:r>
      <w:r>
        <w:rPr>
          <w:rFonts w:eastAsia="Arial Unicode MS"/>
          <w:b/>
          <w:bCs/>
          <w:color w:val="000000"/>
          <w:szCs w:val="28"/>
          <w:u w:color="000000"/>
        </w:rPr>
        <w:t xml:space="preserve"> </w:t>
      </w:r>
      <w:r w:rsidRPr="00AE5AD9">
        <w:rPr>
          <w:rFonts w:eastAsia="Arial Unicode MS"/>
          <w:b/>
          <w:bCs/>
          <w:color w:val="000000"/>
          <w:szCs w:val="28"/>
          <w:u w:color="000000"/>
        </w:rPr>
        <w:t xml:space="preserve">вдосконалення </w:t>
      </w:r>
    </w:p>
    <w:p w:rsidR="00A712B4" w:rsidRPr="00946AAB" w:rsidRDefault="00A712B4" w:rsidP="00A712B4">
      <w:pPr>
        <w:shd w:val="clear" w:color="auto" w:fill="FFFFFF"/>
        <w:jc w:val="center"/>
        <w:rPr>
          <w:b/>
          <w:bCs/>
          <w:szCs w:val="32"/>
        </w:rPr>
      </w:pPr>
      <w:r w:rsidRPr="00AE5AD9">
        <w:rPr>
          <w:rFonts w:eastAsia="Arial Unicode MS"/>
          <w:b/>
          <w:bCs/>
          <w:color w:val="000000"/>
          <w:szCs w:val="28"/>
          <w:u w:color="000000"/>
        </w:rPr>
        <w:t>діяльності Ан</w:t>
      </w:r>
      <w:r>
        <w:rPr>
          <w:rFonts w:eastAsia="Arial Unicode MS"/>
          <w:b/>
          <w:bCs/>
          <w:color w:val="000000"/>
          <w:szCs w:val="28"/>
          <w:u w:color="000000"/>
        </w:rPr>
        <w:t>тимонопольного комітету України</w:t>
      </w:r>
      <w:r w:rsidRPr="00946AAB">
        <w:rPr>
          <w:b/>
          <w:bCs/>
          <w:szCs w:val="26"/>
        </w:rPr>
        <w:t>»</w:t>
      </w:r>
    </w:p>
    <w:p w:rsidR="00A712B4" w:rsidRPr="00946AAB" w:rsidRDefault="00A712B4" w:rsidP="00A712B4">
      <w:pPr>
        <w:pStyle w:val="a6"/>
        <w:ind w:firstLine="709"/>
      </w:pPr>
    </w:p>
    <w:p w:rsidR="00A712B4" w:rsidRPr="00A712B4" w:rsidRDefault="00A712B4" w:rsidP="00A712B4">
      <w:pPr>
        <w:ind w:firstLine="709"/>
        <w:jc w:val="both"/>
        <w:rPr>
          <w:color w:val="000000"/>
          <w:szCs w:val="28"/>
        </w:rPr>
      </w:pPr>
      <w:r>
        <w:t xml:space="preserve">Проект Закону, як зазначено в п. 1 пояснювальної записки до проекту, «передбачає </w:t>
      </w:r>
      <w:r w:rsidRPr="005A4D78">
        <w:rPr>
          <w:color w:val="000000"/>
          <w:szCs w:val="28"/>
          <w:lang w:eastAsia="en-US"/>
        </w:rPr>
        <w:t xml:space="preserve">проведення реформи законодавства про захист економічної конкуренції, та, у зв’язку з цим вдосконалення діяльності Антимонопольного комітету України, яка має на меті підвищення ефективності системи розвитку та захисту економічної конкуренції, </w:t>
      </w:r>
      <w:r w:rsidRPr="005A4D78">
        <w:rPr>
          <w:bCs/>
          <w:color w:val="000000"/>
          <w:szCs w:val="28"/>
        </w:rPr>
        <w:t xml:space="preserve">вдосконалення державної політики у сфері захисту економічної </w:t>
      </w:r>
      <w:r w:rsidRPr="00A712B4">
        <w:rPr>
          <w:bCs/>
          <w:color w:val="000000"/>
          <w:szCs w:val="28"/>
        </w:rPr>
        <w:t xml:space="preserve">конкуренції, посилення інституційної спроможності Антимонопольного комітету України та розроблений </w:t>
      </w:r>
      <w:r w:rsidRPr="00A712B4">
        <w:rPr>
          <w:color w:val="000000"/>
          <w:szCs w:val="28"/>
        </w:rPr>
        <w:t xml:space="preserve">відповідно до вимог </w:t>
      </w:r>
      <w:r w:rsidR="00E91772">
        <w:rPr>
          <w:color w:val="000000"/>
          <w:szCs w:val="28"/>
        </w:rPr>
        <w:t xml:space="preserve">                </w:t>
      </w:r>
      <w:r w:rsidRPr="00A712B4">
        <w:rPr>
          <w:color w:val="000000"/>
          <w:szCs w:val="28"/>
        </w:rPr>
        <w:t xml:space="preserve">статті 256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ратифікованої Верховною Радою України 16 вересня 2014 року». </w:t>
      </w:r>
      <w:r w:rsidRPr="00A712B4">
        <w:rPr>
          <w:shd w:val="clear" w:color="auto" w:fill="FFFFFF"/>
        </w:rPr>
        <w:t xml:space="preserve">Для досягнення цього у проекті передбачається внести відповідні зміни до Господарського процесуального кодексу України </w:t>
      </w:r>
      <w:r w:rsidR="00B71E8A">
        <w:rPr>
          <w:shd w:val="clear" w:color="auto" w:fill="FFFFFF"/>
        </w:rPr>
        <w:t xml:space="preserve">                            </w:t>
      </w:r>
      <w:r w:rsidRPr="00A712B4">
        <w:rPr>
          <w:shd w:val="clear" w:color="auto" w:fill="FFFFFF"/>
        </w:rPr>
        <w:t xml:space="preserve">(далі – ГПК), законів України «Про Антимонопольний комітет України», </w:t>
      </w:r>
      <w:r w:rsidR="00B71E8A">
        <w:rPr>
          <w:shd w:val="clear" w:color="auto" w:fill="FFFFFF"/>
        </w:rPr>
        <w:t xml:space="preserve">                   </w:t>
      </w:r>
      <w:r w:rsidRPr="00A712B4">
        <w:rPr>
          <w:shd w:val="clear" w:color="auto" w:fill="FFFFFF"/>
        </w:rPr>
        <w:t>«Про захист економічної конкуренції», «Про нотаріат», «Про національну поліцію» тощо. У вказаних змінах пропонується, зокрема: в</w:t>
      </w:r>
      <w:r w:rsidRPr="00A712B4">
        <w:t xml:space="preserve">досконалити </w:t>
      </w:r>
      <w:proofErr w:type="spellStart"/>
      <w:r w:rsidRPr="00A712B4">
        <w:t>понятійно</w:t>
      </w:r>
      <w:proofErr w:type="spellEnd"/>
      <w:r w:rsidRPr="00A712B4">
        <w:t xml:space="preserve">-категоріальний апарат законодавства про захист економічної конкуренції та механізм контролю за концентраціями суб’єктів господарювання; </w:t>
      </w:r>
      <w:r w:rsidRPr="00A712B4">
        <w:rPr>
          <w:color w:val="000000"/>
          <w:szCs w:val="28"/>
        </w:rPr>
        <w:t xml:space="preserve">закріпити механізм встановлення пріоритетів діяльності Антимонопольного комітету України (далі – АМКУ); визначити порядок проведення перевірок суб’єктів господарювання; вдосконалити механізм звільнення від відповідальності для учасників </w:t>
      </w:r>
      <w:proofErr w:type="spellStart"/>
      <w:r w:rsidRPr="00A712B4">
        <w:rPr>
          <w:color w:val="000000"/>
          <w:szCs w:val="28"/>
        </w:rPr>
        <w:t>антиконкурентних</w:t>
      </w:r>
      <w:proofErr w:type="spellEnd"/>
      <w:r w:rsidRPr="00A712B4">
        <w:rPr>
          <w:color w:val="000000"/>
          <w:szCs w:val="28"/>
        </w:rPr>
        <w:t xml:space="preserve"> узгоджених дій (</w:t>
      </w:r>
      <w:proofErr w:type="spellStart"/>
      <w:r w:rsidRPr="00A712B4">
        <w:rPr>
          <w:color w:val="000000"/>
          <w:szCs w:val="28"/>
        </w:rPr>
        <w:t>leniency</w:t>
      </w:r>
      <w:proofErr w:type="spellEnd"/>
      <w:r w:rsidRPr="00A712B4">
        <w:rPr>
          <w:color w:val="000000"/>
          <w:szCs w:val="28"/>
        </w:rPr>
        <w:t>); запровадити інститут врегулювання у справах (</w:t>
      </w:r>
      <w:proofErr w:type="spellStart"/>
      <w:r w:rsidRPr="00A712B4">
        <w:rPr>
          <w:color w:val="000000"/>
          <w:szCs w:val="28"/>
        </w:rPr>
        <w:t>settlement</w:t>
      </w:r>
      <w:proofErr w:type="spellEnd"/>
      <w:r w:rsidRPr="00A712B4">
        <w:rPr>
          <w:color w:val="000000"/>
          <w:szCs w:val="28"/>
        </w:rPr>
        <w:t>) тощо.</w:t>
      </w:r>
    </w:p>
    <w:p w:rsidR="00A712B4" w:rsidRDefault="00A712B4" w:rsidP="00A712B4">
      <w:pPr>
        <w:ind w:firstLine="709"/>
        <w:jc w:val="both"/>
        <w:rPr>
          <w:szCs w:val="28"/>
          <w:shd w:val="clear" w:color="auto" w:fill="FFFFFF"/>
        </w:rPr>
      </w:pPr>
      <w:r w:rsidRPr="00A712B4">
        <w:t>На думку суб’єктів права законодавчої ініціативи</w:t>
      </w:r>
      <w:r w:rsidRPr="00946AAB">
        <w:t>, висловлену в п. 6 пояснювальної записки, п</w:t>
      </w:r>
      <w:r w:rsidRPr="00946AAB">
        <w:rPr>
          <w:shd w:val="clear" w:color="auto" w:fill="FFFFFF"/>
        </w:rPr>
        <w:t>рийняття проекту</w:t>
      </w:r>
      <w:r>
        <w:rPr>
          <w:shd w:val="clear" w:color="auto" w:fill="FFFFFF"/>
        </w:rPr>
        <w:t xml:space="preserve"> дозволить:</w:t>
      </w:r>
      <w:r w:rsidRPr="00946AAB">
        <w:rPr>
          <w:shd w:val="clear" w:color="auto" w:fill="FFFFFF"/>
        </w:rPr>
        <w:t xml:space="preserve"> «</w:t>
      </w:r>
      <w:r w:rsidRPr="00BD7929">
        <w:rPr>
          <w:lang w:eastAsia="uk-UA"/>
        </w:rPr>
        <w:t>підвищити ефективність державного захисту економічної конкуренції, в тому числі кращому виявленню, розслідуванню та припиненню порушень законодавства про захист економічної конкуренції, завдяки запровадженим правовим інструментам;</w:t>
      </w:r>
      <w:r>
        <w:rPr>
          <w:lang w:eastAsia="uk-UA"/>
        </w:rPr>
        <w:t xml:space="preserve"> </w:t>
      </w:r>
      <w:r w:rsidRPr="005A4D78">
        <w:rPr>
          <w:bCs/>
          <w:color w:val="000000"/>
          <w:szCs w:val="28"/>
          <w:lang w:eastAsia="uk-UA"/>
        </w:rPr>
        <w:t>сфокусувати діяльність Комітету на більш пріоритетних завданнях;</w:t>
      </w:r>
      <w:r>
        <w:rPr>
          <w:bCs/>
          <w:color w:val="000000"/>
          <w:szCs w:val="28"/>
          <w:lang w:eastAsia="uk-UA"/>
        </w:rPr>
        <w:t xml:space="preserve"> </w:t>
      </w:r>
      <w:r w:rsidRPr="005A4D78">
        <w:rPr>
          <w:bCs/>
          <w:color w:val="000000"/>
          <w:szCs w:val="28"/>
          <w:lang w:eastAsia="uk-UA"/>
        </w:rPr>
        <w:t>зменшити навантаження на судові органи;</w:t>
      </w:r>
      <w:r>
        <w:rPr>
          <w:bCs/>
          <w:color w:val="000000"/>
          <w:szCs w:val="28"/>
          <w:lang w:eastAsia="uk-UA"/>
        </w:rPr>
        <w:t xml:space="preserve"> </w:t>
      </w:r>
      <w:r w:rsidRPr="005A4D78">
        <w:rPr>
          <w:bCs/>
          <w:color w:val="000000"/>
          <w:szCs w:val="28"/>
          <w:lang w:eastAsia="uk-UA"/>
        </w:rPr>
        <w:t>наблизити національне законодавство до законодавства ЄС</w:t>
      </w:r>
      <w:r>
        <w:rPr>
          <w:bCs/>
          <w:color w:val="000000"/>
          <w:szCs w:val="28"/>
          <w:lang w:eastAsia="uk-UA"/>
        </w:rPr>
        <w:t>»</w:t>
      </w:r>
      <w:r w:rsidRPr="005A4D78">
        <w:rPr>
          <w:bCs/>
          <w:color w:val="000000"/>
          <w:szCs w:val="28"/>
          <w:lang w:eastAsia="uk-UA"/>
        </w:rPr>
        <w:t>.</w:t>
      </w:r>
    </w:p>
    <w:p w:rsidR="00A712B4" w:rsidRPr="00A712B4" w:rsidRDefault="00A712B4" w:rsidP="00A712B4">
      <w:pPr>
        <w:pStyle w:val="af1"/>
        <w:spacing w:before="0"/>
        <w:ind w:firstLine="709"/>
        <w:rPr>
          <w:rFonts w:ascii="Times New Roman" w:hAnsi="Times New Roman"/>
          <w:sz w:val="28"/>
          <w:szCs w:val="28"/>
        </w:rPr>
      </w:pPr>
      <w:r w:rsidRPr="005562F8">
        <w:rPr>
          <w:rFonts w:ascii="Times New Roman" w:hAnsi="Times New Roman"/>
          <w:sz w:val="28"/>
          <w:szCs w:val="28"/>
        </w:rPr>
        <w:t xml:space="preserve">Проект </w:t>
      </w:r>
      <w:r w:rsidRPr="00A712B4">
        <w:rPr>
          <w:rFonts w:ascii="Times New Roman" w:hAnsi="Times New Roman"/>
          <w:sz w:val="28"/>
          <w:szCs w:val="28"/>
        </w:rPr>
        <w:t xml:space="preserve">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 </w:t>
      </w:r>
    </w:p>
    <w:p w:rsidR="00A712B4" w:rsidRPr="00A712B4" w:rsidRDefault="00A712B4" w:rsidP="00A712B4">
      <w:pPr>
        <w:adjustRightInd w:val="0"/>
        <w:ind w:firstLine="709"/>
        <w:jc w:val="both"/>
        <w:rPr>
          <w:szCs w:val="28"/>
          <w:shd w:val="clear" w:color="auto" w:fill="FFFFFF"/>
        </w:rPr>
      </w:pPr>
      <w:r w:rsidRPr="00A712B4">
        <w:rPr>
          <w:szCs w:val="28"/>
          <w:shd w:val="clear" w:color="auto" w:fill="FFFFFF"/>
        </w:rPr>
        <w:t>Головне управління, розглянувши проект</w:t>
      </w:r>
      <w:r w:rsidRPr="00A712B4">
        <w:rPr>
          <w:szCs w:val="28"/>
          <w:shd w:val="clear" w:color="auto" w:fill="FFFFFF"/>
          <w:lang w:val="ru-RU"/>
        </w:rPr>
        <w:t xml:space="preserve"> </w:t>
      </w:r>
      <w:r w:rsidRPr="00A712B4">
        <w:rPr>
          <w:szCs w:val="28"/>
          <w:shd w:val="clear" w:color="auto" w:fill="FFFFFF"/>
        </w:rPr>
        <w:t xml:space="preserve">у стислий термін, вважає за доцільне висловити щодо його положень такі зауваження та пропозиції. </w:t>
      </w:r>
    </w:p>
    <w:p w:rsidR="00A712B4" w:rsidRPr="00A712B4" w:rsidRDefault="00A712B4" w:rsidP="00A712B4">
      <w:pPr>
        <w:adjustRightInd w:val="0"/>
        <w:ind w:firstLine="709"/>
        <w:jc w:val="both"/>
        <w:rPr>
          <w:szCs w:val="28"/>
          <w:shd w:val="clear" w:color="auto" w:fill="FFFFFF"/>
        </w:rPr>
      </w:pPr>
    </w:p>
    <w:p w:rsidR="00A712B4" w:rsidRPr="00A712B4" w:rsidRDefault="00A712B4" w:rsidP="00A712B4">
      <w:pPr>
        <w:adjustRightInd w:val="0"/>
        <w:ind w:firstLine="709"/>
        <w:jc w:val="both"/>
        <w:rPr>
          <w:b/>
          <w:bCs/>
          <w:i/>
          <w:iCs/>
          <w:szCs w:val="28"/>
          <w:shd w:val="clear" w:color="auto" w:fill="FFFFFF"/>
        </w:rPr>
      </w:pPr>
      <w:r w:rsidRPr="00A712B4">
        <w:rPr>
          <w:b/>
          <w:bCs/>
          <w:i/>
          <w:iCs/>
          <w:szCs w:val="28"/>
          <w:shd w:val="clear" w:color="auto" w:fill="FFFFFF"/>
        </w:rPr>
        <w:lastRenderedPageBreak/>
        <w:t xml:space="preserve">Загального </w:t>
      </w:r>
      <w:r w:rsidRPr="00A712B4">
        <w:rPr>
          <w:b/>
          <w:bCs/>
          <w:i/>
          <w:iCs/>
          <w:szCs w:val="28"/>
          <w:shd w:val="clear" w:color="auto" w:fill="FFFFFF"/>
          <w:lang w:val="ru-RU"/>
        </w:rPr>
        <w:t>характеру</w:t>
      </w:r>
      <w:r w:rsidRPr="00A712B4">
        <w:rPr>
          <w:b/>
          <w:bCs/>
          <w:i/>
          <w:iCs/>
          <w:szCs w:val="28"/>
          <w:shd w:val="clear" w:color="auto" w:fill="FFFFFF"/>
        </w:rPr>
        <w:t xml:space="preserve"> </w:t>
      </w:r>
    </w:p>
    <w:p w:rsidR="00A712B4" w:rsidRDefault="00A712B4" w:rsidP="00A712B4">
      <w:pPr>
        <w:adjustRightInd w:val="0"/>
        <w:ind w:firstLine="709"/>
        <w:jc w:val="both"/>
        <w:rPr>
          <w:szCs w:val="28"/>
          <w:shd w:val="clear" w:color="auto" w:fill="FFFFFF"/>
        </w:rPr>
      </w:pPr>
      <w:r w:rsidRPr="00A712B4">
        <w:rPr>
          <w:b/>
          <w:bCs/>
          <w:szCs w:val="28"/>
          <w:shd w:val="clear" w:color="auto" w:fill="FFFFFF"/>
        </w:rPr>
        <w:t>1.</w:t>
      </w:r>
      <w:r w:rsidRPr="00A712B4">
        <w:rPr>
          <w:szCs w:val="28"/>
          <w:shd w:val="clear" w:color="auto" w:fill="FFFFFF"/>
        </w:rPr>
        <w:t xml:space="preserve"> У проекті питання вдосконалення діяльності АМКУ розглядаються не самі по собі, а у межах вдосконалення законодавства про захист економічної конкуренції, що підтверджується</w:t>
      </w:r>
      <w:r>
        <w:rPr>
          <w:szCs w:val="28"/>
          <w:shd w:val="clear" w:color="auto" w:fill="FFFFFF"/>
        </w:rPr>
        <w:t xml:space="preserve"> і у п. 1 пояснювальної записки до проекту. У зв’язку з цим назва проекту, на нашу думку, має бути відповідним чином уточнена.  </w:t>
      </w:r>
    </w:p>
    <w:p w:rsidR="00A712B4" w:rsidRPr="00A712B4" w:rsidRDefault="00A712B4" w:rsidP="00A712B4">
      <w:pPr>
        <w:adjustRightInd w:val="0"/>
        <w:ind w:firstLine="709"/>
        <w:jc w:val="both"/>
        <w:rPr>
          <w:szCs w:val="28"/>
          <w:shd w:val="clear" w:color="auto" w:fill="FFFFFF"/>
        </w:rPr>
      </w:pPr>
      <w:r w:rsidRPr="00C529B3">
        <w:rPr>
          <w:b/>
          <w:bCs/>
          <w:szCs w:val="28"/>
          <w:shd w:val="clear" w:color="auto" w:fill="FFFFFF"/>
        </w:rPr>
        <w:t>2.</w:t>
      </w:r>
      <w:r>
        <w:rPr>
          <w:szCs w:val="28"/>
          <w:shd w:val="clear" w:color="auto" w:fill="FFFFFF"/>
        </w:rPr>
        <w:t xml:space="preserve"> </w:t>
      </w:r>
      <w:r w:rsidRPr="00C529B3">
        <w:rPr>
          <w:szCs w:val="28"/>
          <w:shd w:val="clear" w:color="auto" w:fill="FFFFFF"/>
        </w:rPr>
        <w:t>Проект вимагає техніко-юридичного доопрацювання. Зокрема, слід врахувати, що за правилами законодавчої техніки у разі, якщо у законопроекті пропонується внесення змін до декількох законодавчих актів, вони розташовуються у хронологічному порядку, а у разі, якщо серед таких актів є кодекси</w:t>
      </w:r>
      <w:r w:rsidRPr="00A712B4">
        <w:rPr>
          <w:szCs w:val="28"/>
          <w:shd w:val="clear" w:color="auto" w:fill="FFFFFF"/>
        </w:rPr>
        <w:t>, вони розташовуються на початку проекту.</w:t>
      </w:r>
      <w:r w:rsidRPr="00A712B4">
        <w:rPr>
          <w:rStyle w:val="ae"/>
          <w:szCs w:val="28"/>
          <w:shd w:val="clear" w:color="auto" w:fill="FFFFFF"/>
        </w:rPr>
        <w:footnoteReference w:id="1"/>
      </w:r>
      <w:r w:rsidRPr="00A712B4">
        <w:rPr>
          <w:szCs w:val="28"/>
          <w:shd w:val="clear" w:color="auto" w:fill="FFFFFF"/>
        </w:rPr>
        <w:t xml:space="preserve"> </w:t>
      </w:r>
    </w:p>
    <w:p w:rsidR="00A712B4" w:rsidRDefault="00A712B4" w:rsidP="00A712B4">
      <w:pPr>
        <w:adjustRightInd w:val="0"/>
        <w:ind w:firstLine="709"/>
        <w:jc w:val="both"/>
        <w:rPr>
          <w:szCs w:val="28"/>
          <w:shd w:val="clear" w:color="auto" w:fill="FFFFFF"/>
        </w:rPr>
      </w:pPr>
      <w:r w:rsidRPr="00A712B4">
        <w:rPr>
          <w:b/>
          <w:bCs/>
          <w:szCs w:val="28"/>
          <w:shd w:val="clear" w:color="auto" w:fill="FFFFFF"/>
        </w:rPr>
        <w:t>3.</w:t>
      </w:r>
      <w:r w:rsidRPr="00A712B4">
        <w:rPr>
          <w:szCs w:val="28"/>
          <w:shd w:val="clear" w:color="auto" w:fill="FFFFFF"/>
        </w:rPr>
        <w:t xml:space="preserve"> Звертаємо увагу, що на розгляді Верховної Ради України </w:t>
      </w:r>
      <w:proofErr w:type="spellStart"/>
      <w:r w:rsidRPr="00A712B4">
        <w:rPr>
          <w:szCs w:val="28"/>
          <w:shd w:val="clear" w:color="auto" w:fill="FFFFFF"/>
        </w:rPr>
        <w:t>знаход</w:t>
      </w:r>
      <w:proofErr w:type="spellEnd"/>
      <w:r w:rsidRPr="00A712B4">
        <w:rPr>
          <w:szCs w:val="28"/>
          <w:shd w:val="clear" w:color="auto" w:fill="FFFFFF"/>
          <w:lang w:val="ru-RU"/>
        </w:rPr>
        <w:t>я</w:t>
      </w:r>
      <w:proofErr w:type="spellStart"/>
      <w:r w:rsidRPr="00A712B4">
        <w:rPr>
          <w:szCs w:val="28"/>
          <w:shd w:val="clear" w:color="auto" w:fill="FFFFFF"/>
        </w:rPr>
        <w:t>ться</w:t>
      </w:r>
      <w:proofErr w:type="spellEnd"/>
      <w:r w:rsidRPr="00A712B4">
        <w:rPr>
          <w:szCs w:val="28"/>
          <w:shd w:val="clear" w:color="auto" w:fill="FFFFFF"/>
        </w:rPr>
        <w:t xml:space="preserve"> проекти законів України  «Про внесення змін до деяких законів України щодо </w:t>
      </w:r>
      <w:proofErr w:type="spellStart"/>
      <w:r w:rsidRPr="00A712B4">
        <w:rPr>
          <w:szCs w:val="28"/>
          <w:shd w:val="clear" w:color="auto" w:fill="FFFFFF"/>
        </w:rPr>
        <w:t>конкуренційно</w:t>
      </w:r>
      <w:proofErr w:type="spellEnd"/>
      <w:r w:rsidRPr="00A712B4">
        <w:rPr>
          <w:szCs w:val="28"/>
          <w:shd w:val="clear" w:color="auto" w:fill="FFFFFF"/>
        </w:rPr>
        <w:t xml:space="preserve">-антимонопольної реформи» (реєстр. № 2730 від 14.01.2020, </w:t>
      </w:r>
      <w:r w:rsidRPr="00A712B4">
        <w:rPr>
          <w:szCs w:val="28"/>
          <w:shd w:val="clear" w:color="auto" w:fill="FFFFFF"/>
        </w:rPr>
        <w:br/>
      </w:r>
      <w:proofErr w:type="spellStart"/>
      <w:r w:rsidRPr="00A712B4">
        <w:rPr>
          <w:szCs w:val="28"/>
          <w:shd w:val="clear" w:color="auto" w:fill="FFFFFF"/>
          <w:lang w:val="ru-RU"/>
        </w:rPr>
        <w:t>реєстр</w:t>
      </w:r>
      <w:proofErr w:type="spellEnd"/>
      <w:r w:rsidRPr="00A712B4">
        <w:rPr>
          <w:szCs w:val="28"/>
          <w:shd w:val="clear" w:color="auto" w:fill="FFFFFF"/>
          <w:lang w:val="ru-RU"/>
        </w:rPr>
        <w:t xml:space="preserve">. </w:t>
      </w:r>
      <w:r w:rsidRPr="00A712B4">
        <w:rPr>
          <w:szCs w:val="28"/>
          <w:shd w:val="clear" w:color="auto" w:fill="FFFFFF"/>
        </w:rPr>
        <w:t xml:space="preserve">№ 2730-1 від 31.01.2020, </w:t>
      </w:r>
      <w:proofErr w:type="spellStart"/>
      <w:r w:rsidRPr="00A712B4">
        <w:rPr>
          <w:szCs w:val="28"/>
          <w:shd w:val="clear" w:color="auto" w:fill="FFFFFF"/>
          <w:lang w:val="ru-RU"/>
        </w:rPr>
        <w:t>реєстр</w:t>
      </w:r>
      <w:proofErr w:type="spellEnd"/>
      <w:r w:rsidRPr="00A712B4">
        <w:rPr>
          <w:szCs w:val="28"/>
          <w:shd w:val="clear" w:color="auto" w:fill="FFFFFF"/>
          <w:lang w:val="ru-RU"/>
        </w:rPr>
        <w:t xml:space="preserve">. </w:t>
      </w:r>
      <w:r w:rsidRPr="00A712B4">
        <w:rPr>
          <w:szCs w:val="28"/>
          <w:shd w:val="clear" w:color="auto" w:fill="FFFFFF"/>
        </w:rPr>
        <w:t>№ 2730-2 від 31.01.2020), у яких також  розглядаються питання вдосконалення законодавства про захист економічної конкуренції та АМКУ.</w:t>
      </w:r>
      <w:r>
        <w:rPr>
          <w:szCs w:val="28"/>
          <w:shd w:val="clear" w:color="auto" w:fill="FFFFFF"/>
        </w:rPr>
        <w:t xml:space="preserve"> </w:t>
      </w:r>
    </w:p>
    <w:p w:rsidR="00A712B4" w:rsidRDefault="00A712B4" w:rsidP="00A712B4">
      <w:pPr>
        <w:adjustRightInd w:val="0"/>
        <w:ind w:firstLine="709"/>
        <w:jc w:val="both"/>
        <w:rPr>
          <w:b/>
          <w:i/>
          <w:szCs w:val="28"/>
          <w:shd w:val="clear" w:color="auto" w:fill="FFFFFF"/>
        </w:rPr>
      </w:pPr>
    </w:p>
    <w:p w:rsidR="00A712B4" w:rsidRPr="00A712B4" w:rsidRDefault="00A712B4" w:rsidP="00A712B4">
      <w:pPr>
        <w:adjustRightInd w:val="0"/>
        <w:ind w:firstLine="709"/>
        <w:jc w:val="both"/>
        <w:rPr>
          <w:b/>
          <w:i/>
          <w:szCs w:val="28"/>
          <w:shd w:val="clear" w:color="auto" w:fill="FFFFFF"/>
        </w:rPr>
      </w:pPr>
      <w:r w:rsidRPr="0029320A">
        <w:rPr>
          <w:b/>
          <w:i/>
          <w:szCs w:val="28"/>
          <w:shd w:val="clear" w:color="auto" w:fill="FFFFFF"/>
        </w:rPr>
        <w:t xml:space="preserve">Щодо </w:t>
      </w:r>
      <w:r w:rsidRPr="00A712B4">
        <w:rPr>
          <w:b/>
          <w:i/>
          <w:szCs w:val="28"/>
          <w:shd w:val="clear" w:color="auto" w:fill="FFFFFF"/>
        </w:rPr>
        <w:t xml:space="preserve">змін до </w:t>
      </w:r>
      <w:r w:rsidRPr="00A712B4">
        <w:rPr>
          <w:rFonts w:eastAsia="Arial Unicode MS"/>
          <w:b/>
          <w:bCs/>
          <w:i/>
          <w:color w:val="000000"/>
          <w:szCs w:val="28"/>
          <w:u w:color="000000"/>
        </w:rPr>
        <w:t>Закон</w:t>
      </w:r>
      <w:r w:rsidRPr="00A712B4">
        <w:rPr>
          <w:rFonts w:eastAsia="Arial Unicode MS"/>
          <w:b/>
          <w:bCs/>
          <w:i/>
          <w:szCs w:val="28"/>
          <w:u w:color="000000"/>
        </w:rPr>
        <w:t>у</w:t>
      </w:r>
      <w:r w:rsidRPr="00A712B4">
        <w:rPr>
          <w:rFonts w:eastAsia="Arial Unicode MS"/>
          <w:b/>
          <w:bCs/>
          <w:i/>
          <w:color w:val="000000"/>
          <w:szCs w:val="28"/>
          <w:u w:color="000000"/>
        </w:rPr>
        <w:t xml:space="preserve"> України «Про Антимонопольний комітет України» (далі – </w:t>
      </w:r>
      <w:r w:rsidRPr="00A712B4">
        <w:rPr>
          <w:rFonts w:eastAsia="Arial Unicode MS"/>
          <w:b/>
          <w:bCs/>
          <w:i/>
          <w:color w:val="000000"/>
          <w:szCs w:val="28"/>
          <w:u w:color="000000"/>
          <w:lang w:val="ru-RU"/>
        </w:rPr>
        <w:t>Закон</w:t>
      </w:r>
      <w:r w:rsidRPr="00A712B4">
        <w:rPr>
          <w:rFonts w:eastAsia="Arial Unicode MS"/>
          <w:b/>
          <w:bCs/>
          <w:i/>
          <w:color w:val="000000"/>
          <w:szCs w:val="28"/>
          <w:u w:color="000000"/>
        </w:rPr>
        <w:t>)</w:t>
      </w:r>
    </w:p>
    <w:p w:rsidR="00A712B4" w:rsidRPr="006F3CA0" w:rsidRDefault="00A712B4" w:rsidP="00A712B4">
      <w:pPr>
        <w:ind w:firstLine="709"/>
        <w:jc w:val="both"/>
        <w:rPr>
          <w:rFonts w:eastAsia="Arial Unicode MS"/>
          <w:color w:val="000000"/>
          <w:szCs w:val="28"/>
          <w:u w:color="000000"/>
        </w:rPr>
      </w:pPr>
      <w:r w:rsidRPr="00A712B4">
        <w:rPr>
          <w:b/>
          <w:szCs w:val="28"/>
        </w:rPr>
        <w:t>1.</w:t>
      </w:r>
      <w:r w:rsidRPr="00A712B4">
        <w:rPr>
          <w:szCs w:val="28"/>
        </w:rPr>
        <w:t xml:space="preserve"> У новій редакції п. </w:t>
      </w:r>
      <w:r w:rsidRPr="00A712B4">
        <w:rPr>
          <w:rFonts w:eastAsia="Arial Unicode MS"/>
          <w:color w:val="000000"/>
          <w:szCs w:val="28"/>
          <w:u w:color="000000"/>
        </w:rPr>
        <w:t>4</w:t>
      </w:r>
      <w:r w:rsidRPr="00A712B4">
        <w:rPr>
          <w:rFonts w:eastAsia="Arial Unicode MS"/>
          <w:color w:val="000000"/>
          <w:szCs w:val="28"/>
          <w:u w:color="000000"/>
          <w:vertAlign w:val="superscript"/>
        </w:rPr>
        <w:t>1</w:t>
      </w:r>
      <w:r w:rsidRPr="00A712B4">
        <w:rPr>
          <w:rFonts w:eastAsia="Arial Unicode MS"/>
          <w:szCs w:val="28"/>
          <w:u w:color="000000"/>
        </w:rPr>
        <w:t xml:space="preserve"> ч. 1 ст. 7 </w:t>
      </w:r>
      <w:r w:rsidRPr="00A712B4">
        <w:rPr>
          <w:rFonts w:eastAsia="Arial Unicode MS"/>
          <w:bCs/>
          <w:color w:val="000000"/>
          <w:szCs w:val="28"/>
          <w:u w:color="000000"/>
        </w:rPr>
        <w:t>Закон</w:t>
      </w:r>
      <w:r w:rsidRPr="00A712B4">
        <w:rPr>
          <w:rFonts w:eastAsia="Arial Unicode MS"/>
          <w:bCs/>
          <w:szCs w:val="28"/>
          <w:u w:color="000000"/>
        </w:rPr>
        <w:t>у</w:t>
      </w:r>
      <w:r w:rsidRPr="00A712B4">
        <w:rPr>
          <w:rFonts w:eastAsia="Arial Unicode MS"/>
          <w:bCs/>
          <w:color w:val="000000"/>
          <w:szCs w:val="28"/>
          <w:u w:color="000000"/>
        </w:rPr>
        <w:t xml:space="preserve"> </w:t>
      </w:r>
      <w:r w:rsidRPr="00A712B4">
        <w:rPr>
          <w:rFonts w:eastAsia="Arial Unicode MS"/>
          <w:bCs/>
          <w:szCs w:val="28"/>
          <w:u w:color="000000"/>
        </w:rPr>
        <w:t xml:space="preserve">господарському суду надається право приймати </w:t>
      </w:r>
      <w:r w:rsidRPr="00A712B4">
        <w:rPr>
          <w:rFonts w:eastAsia="Arial Unicode MS"/>
          <w:color w:val="000000"/>
          <w:szCs w:val="28"/>
          <w:u w:color="000000"/>
        </w:rPr>
        <w:t xml:space="preserve">рішення </w:t>
      </w:r>
      <w:r w:rsidRPr="00A712B4">
        <w:rPr>
          <w:rFonts w:eastAsia="Arial Unicode MS"/>
          <w:szCs w:val="28"/>
          <w:u w:color="000000"/>
        </w:rPr>
        <w:t xml:space="preserve">щодо </w:t>
      </w:r>
      <w:r w:rsidRPr="00A712B4">
        <w:rPr>
          <w:rFonts w:eastAsia="Arial Unicode MS"/>
          <w:color w:val="000000"/>
          <w:szCs w:val="28"/>
          <w:u w:color="000000"/>
        </w:rPr>
        <w:t>перевір</w:t>
      </w:r>
      <w:r w:rsidRPr="00A712B4">
        <w:rPr>
          <w:rFonts w:eastAsia="Arial Unicode MS"/>
          <w:szCs w:val="28"/>
          <w:u w:color="000000"/>
        </w:rPr>
        <w:t>ки</w:t>
      </w:r>
      <w:r w:rsidRPr="00A712B4">
        <w:rPr>
          <w:rFonts w:eastAsia="Arial Unicode MS"/>
          <w:color w:val="000000"/>
          <w:szCs w:val="28"/>
          <w:u w:color="000000"/>
        </w:rPr>
        <w:t xml:space="preserve"> </w:t>
      </w:r>
      <w:r w:rsidRPr="00A712B4">
        <w:rPr>
          <w:rFonts w:eastAsia="Arial Unicode MS"/>
          <w:bCs/>
          <w:color w:val="000000"/>
          <w:szCs w:val="28"/>
          <w:u w:color="000000"/>
        </w:rPr>
        <w:t>АМКУ</w:t>
      </w:r>
      <w:r w:rsidRPr="00A712B4">
        <w:rPr>
          <w:rFonts w:eastAsia="Arial Unicode MS"/>
          <w:color w:val="000000"/>
          <w:szCs w:val="28"/>
          <w:u w:color="000000"/>
        </w:rPr>
        <w:t xml:space="preserve"> місця проживання та інших володінь фізичних та юридичних осіб, якщо є достатні підстави вважати, що інформація, пов’язана з суб’єктом господарювання та порушенням законодавства про захист економічної конкуренції, знаходиться </w:t>
      </w:r>
      <w:r w:rsidRPr="00A712B4">
        <w:rPr>
          <w:rFonts w:eastAsia="Arial Unicode MS"/>
          <w:szCs w:val="28"/>
          <w:u w:color="000000"/>
        </w:rPr>
        <w:t>у цих осіб. Аналіз запропонованих змін свідчить</w:t>
      </w:r>
      <w:r w:rsidRPr="00A712B4">
        <w:rPr>
          <w:szCs w:val="28"/>
        </w:rPr>
        <w:t>, що проектом пропонується наділити АМКУ функціями органів досудового розслідування, якими зазначені органи наділені чинним Кримінальним процесуальним кодексом України (далі – КПК) в межах відповідних кримінальних проваджень щодо</w:t>
      </w:r>
      <w:r w:rsidRPr="003920D0">
        <w:rPr>
          <w:szCs w:val="28"/>
        </w:rPr>
        <w:t xml:space="preserve"> конкретних кримінальних правопорушень.</w:t>
      </w:r>
      <w:r>
        <w:rPr>
          <w:szCs w:val="28"/>
        </w:rPr>
        <w:t xml:space="preserve"> </w:t>
      </w:r>
      <w:r w:rsidRPr="003920D0">
        <w:rPr>
          <w:szCs w:val="28"/>
        </w:rPr>
        <w:t xml:space="preserve">Такі новели проекту щодо проведення </w:t>
      </w:r>
      <w:r>
        <w:rPr>
          <w:szCs w:val="28"/>
        </w:rPr>
        <w:t>АМКУ</w:t>
      </w:r>
      <w:r w:rsidRPr="003920D0">
        <w:rPr>
          <w:szCs w:val="28"/>
        </w:rPr>
        <w:t xml:space="preserve"> розслідування та здійснення процесуальних дій, які за своїм змістом є слідчими діями, потребують суттєвого концептуального перегляду.</w:t>
      </w:r>
      <w:r>
        <w:rPr>
          <w:szCs w:val="28"/>
        </w:rPr>
        <w:t xml:space="preserve"> </w:t>
      </w:r>
      <w:r w:rsidRPr="003920D0">
        <w:rPr>
          <w:szCs w:val="28"/>
        </w:rPr>
        <w:t>У національній системі законодавства існує чіткий поділ галузей законодавства за предметом та методом правового регулювання. Інститут досудового розслідування є предметом регулювання виключно КПК. Зокрема, відповідно до ч. 1 ст. 1 КПК порядок кримінального провадження на території України визначається лише кримінальним процесуальним законодавством України. При цьому, у ст. 216 КПК міститься вичерпний перелік органів досудового розслідування, до яких відносяться: органи Національної поліції; органи безпеки; органи, що здійснюють контроль за додержанням податкового законодавства; органи державного бюро розслідувань; Національного антикорупційного бюро України.</w:t>
      </w:r>
      <w:r>
        <w:rPr>
          <w:szCs w:val="28"/>
        </w:rPr>
        <w:t xml:space="preserve"> </w:t>
      </w:r>
      <w:r w:rsidRPr="003920D0">
        <w:rPr>
          <w:szCs w:val="28"/>
        </w:rPr>
        <w:t xml:space="preserve">Таке чітке законодавче регулювання досудового розслідування забезпечує захист </w:t>
      </w:r>
      <w:r w:rsidRPr="003920D0">
        <w:rPr>
          <w:szCs w:val="28"/>
        </w:rPr>
        <w:lastRenderedPageBreak/>
        <w:t>основоположних прав і свобод громадян, встановлених та гарантованих Конституцією України, таких як: право на свободу та особисту недоторканність (ст. 29 Конституції України), на недоторканність житла (ст. 30 Конституції України), на таємницю листування, телефонних розмов, телеграфної та іншої кореспонденції (ст. 31 Конституції України), на невтручання в його особисте і сімейне життя, крім випадків, передбачених Конституцією України (ст. 32 Конституції України) тощо. Існування ж будь-якого іншого органу поза системою органів досудового розслідування, який виконуватиме функції досудового розслідування (зокрема, проводитиме огляд будівель, приміщень, накладатиме попередній арешт на майно, збиратиме докази тощо), є неприпустимим у правовій державі.</w:t>
      </w:r>
    </w:p>
    <w:p w:rsidR="00A712B4" w:rsidRPr="00A712B4" w:rsidRDefault="00A712B4" w:rsidP="00A712B4">
      <w:pPr>
        <w:ind w:firstLine="709"/>
        <w:jc w:val="both"/>
        <w:rPr>
          <w:szCs w:val="28"/>
        </w:rPr>
      </w:pPr>
      <w:r w:rsidRPr="003920D0">
        <w:rPr>
          <w:szCs w:val="28"/>
        </w:rPr>
        <w:t xml:space="preserve">Вважаємо, що наділення </w:t>
      </w:r>
      <w:r>
        <w:rPr>
          <w:szCs w:val="28"/>
        </w:rPr>
        <w:t xml:space="preserve">АМКУ </w:t>
      </w:r>
      <w:r w:rsidRPr="003920D0">
        <w:rPr>
          <w:szCs w:val="28"/>
        </w:rPr>
        <w:t>вказаними повноваженнями</w:t>
      </w:r>
      <w:r>
        <w:rPr>
          <w:szCs w:val="28"/>
        </w:rPr>
        <w:t xml:space="preserve"> створює </w:t>
      </w:r>
      <w:r w:rsidRPr="003920D0">
        <w:rPr>
          <w:szCs w:val="28"/>
        </w:rPr>
        <w:t xml:space="preserve">передумови для порушення прав та законних інтересів фізичних та юридичних осіб та є своєрідним </w:t>
      </w:r>
      <w:proofErr w:type="spellStart"/>
      <w:r w:rsidRPr="003920D0">
        <w:rPr>
          <w:szCs w:val="28"/>
        </w:rPr>
        <w:t>корупціогенним</w:t>
      </w:r>
      <w:proofErr w:type="spellEnd"/>
      <w:r w:rsidRPr="003920D0">
        <w:rPr>
          <w:szCs w:val="28"/>
        </w:rPr>
        <w:t xml:space="preserve"> фактором. Адже жодний інший орган державної влади не наділяється повноваженнями здійснювати контроль та нагляд за діяльністю </w:t>
      </w:r>
      <w:r>
        <w:rPr>
          <w:szCs w:val="28"/>
        </w:rPr>
        <w:t>АМКУ</w:t>
      </w:r>
      <w:r w:rsidRPr="003920D0">
        <w:rPr>
          <w:szCs w:val="28"/>
        </w:rPr>
        <w:t xml:space="preserve"> та захистом прав і свобод осіб, щодо яких здійснюються процесуальні ді</w:t>
      </w:r>
      <w:r>
        <w:rPr>
          <w:szCs w:val="28"/>
        </w:rPr>
        <w:t xml:space="preserve">ї при проведенні розслідування. </w:t>
      </w:r>
      <w:r w:rsidRPr="0022407D">
        <w:rPr>
          <w:szCs w:val="28"/>
        </w:rPr>
        <w:t>При цьому юридично нечіткі формулювання у проекті не дають змоги однозначно окреслити межі законних дій здійснення повноважень АМКУ. Зазвичай наділення такими повноваженнями правоохоронних органів пов’язане зі значною суспільною небезпекою правопорушень. Проте у проекті відсутня градація цієї небезпечності, що створює можливість застосування найсуворіших заходів до найд</w:t>
      </w:r>
      <w:r>
        <w:rPr>
          <w:szCs w:val="28"/>
        </w:rPr>
        <w:t>рібніших порушень.  Крім того</w:t>
      </w:r>
      <w:r w:rsidRPr="0022407D">
        <w:rPr>
          <w:szCs w:val="28"/>
        </w:rPr>
        <w:t xml:space="preserve">, у проекті, на нашу думку, не приділено достатньої уваги належному забезпеченню прав фізичних і </w:t>
      </w:r>
      <w:r w:rsidRPr="00A712B4">
        <w:rPr>
          <w:szCs w:val="28"/>
        </w:rPr>
        <w:t xml:space="preserve">юридичних осіб при здійсненні посадовими особами АМКУ вказаних дій. </w:t>
      </w:r>
      <w:r w:rsidR="00A375A4">
        <w:rPr>
          <w:szCs w:val="28"/>
        </w:rPr>
        <w:t xml:space="preserve">                          </w:t>
      </w:r>
      <w:r w:rsidRPr="00A712B4">
        <w:rPr>
          <w:szCs w:val="28"/>
        </w:rPr>
        <w:t xml:space="preserve">Це зауваження також стосується нової редакції п. 5 ч.  </w:t>
      </w:r>
      <w:r w:rsidRPr="00A712B4">
        <w:rPr>
          <w:bCs/>
          <w:szCs w:val="28"/>
        </w:rPr>
        <w:t>2</w:t>
      </w:r>
      <w:r w:rsidRPr="00A712B4">
        <w:rPr>
          <w:szCs w:val="28"/>
        </w:rPr>
        <w:t xml:space="preserve"> ст. 15, п. 9 ч. 1 ст. 16,</w:t>
      </w:r>
      <w:r w:rsidR="00A375A4">
        <w:rPr>
          <w:szCs w:val="28"/>
        </w:rPr>
        <w:t xml:space="preserve">                              </w:t>
      </w:r>
      <w:r w:rsidRPr="00A712B4">
        <w:rPr>
          <w:szCs w:val="28"/>
        </w:rPr>
        <w:t xml:space="preserve"> п. 8 ч. 1 ст. 17 Закону, а також нової ст. 44</w:t>
      </w:r>
      <w:r w:rsidRPr="00A712B4">
        <w:rPr>
          <w:szCs w:val="28"/>
          <w:vertAlign w:val="superscript"/>
        </w:rPr>
        <w:t xml:space="preserve">1 </w:t>
      </w:r>
      <w:r w:rsidRPr="00A712B4">
        <w:rPr>
          <w:szCs w:val="28"/>
        </w:rPr>
        <w:t>, яку пропонується доповнити до Закону України «Про захист економічної конкуренції», відповідних змін до ГПК.</w:t>
      </w:r>
    </w:p>
    <w:p w:rsidR="00A712B4" w:rsidRPr="00A712B4" w:rsidRDefault="00A712B4" w:rsidP="00A712B4">
      <w:pPr>
        <w:ind w:firstLine="709"/>
        <w:jc w:val="both"/>
        <w:rPr>
          <w:rStyle w:val="rvts0"/>
        </w:rPr>
      </w:pPr>
      <w:r w:rsidRPr="00A712B4">
        <w:rPr>
          <w:b/>
          <w:bCs/>
          <w:szCs w:val="28"/>
        </w:rPr>
        <w:t xml:space="preserve">2. </w:t>
      </w:r>
      <w:r w:rsidRPr="00A712B4">
        <w:rPr>
          <w:szCs w:val="28"/>
        </w:rPr>
        <w:t>У новому п. 19 ч. 1 ст. 7 Закону АМКУ надаються повноваження «викликати для надання пояснень, які стосуються розгляду справи про порушення законодавства про захист економічної конкуренції, посадових осіб, працівників та представників суб'єктів господарювання, об'єднань, органів влади, органів місцевого</w:t>
      </w:r>
      <w:r w:rsidRPr="00835388">
        <w:rPr>
          <w:szCs w:val="28"/>
        </w:rPr>
        <w:t xml:space="preserve"> самоврядування, органів адміністративно-</w:t>
      </w:r>
      <w:r w:rsidRPr="00A712B4">
        <w:rPr>
          <w:szCs w:val="28"/>
        </w:rPr>
        <w:t xml:space="preserve">господарського управління та контролю, інших юридичних осіб, їх структурних підрозділів, філій, представництв,  інших фізичних осіб». </w:t>
      </w:r>
    </w:p>
    <w:p w:rsidR="00A712B4" w:rsidRPr="00A712B4" w:rsidRDefault="00A712B4" w:rsidP="00A712B4">
      <w:pPr>
        <w:ind w:firstLine="709"/>
        <w:jc w:val="both"/>
        <w:rPr>
          <w:szCs w:val="28"/>
        </w:rPr>
      </w:pPr>
      <w:r w:rsidRPr="00A712B4">
        <w:rPr>
          <w:szCs w:val="28"/>
        </w:rPr>
        <w:t>Не заперечуючи актуальності питання вдосконалення механізмів, спрямованих на забезпечення повного, всебічного розгляду відповідних справ, зауважимо, що запропоновані положення не дають визначеності у питанні можливих меж його застосування (в частині критеріїв за якими викликаються особи для надання пояснень). Цим самим створюється підґрунтя як для можливих зловживань з боку посадових осіб АМКУ, так і для виклику для надання пояснень осіб, які не мають відношення до розгляду справи.</w:t>
      </w:r>
    </w:p>
    <w:p w:rsidR="00A712B4" w:rsidRPr="00A712B4" w:rsidRDefault="00A712B4" w:rsidP="00A712B4">
      <w:pPr>
        <w:ind w:firstLine="709"/>
        <w:jc w:val="both"/>
        <w:rPr>
          <w:rStyle w:val="rvts0"/>
          <w:bCs/>
        </w:rPr>
      </w:pPr>
      <w:r w:rsidRPr="00A712B4">
        <w:rPr>
          <w:rStyle w:val="rvts0"/>
          <w:b/>
        </w:rPr>
        <w:t xml:space="preserve">3. </w:t>
      </w:r>
      <w:r w:rsidRPr="00A712B4">
        <w:rPr>
          <w:rStyle w:val="rvts0"/>
          <w:bCs/>
        </w:rPr>
        <w:t>У новій редакції ст. 27 Закону пропонується врегулювати умови</w:t>
      </w:r>
      <w:r w:rsidRPr="000F54F9">
        <w:rPr>
          <w:rStyle w:val="rvts0"/>
          <w:bCs/>
        </w:rPr>
        <w:t xml:space="preserve"> оплати праці </w:t>
      </w:r>
      <w:r w:rsidRPr="008E1B3D">
        <w:rPr>
          <w:rStyle w:val="rvts0"/>
          <w:bCs/>
          <w:lang w:val="ru-RU"/>
        </w:rPr>
        <w:t xml:space="preserve">в </w:t>
      </w:r>
      <w:r w:rsidRPr="00A712B4">
        <w:rPr>
          <w:rStyle w:val="rvts0"/>
          <w:bCs/>
          <w:lang w:val="ru-RU"/>
        </w:rPr>
        <w:t>АМКУ</w:t>
      </w:r>
      <w:r w:rsidRPr="00A712B4">
        <w:rPr>
          <w:rStyle w:val="rvts0"/>
          <w:bCs/>
        </w:rPr>
        <w:t xml:space="preserve"> та, зокрема, встановити безпосередньо у Законі посадові оклади Голові </w:t>
      </w:r>
      <w:r w:rsidRPr="00A712B4">
        <w:rPr>
          <w:rStyle w:val="rvts0"/>
          <w:bCs/>
          <w:lang w:val="ru-RU"/>
        </w:rPr>
        <w:t>АМКУ</w:t>
      </w:r>
      <w:r w:rsidRPr="00A712B4">
        <w:rPr>
          <w:rStyle w:val="rvts0"/>
          <w:bCs/>
        </w:rPr>
        <w:t xml:space="preserve">, державним </w:t>
      </w:r>
      <w:proofErr w:type="spellStart"/>
      <w:r w:rsidRPr="00A712B4">
        <w:rPr>
          <w:rStyle w:val="rvts0"/>
          <w:bCs/>
          <w:lang w:val="ru-RU"/>
        </w:rPr>
        <w:t>уповноваженим</w:t>
      </w:r>
      <w:proofErr w:type="spellEnd"/>
      <w:r w:rsidRPr="00A712B4">
        <w:rPr>
          <w:rStyle w:val="rvts0"/>
          <w:bCs/>
          <w:lang w:val="ru-RU"/>
        </w:rPr>
        <w:t xml:space="preserve"> АМКУ</w:t>
      </w:r>
      <w:r w:rsidRPr="00A712B4">
        <w:rPr>
          <w:rStyle w:val="rvts0"/>
          <w:bCs/>
        </w:rPr>
        <w:t xml:space="preserve">, працівникам апарату і </w:t>
      </w:r>
      <w:r w:rsidRPr="00A712B4">
        <w:rPr>
          <w:rStyle w:val="rvts0"/>
          <w:bCs/>
        </w:rPr>
        <w:lastRenderedPageBreak/>
        <w:t xml:space="preserve">територіальних відділень </w:t>
      </w:r>
      <w:r w:rsidRPr="00A712B4">
        <w:rPr>
          <w:rStyle w:val="rvts0"/>
          <w:bCs/>
          <w:lang w:val="ru-RU"/>
        </w:rPr>
        <w:t>АМКУ</w:t>
      </w:r>
      <w:r w:rsidRPr="00A712B4">
        <w:rPr>
          <w:rStyle w:val="rvts0"/>
          <w:bCs/>
        </w:rPr>
        <w:t>, а також визначити порядок обчислення інших складових (надбавок, премій, допомог) їх  оплати праці.</w:t>
      </w:r>
    </w:p>
    <w:p w:rsidR="00A712B4" w:rsidRPr="000F54F9" w:rsidRDefault="00A712B4" w:rsidP="00A712B4">
      <w:pPr>
        <w:ind w:firstLine="709"/>
        <w:jc w:val="both"/>
        <w:rPr>
          <w:rStyle w:val="rvts0"/>
          <w:bCs/>
        </w:rPr>
      </w:pPr>
      <w:r w:rsidRPr="00A712B4">
        <w:rPr>
          <w:rStyle w:val="rvts0"/>
          <w:bCs/>
        </w:rPr>
        <w:t>Головне управління не заперечує необхідності «визначення таких умов оплати праці, які повинні забезпечувати достатні матеріальні умови для незалежного виконання ними службових обов’язків з урахуванням характеру та інтенсивності роботи, стимулювати досягнення високих результатів у службовій діяльності та сумлінну працю, компенсувати фізичні</w:t>
      </w:r>
      <w:r w:rsidRPr="000F54F9">
        <w:rPr>
          <w:rStyle w:val="rvts0"/>
          <w:bCs/>
        </w:rPr>
        <w:t xml:space="preserve"> та інтелектуальні затрати працівників»</w:t>
      </w:r>
      <w:r>
        <w:rPr>
          <w:rStyle w:val="rvts0"/>
          <w:bCs/>
        </w:rPr>
        <w:t xml:space="preserve"> (п. 3 пояснювальної записки до проекту)</w:t>
      </w:r>
      <w:r w:rsidRPr="000F54F9">
        <w:rPr>
          <w:rStyle w:val="rvts0"/>
          <w:bCs/>
        </w:rPr>
        <w:t>. Однак</w:t>
      </w:r>
      <w:r>
        <w:rPr>
          <w:rStyle w:val="rvts0"/>
          <w:bCs/>
        </w:rPr>
        <w:t>, к</w:t>
      </w:r>
      <w:r w:rsidRPr="000F54F9">
        <w:rPr>
          <w:rStyle w:val="rvts0"/>
          <w:bCs/>
        </w:rPr>
        <w:t>рім того, що встановлення саме таких величин</w:t>
      </w:r>
      <w:r>
        <w:rPr>
          <w:rStyle w:val="rvts0"/>
          <w:bCs/>
        </w:rPr>
        <w:t xml:space="preserve"> посадового окладу та інших складових оплати праці вказаних посадових осіб АМКУ </w:t>
      </w:r>
      <w:r w:rsidRPr="000F54F9">
        <w:rPr>
          <w:rStyle w:val="rvts0"/>
          <w:bCs/>
        </w:rPr>
        <w:t>є достатньо дискусійним, на нашу думку, запропонована законодавча ініціатива продовжує негативну тенденцію останніх років щодо неузгодженості підходів при визначенні оплати праці працівників різних державних органів та установ, яка призводить до значних диспропорцій у заробітних платах у межах державного сектору.</w:t>
      </w:r>
      <w:r>
        <w:rPr>
          <w:rStyle w:val="rvts0"/>
          <w:bCs/>
        </w:rPr>
        <w:t xml:space="preserve"> Причому слід врахувати, що </w:t>
      </w:r>
      <w:r w:rsidRPr="000F54F9">
        <w:rPr>
          <w:rStyle w:val="rvts0"/>
          <w:bCs/>
        </w:rPr>
        <w:t xml:space="preserve">  великі диспропорції в розмірах оплати праці працівників різних ланок в межах одного відомства чи відомств одного типу (міністерства, агенції, служби) є загалом </w:t>
      </w:r>
      <w:proofErr w:type="spellStart"/>
      <w:r w:rsidRPr="000F54F9">
        <w:rPr>
          <w:rStyle w:val="rvts0"/>
          <w:bCs/>
        </w:rPr>
        <w:t>демотивуючим</w:t>
      </w:r>
      <w:proofErr w:type="spellEnd"/>
      <w:r w:rsidRPr="000F54F9">
        <w:rPr>
          <w:rStyle w:val="rvts0"/>
          <w:bCs/>
        </w:rPr>
        <w:t xml:space="preserve"> фактором. Як вже неодноразово зазначалося Головним управлінням, комплексне реформування інституту державного управління відповідно до європейських стандартів та створення в Україні професійної, політично нейтральної та ефективної державної служби включає запровадження нової системи оплати праці, яка в повній мірі буде виконувати стимулюючу, соціальну, регулюючу, вимірювально-розподільчу, а не тільки відтворювальну функцію заробітної плати. При цьому структура та умови оплати праці в різних відомствах одного державного сектору мають бути подібними для посад з подібними функціональними обов’язками  і внутрішньо узгодженими.</w:t>
      </w:r>
    </w:p>
    <w:p w:rsidR="00A712B4" w:rsidRPr="000F54F9" w:rsidRDefault="00A712B4" w:rsidP="00A712B4">
      <w:pPr>
        <w:ind w:firstLine="709"/>
        <w:jc w:val="both"/>
        <w:rPr>
          <w:rStyle w:val="rvts0"/>
          <w:bCs/>
        </w:rPr>
      </w:pPr>
      <w:r w:rsidRPr="000F54F9">
        <w:rPr>
          <w:rStyle w:val="rvts0"/>
          <w:bCs/>
        </w:rPr>
        <w:t>Підтримуючи необхідність встановлення справедливого механізму розподілу доходів, раціонального та ефективного використання державних коштів, вважаємо, що загалом політика оплати праці має базуватися на системних (а не вибірково-точкових) принципах і стандартах.</w:t>
      </w:r>
    </w:p>
    <w:p w:rsidR="00A712B4" w:rsidRPr="000F54F9" w:rsidRDefault="00A712B4" w:rsidP="00A712B4">
      <w:pPr>
        <w:ind w:firstLine="709"/>
        <w:jc w:val="both"/>
        <w:rPr>
          <w:rStyle w:val="rvts0"/>
          <w:bCs/>
        </w:rPr>
      </w:pPr>
    </w:p>
    <w:p w:rsidR="00A712B4" w:rsidRDefault="00A712B4" w:rsidP="00A712B4">
      <w:pPr>
        <w:autoSpaceDE w:val="0"/>
        <w:autoSpaceDN w:val="0"/>
        <w:adjustRightInd w:val="0"/>
        <w:ind w:firstLine="709"/>
        <w:jc w:val="both"/>
        <w:rPr>
          <w:rFonts w:eastAsia="Arial Unicode MS"/>
          <w:b/>
          <w:bCs/>
          <w:i/>
          <w:color w:val="000000"/>
          <w:szCs w:val="28"/>
          <w:u w:color="000000"/>
        </w:rPr>
      </w:pPr>
      <w:r w:rsidRPr="0029320A">
        <w:rPr>
          <w:b/>
          <w:i/>
          <w:szCs w:val="28"/>
          <w:shd w:val="clear" w:color="auto" w:fill="FFFFFF"/>
        </w:rPr>
        <w:t xml:space="preserve">Щодо змін до </w:t>
      </w:r>
      <w:r w:rsidRPr="0029320A">
        <w:rPr>
          <w:rFonts w:eastAsia="Arial Unicode MS"/>
          <w:b/>
          <w:bCs/>
          <w:i/>
          <w:color w:val="000000"/>
          <w:szCs w:val="28"/>
          <w:u w:color="000000"/>
        </w:rPr>
        <w:t>Закон</w:t>
      </w:r>
      <w:r w:rsidRPr="0029320A">
        <w:rPr>
          <w:rFonts w:eastAsia="Arial Unicode MS"/>
          <w:b/>
          <w:bCs/>
          <w:i/>
          <w:szCs w:val="28"/>
          <w:u w:color="000000"/>
        </w:rPr>
        <w:t>у</w:t>
      </w:r>
      <w:r w:rsidRPr="0029320A">
        <w:rPr>
          <w:rFonts w:eastAsia="Arial Unicode MS"/>
          <w:b/>
          <w:bCs/>
          <w:i/>
          <w:color w:val="000000"/>
          <w:szCs w:val="28"/>
          <w:u w:color="000000"/>
        </w:rPr>
        <w:t xml:space="preserve"> України «Про </w:t>
      </w:r>
      <w:r>
        <w:rPr>
          <w:rFonts w:eastAsia="Arial Unicode MS"/>
          <w:b/>
          <w:bCs/>
          <w:i/>
          <w:color w:val="000000"/>
          <w:szCs w:val="28"/>
          <w:u w:color="000000"/>
        </w:rPr>
        <w:t>захист економічної конкуренції</w:t>
      </w:r>
      <w:r w:rsidRPr="0029320A">
        <w:rPr>
          <w:rFonts w:eastAsia="Arial Unicode MS"/>
          <w:b/>
          <w:bCs/>
          <w:i/>
          <w:color w:val="000000"/>
          <w:szCs w:val="28"/>
          <w:u w:color="000000"/>
        </w:rPr>
        <w:t>»</w:t>
      </w:r>
      <w:r>
        <w:rPr>
          <w:rFonts w:eastAsia="Arial Unicode MS"/>
          <w:b/>
          <w:bCs/>
          <w:i/>
          <w:color w:val="000000"/>
          <w:szCs w:val="28"/>
          <w:u w:color="000000"/>
        </w:rPr>
        <w:t xml:space="preserve"> (далі – Закон)</w:t>
      </w:r>
    </w:p>
    <w:p w:rsidR="00A712B4" w:rsidRPr="00A712B4" w:rsidRDefault="00A712B4" w:rsidP="00A712B4">
      <w:pPr>
        <w:autoSpaceDE w:val="0"/>
        <w:autoSpaceDN w:val="0"/>
        <w:adjustRightInd w:val="0"/>
        <w:ind w:firstLine="709"/>
        <w:jc w:val="both"/>
        <w:rPr>
          <w:szCs w:val="28"/>
        </w:rPr>
      </w:pPr>
      <w:r>
        <w:rPr>
          <w:b/>
          <w:bCs/>
          <w:szCs w:val="28"/>
        </w:rPr>
        <w:t>1</w:t>
      </w:r>
      <w:r w:rsidRPr="007F3F6F">
        <w:rPr>
          <w:b/>
          <w:bCs/>
          <w:szCs w:val="28"/>
        </w:rPr>
        <w:t>.</w:t>
      </w:r>
      <w:r>
        <w:rPr>
          <w:b/>
          <w:bCs/>
          <w:szCs w:val="28"/>
        </w:rPr>
        <w:t xml:space="preserve"> </w:t>
      </w:r>
      <w:r w:rsidRPr="008534F6">
        <w:rPr>
          <w:szCs w:val="28"/>
        </w:rPr>
        <w:t xml:space="preserve">Згідно </w:t>
      </w:r>
      <w:r w:rsidRPr="00BB563F">
        <w:rPr>
          <w:bCs/>
          <w:szCs w:val="28"/>
        </w:rPr>
        <w:t xml:space="preserve">п. 1 </w:t>
      </w:r>
      <w:r w:rsidRPr="00A712B4">
        <w:rPr>
          <w:bCs/>
          <w:szCs w:val="28"/>
        </w:rPr>
        <w:t>нової редакції ч. 2 ст. 22 Закону</w:t>
      </w:r>
      <w:r w:rsidRPr="00A712B4">
        <w:rPr>
          <w:szCs w:val="28"/>
        </w:rPr>
        <w:t xml:space="preserve"> концентрацією визнається злиття або приєднання суб’єктів господарювання або </w:t>
      </w:r>
      <w:bookmarkStart w:id="0" w:name="_Hlk74685125"/>
      <w:r w:rsidRPr="00A712B4">
        <w:rPr>
          <w:i/>
          <w:iCs/>
          <w:szCs w:val="28"/>
        </w:rPr>
        <w:t>частини суб’єктів</w:t>
      </w:r>
      <w:r w:rsidRPr="00A712B4">
        <w:rPr>
          <w:szCs w:val="28"/>
        </w:rPr>
        <w:t xml:space="preserve"> господарювання</w:t>
      </w:r>
      <w:bookmarkEnd w:id="0"/>
      <w:r w:rsidRPr="00A712B4">
        <w:rPr>
          <w:szCs w:val="28"/>
        </w:rPr>
        <w:t xml:space="preserve">, які не були пов’язані відносинами контролю між собою. Проте із цієї редакції залишається незрозумілою, про яку саме частину суб’єктів господарювання йдеться, а наслідком цієї невизначеності може стати концентрація суб’єктів господарювання поза межами контролю </w:t>
      </w:r>
      <w:r w:rsidRPr="00A712B4">
        <w:rPr>
          <w:szCs w:val="28"/>
          <w:lang w:val="ru-RU"/>
        </w:rPr>
        <w:t>АМКУ.</w:t>
      </w:r>
    </w:p>
    <w:p w:rsidR="00A712B4" w:rsidRPr="00A712B4" w:rsidRDefault="00A712B4" w:rsidP="00A712B4">
      <w:pPr>
        <w:autoSpaceDE w:val="0"/>
        <w:autoSpaceDN w:val="0"/>
        <w:adjustRightInd w:val="0"/>
        <w:ind w:firstLine="709"/>
        <w:jc w:val="both"/>
        <w:rPr>
          <w:bCs/>
          <w:szCs w:val="28"/>
        </w:rPr>
      </w:pPr>
      <w:r w:rsidRPr="00A712B4">
        <w:rPr>
          <w:bCs/>
          <w:szCs w:val="28"/>
        </w:rPr>
        <w:t xml:space="preserve">Це зауваження стосується і використання відповідного терміну у і </w:t>
      </w:r>
      <w:r w:rsidRPr="00A712B4">
        <w:rPr>
          <w:szCs w:val="28"/>
        </w:rPr>
        <w:t>ч.</w:t>
      </w:r>
      <w:r w:rsidRPr="00A712B4">
        <w:rPr>
          <w:bCs/>
          <w:szCs w:val="28"/>
        </w:rPr>
        <w:t xml:space="preserve"> 3 нової редакції ст. 24 Закону.</w:t>
      </w:r>
    </w:p>
    <w:p w:rsidR="00A712B4" w:rsidRPr="00A712B4" w:rsidRDefault="00A712B4" w:rsidP="00A712B4">
      <w:pPr>
        <w:autoSpaceDE w:val="0"/>
        <w:autoSpaceDN w:val="0"/>
        <w:adjustRightInd w:val="0"/>
        <w:ind w:firstLine="709"/>
        <w:jc w:val="both"/>
        <w:rPr>
          <w:rStyle w:val="rvts0"/>
          <w:bCs/>
        </w:rPr>
      </w:pPr>
      <w:r w:rsidRPr="00A712B4">
        <w:rPr>
          <w:b/>
          <w:szCs w:val="28"/>
        </w:rPr>
        <w:t>2.</w:t>
      </w:r>
      <w:r w:rsidRPr="00A712B4">
        <w:rPr>
          <w:bCs/>
          <w:szCs w:val="28"/>
        </w:rPr>
        <w:t xml:space="preserve"> На нашу думку, не сприятиме реалізації принципу </w:t>
      </w:r>
      <w:r w:rsidRPr="00A712B4">
        <w:rPr>
          <w:szCs w:val="28"/>
        </w:rPr>
        <w:t xml:space="preserve">забезпечення правової визначеності, забезпеченню ясності і недвозначності норм запропонована редакція положень нової ч. 3 ст. 36 Закону щодо надання органам АМКУ права </w:t>
      </w:r>
      <w:r w:rsidRPr="00A712B4">
        <w:rPr>
          <w:i/>
          <w:szCs w:val="28"/>
          <w:u w:val="single"/>
          <w:shd w:val="clear" w:color="auto" w:fill="FFFFFF"/>
        </w:rPr>
        <w:t>не розпочинати розгляд справи</w:t>
      </w:r>
      <w:r w:rsidRPr="00A712B4">
        <w:rPr>
          <w:szCs w:val="28"/>
          <w:shd w:val="clear" w:color="auto" w:fill="FFFFFF"/>
        </w:rPr>
        <w:t xml:space="preserve"> за заявами суб’єктів господарювання, громадян, об’єднань, установ, організацій, поданнями органів державної влади, органів </w:t>
      </w:r>
      <w:r w:rsidRPr="00A712B4">
        <w:rPr>
          <w:szCs w:val="28"/>
          <w:shd w:val="clear" w:color="auto" w:fill="FFFFFF"/>
        </w:rPr>
        <w:lastRenderedPageBreak/>
        <w:t>місцевого самоврядування, органів адміністративно-</w:t>
      </w:r>
      <w:r w:rsidRPr="009C257D">
        <w:rPr>
          <w:szCs w:val="28"/>
          <w:shd w:val="clear" w:color="auto" w:fill="FFFFFF"/>
        </w:rPr>
        <w:t xml:space="preserve">господарського управління та контролю, </w:t>
      </w:r>
      <w:r w:rsidRPr="009C257D">
        <w:rPr>
          <w:i/>
          <w:szCs w:val="28"/>
          <w:shd w:val="clear" w:color="auto" w:fill="FFFFFF"/>
        </w:rPr>
        <w:t xml:space="preserve">якщо зазначені в заяві ознаки порушення законодавства про захист </w:t>
      </w:r>
      <w:r w:rsidRPr="00A712B4">
        <w:rPr>
          <w:i/>
          <w:szCs w:val="28"/>
          <w:shd w:val="clear" w:color="auto" w:fill="FFFFFF"/>
        </w:rPr>
        <w:t xml:space="preserve">економічної конкуренції не відповідають </w:t>
      </w:r>
      <w:r w:rsidRPr="00A712B4">
        <w:rPr>
          <w:i/>
          <w:szCs w:val="28"/>
          <w:u w:val="single"/>
          <w:shd w:val="clear" w:color="auto" w:fill="FFFFFF"/>
        </w:rPr>
        <w:t>встановленим АМКУ пріоритетам його діяльності</w:t>
      </w:r>
      <w:r w:rsidRPr="00A712B4">
        <w:rPr>
          <w:szCs w:val="28"/>
          <w:shd w:val="clear" w:color="auto" w:fill="FFFFFF"/>
        </w:rPr>
        <w:t>. Зазначимо, що Закон України «Про Антимонопольний комітет України» чітко не визначає пріоритети його діяльності, крім пріоритету захисту прав споживачів, згідно зі ст. 4 Закону, та положень ч. 4 ст. 20</w:t>
      </w:r>
      <w:r w:rsidRPr="00A712B4">
        <w:rPr>
          <w:szCs w:val="28"/>
          <w:shd w:val="clear" w:color="auto" w:fill="FFFFFF"/>
          <w:vertAlign w:val="superscript"/>
        </w:rPr>
        <w:t>1</w:t>
      </w:r>
      <w:r w:rsidRPr="00A712B4">
        <w:rPr>
          <w:szCs w:val="28"/>
          <w:shd w:val="clear" w:color="auto" w:fill="FFFFFF"/>
        </w:rPr>
        <w:t xml:space="preserve"> Закону, згідно з якою </w:t>
      </w:r>
      <w:bookmarkStart w:id="1" w:name="n386"/>
      <w:bookmarkEnd w:id="1"/>
      <w:r w:rsidRPr="00A712B4">
        <w:rPr>
          <w:rStyle w:val="rvts0"/>
          <w:i/>
        </w:rPr>
        <w:t xml:space="preserve">АМКУ розробляє та подає до Кабінету Міністрів України проекти актів щодо </w:t>
      </w:r>
      <w:bookmarkStart w:id="2" w:name="w1_4"/>
      <w:r w:rsidRPr="00A712B4">
        <w:rPr>
          <w:rStyle w:val="rvts0"/>
          <w:i/>
        </w:rPr>
        <w:fldChar w:fldCharType="begin"/>
      </w:r>
      <w:r w:rsidRPr="00A712B4">
        <w:rPr>
          <w:rStyle w:val="rvts0"/>
          <w:i/>
        </w:rPr>
        <w:instrText xml:space="preserve"> HYPERLINK "https://zakon.rada.gov.ua/laws/show/3659-12?find=1&amp;text=%D0%BF%D1%80%D1%96%D0%BE%D1%80%D0%B8%D1%82%D0%B5%D1%82" \l "w1_5" </w:instrText>
      </w:r>
      <w:r w:rsidRPr="00A712B4">
        <w:rPr>
          <w:rStyle w:val="rvts0"/>
          <w:i/>
        </w:rPr>
        <w:fldChar w:fldCharType="separate"/>
      </w:r>
      <w:r w:rsidRPr="00A712B4">
        <w:rPr>
          <w:rStyle w:val="ab"/>
          <w:i/>
          <w:color w:val="auto"/>
        </w:rPr>
        <w:t>пріоритет</w:t>
      </w:r>
      <w:r w:rsidRPr="00A712B4">
        <w:rPr>
          <w:rStyle w:val="rvts0"/>
          <w:i/>
        </w:rPr>
        <w:fldChar w:fldCharType="end"/>
      </w:r>
      <w:bookmarkEnd w:id="2"/>
      <w:r w:rsidRPr="00A712B4">
        <w:rPr>
          <w:rStyle w:val="rvts0"/>
          <w:i/>
        </w:rPr>
        <w:t>ів</w:t>
      </w:r>
      <w:r w:rsidRPr="00A712B4">
        <w:rPr>
          <w:rStyle w:val="rvts0"/>
        </w:rPr>
        <w:t xml:space="preserve"> і напрямів конкурентної політики на визначений період, узагальнює та аналізує інформацію про їх виконання. До того ж </w:t>
      </w:r>
      <w:r w:rsidRPr="00A712B4">
        <w:rPr>
          <w:rStyle w:val="rvts0"/>
          <w:bCs/>
        </w:rPr>
        <w:t>відсутність чітко визначених пріоритетів діяльності АМКУ створює ризики, в тому числі корупційного характеру, відмови у проведенні розслідування у випадках, коли було вчинено реальне порушення законодавства про економічну конкуренцію, але органи АМКУ вважатимуть, що воно відповідає пріоритетам діяльності АМКУ. З огляду на зазначене, вказані новели законопроекту потребують доопрацювання, зокрема, в частині встановлення запобіжників щодо можливого зловживання відповідними правами.</w:t>
      </w:r>
    </w:p>
    <w:p w:rsidR="00A712B4" w:rsidRDefault="00A712B4" w:rsidP="00A712B4">
      <w:pPr>
        <w:ind w:firstLine="709"/>
        <w:jc w:val="both"/>
        <w:rPr>
          <w:szCs w:val="28"/>
        </w:rPr>
      </w:pPr>
      <w:r w:rsidRPr="00A712B4">
        <w:rPr>
          <w:b/>
          <w:bCs/>
          <w:szCs w:val="28"/>
        </w:rPr>
        <w:t xml:space="preserve">3. </w:t>
      </w:r>
      <w:r w:rsidRPr="00A712B4">
        <w:rPr>
          <w:szCs w:val="28"/>
        </w:rPr>
        <w:t>У ч. 3 нової ст. 44</w:t>
      </w:r>
      <w:r w:rsidRPr="00A712B4">
        <w:rPr>
          <w:szCs w:val="28"/>
          <w:vertAlign w:val="superscript"/>
        </w:rPr>
        <w:t>1</w:t>
      </w:r>
      <w:r w:rsidRPr="00A712B4">
        <w:rPr>
          <w:szCs w:val="28"/>
        </w:rPr>
        <w:t xml:space="preserve"> Закону визначається, що «порядок проведення перевірок, у тому числі, зміст та форма розпорядження, передбачені частиною другою цієї статті Закону, затверджуються Антимонопольним комітетом України». Проте вважаємо, що з метою захисту інтересів осіб, щодо яких проводитиметься перевірка, засади її проведення</w:t>
      </w:r>
      <w:r>
        <w:rPr>
          <w:szCs w:val="28"/>
        </w:rPr>
        <w:t>, зокрема, права вказаних осіб мають бути визначені безпосередньо законом.</w:t>
      </w:r>
    </w:p>
    <w:p w:rsidR="00A712B4" w:rsidRPr="00A712B4" w:rsidRDefault="00A712B4" w:rsidP="00A712B4">
      <w:pPr>
        <w:ind w:firstLine="709"/>
        <w:jc w:val="both"/>
        <w:rPr>
          <w:strike/>
          <w:szCs w:val="28"/>
        </w:rPr>
      </w:pPr>
      <w:bookmarkStart w:id="3" w:name="_Hlk74687868"/>
      <w:r>
        <w:rPr>
          <w:b/>
          <w:bCs/>
          <w:szCs w:val="28"/>
        </w:rPr>
        <w:t>4</w:t>
      </w:r>
      <w:r w:rsidRPr="00365C34">
        <w:rPr>
          <w:b/>
          <w:bCs/>
          <w:szCs w:val="28"/>
        </w:rPr>
        <w:t>.</w:t>
      </w:r>
      <w:r>
        <w:rPr>
          <w:b/>
          <w:bCs/>
          <w:szCs w:val="28"/>
        </w:rPr>
        <w:t xml:space="preserve"> </w:t>
      </w:r>
      <w:r w:rsidRPr="00FD4DAE">
        <w:rPr>
          <w:szCs w:val="28"/>
        </w:rPr>
        <w:t>У ч. 1 новій ст. 46</w:t>
      </w:r>
      <w:r>
        <w:rPr>
          <w:szCs w:val="28"/>
          <w:vertAlign w:val="superscript"/>
        </w:rPr>
        <w:t>1</w:t>
      </w:r>
      <w:r w:rsidRPr="00FD4DAE">
        <w:rPr>
          <w:szCs w:val="28"/>
        </w:rPr>
        <w:t xml:space="preserve"> Закону визначається, що «до суб’єкта господарювання, який вчинив порушення законодавства про захист економічної </w:t>
      </w:r>
      <w:r w:rsidRPr="00A712B4">
        <w:rPr>
          <w:szCs w:val="28"/>
        </w:rPr>
        <w:t xml:space="preserve">конкуренції у вигляді </w:t>
      </w:r>
      <w:proofErr w:type="spellStart"/>
      <w:r w:rsidRPr="00A712B4">
        <w:rPr>
          <w:szCs w:val="28"/>
        </w:rPr>
        <w:t>антиконкурентних</w:t>
      </w:r>
      <w:proofErr w:type="spellEnd"/>
      <w:r w:rsidRPr="00A712B4">
        <w:rPr>
          <w:szCs w:val="28"/>
        </w:rPr>
        <w:t xml:space="preserve"> узгоджених дій або зловживання монопольним становищем, може застосовуватися процедура врегулювання у справі, крім суб’єкта господарювання, який звільняється від відповідальності відповідно до 52-1 цього Закону». Проте, на нашу думку, для забезпечення ефективності застосування відповідного законодавства було б доречним визначити випадки, коли процедура врегулювання не  застосовується. </w:t>
      </w:r>
    </w:p>
    <w:p w:rsidR="00A712B4" w:rsidRPr="00A712B4" w:rsidRDefault="00A712B4" w:rsidP="00A712B4">
      <w:pPr>
        <w:ind w:firstLine="709"/>
        <w:jc w:val="both"/>
        <w:rPr>
          <w:szCs w:val="28"/>
        </w:rPr>
      </w:pPr>
      <w:r w:rsidRPr="00A712B4">
        <w:rPr>
          <w:szCs w:val="28"/>
        </w:rPr>
        <w:t>Крім цього, у п. 5 новій ст. 52</w:t>
      </w:r>
      <w:r w:rsidRPr="00A712B4">
        <w:rPr>
          <w:szCs w:val="28"/>
          <w:vertAlign w:val="superscript"/>
        </w:rPr>
        <w:t>1</w:t>
      </w:r>
      <w:r w:rsidRPr="00A712B4">
        <w:rPr>
          <w:szCs w:val="28"/>
        </w:rPr>
        <w:t xml:space="preserve"> Закону було б доцільно передбачити неможливість звільнення від відповідальності осіб у випадках, коли їх протиправні дії завдали суттєву шкоду іншим особам. </w:t>
      </w:r>
    </w:p>
    <w:p w:rsidR="00A712B4" w:rsidRDefault="00A712B4" w:rsidP="00A712B4">
      <w:pPr>
        <w:ind w:firstLine="709"/>
        <w:jc w:val="both"/>
        <w:rPr>
          <w:szCs w:val="28"/>
        </w:rPr>
      </w:pPr>
      <w:r w:rsidRPr="00A712B4">
        <w:rPr>
          <w:b/>
          <w:bCs/>
          <w:szCs w:val="28"/>
        </w:rPr>
        <w:t>5.</w:t>
      </w:r>
      <w:r w:rsidRPr="00A712B4">
        <w:rPr>
          <w:szCs w:val="28"/>
        </w:rPr>
        <w:t xml:space="preserve"> У новій ч. 11 ст. 56 Закону зазначається, що у разі, «якщо стягнення з особи накладеного органами Антимонопольного комітету України штрафу є неможливим внаслідок </w:t>
      </w:r>
      <w:r w:rsidRPr="00A712B4">
        <w:rPr>
          <w:i/>
          <w:szCs w:val="28"/>
        </w:rPr>
        <w:t>припинення такої особи</w:t>
      </w:r>
      <w:r w:rsidRPr="00A712B4">
        <w:rPr>
          <w:szCs w:val="28"/>
        </w:rPr>
        <w:t>, доведення до банкрутства або недостатності майна в результаті дій його засновників (учасників, акціонерів), які мають право давати обов'язкові для</w:t>
      </w:r>
      <w:r w:rsidRPr="000D1B24">
        <w:rPr>
          <w:szCs w:val="28"/>
        </w:rPr>
        <w:t xml:space="preserve"> відповідача вказівки, правонаступники відповідача, засновники (учасники, акціонери), що входять до групи, яка визнається суб'єктом господарювання відповідно до статті 1 цього Закону і до якої на момент вчинення правопорушення входила особа, на яку органами Комітету було накладено штраф, </w:t>
      </w:r>
      <w:r w:rsidRPr="00841137">
        <w:rPr>
          <w:rStyle w:val="af"/>
          <w:iCs/>
        </w:rPr>
        <w:t>солідарно несуть субсидіарну відповідальність</w:t>
      </w:r>
      <w:r w:rsidRPr="000D1B24">
        <w:rPr>
          <w:szCs w:val="28"/>
        </w:rPr>
        <w:t xml:space="preserve"> щодо сплати накладеного органами Комітету штрафу».</w:t>
      </w:r>
      <w:r>
        <w:rPr>
          <w:szCs w:val="28"/>
        </w:rPr>
        <w:t xml:space="preserve"> На нашу думку, пропонована редакція потребує суттєвого доопрацювання. Адже застосування у редакції ч. 11 ст. 56 слів «припинення </w:t>
      </w:r>
      <w:r w:rsidRPr="007B1C98">
        <w:rPr>
          <w:szCs w:val="28"/>
        </w:rPr>
        <w:t>особи</w:t>
      </w:r>
      <w:r>
        <w:rPr>
          <w:szCs w:val="28"/>
        </w:rPr>
        <w:t xml:space="preserve">» не узгоджується з терміном </w:t>
      </w:r>
      <w:r>
        <w:rPr>
          <w:szCs w:val="28"/>
        </w:rPr>
        <w:lastRenderedPageBreak/>
        <w:t>«</w:t>
      </w:r>
      <w:r w:rsidRPr="00FC3276">
        <w:rPr>
          <w:szCs w:val="28"/>
        </w:rPr>
        <w:t>суб’єкт господарювання</w:t>
      </w:r>
      <w:r>
        <w:rPr>
          <w:szCs w:val="28"/>
        </w:rPr>
        <w:t>»</w:t>
      </w:r>
      <w:r w:rsidRPr="00FC3276">
        <w:rPr>
          <w:szCs w:val="28"/>
        </w:rPr>
        <w:t xml:space="preserve"> </w:t>
      </w:r>
      <w:r>
        <w:rPr>
          <w:szCs w:val="28"/>
        </w:rPr>
        <w:t xml:space="preserve">(ст. 1 цього Закону), під яким розуміється </w:t>
      </w:r>
      <w:r w:rsidRPr="0081784E">
        <w:rPr>
          <w:szCs w:val="28"/>
        </w:rPr>
        <w:t>юридична особа</w:t>
      </w:r>
      <w:r w:rsidRPr="00457829">
        <w:rPr>
          <w:szCs w:val="28"/>
        </w:rPr>
        <w:t xml:space="preserve"> </w:t>
      </w:r>
      <w:r w:rsidRPr="0081784E">
        <w:rPr>
          <w:szCs w:val="28"/>
        </w:rPr>
        <w:t xml:space="preserve">чи </w:t>
      </w:r>
      <w:r w:rsidRPr="00365C34">
        <w:rPr>
          <w:i/>
          <w:iCs/>
          <w:szCs w:val="28"/>
        </w:rPr>
        <w:t>фізична особа</w:t>
      </w:r>
      <w:r>
        <w:rPr>
          <w:szCs w:val="28"/>
        </w:rPr>
        <w:t xml:space="preserve">, а також </w:t>
      </w:r>
      <w:r w:rsidRPr="0081784E">
        <w:rPr>
          <w:szCs w:val="28"/>
        </w:rPr>
        <w:t>органи державної влади, органи місцевого самоврядування</w:t>
      </w:r>
      <w:r>
        <w:rPr>
          <w:szCs w:val="28"/>
        </w:rPr>
        <w:t xml:space="preserve"> й</w:t>
      </w:r>
      <w:r w:rsidRPr="0081784E">
        <w:rPr>
          <w:szCs w:val="28"/>
        </w:rPr>
        <w:t xml:space="preserve"> органи адміністративно-господарського управління</w:t>
      </w:r>
      <w:r>
        <w:rPr>
          <w:szCs w:val="28"/>
        </w:rPr>
        <w:t xml:space="preserve">. Вважаємо, що у пропонованій нормі фактично йдеться про три різні причини неможливості </w:t>
      </w:r>
      <w:r w:rsidRPr="000A0AB6">
        <w:rPr>
          <w:szCs w:val="28"/>
        </w:rPr>
        <w:t>стягнення накладеного органами А</w:t>
      </w:r>
      <w:r>
        <w:rPr>
          <w:szCs w:val="28"/>
        </w:rPr>
        <w:t>МКУ</w:t>
      </w:r>
      <w:r w:rsidRPr="000A0AB6">
        <w:rPr>
          <w:szCs w:val="28"/>
        </w:rPr>
        <w:t xml:space="preserve"> штрафу</w:t>
      </w:r>
      <w:r>
        <w:rPr>
          <w:szCs w:val="28"/>
        </w:rPr>
        <w:t xml:space="preserve"> – припинення суб’єкта господарювання, доведення його до банкрутства </w:t>
      </w:r>
      <w:r w:rsidRPr="0066237C">
        <w:rPr>
          <w:szCs w:val="28"/>
        </w:rPr>
        <w:t>в результаті дій його засновників (учасників, акціонерів), які мають право давати обов'язкові для відповідача вказівки</w:t>
      </w:r>
      <w:r>
        <w:rPr>
          <w:szCs w:val="28"/>
        </w:rPr>
        <w:t>,</w:t>
      </w:r>
      <w:r w:rsidRPr="0066237C">
        <w:rPr>
          <w:szCs w:val="28"/>
        </w:rPr>
        <w:t xml:space="preserve"> </w:t>
      </w:r>
      <w:r>
        <w:rPr>
          <w:szCs w:val="28"/>
        </w:rPr>
        <w:t xml:space="preserve">і </w:t>
      </w:r>
      <w:r w:rsidRPr="0066237C">
        <w:rPr>
          <w:szCs w:val="28"/>
        </w:rPr>
        <w:t>недостатн</w:t>
      </w:r>
      <w:r>
        <w:rPr>
          <w:szCs w:val="28"/>
        </w:rPr>
        <w:t>і</w:t>
      </w:r>
      <w:r w:rsidRPr="0066237C">
        <w:rPr>
          <w:szCs w:val="28"/>
        </w:rPr>
        <w:t>ст</w:t>
      </w:r>
      <w:r>
        <w:rPr>
          <w:szCs w:val="28"/>
        </w:rPr>
        <w:t>ь</w:t>
      </w:r>
      <w:r w:rsidRPr="0066237C">
        <w:rPr>
          <w:szCs w:val="28"/>
        </w:rPr>
        <w:t xml:space="preserve"> майна</w:t>
      </w:r>
      <w:r>
        <w:rPr>
          <w:szCs w:val="28"/>
        </w:rPr>
        <w:t xml:space="preserve"> </w:t>
      </w:r>
      <w:r w:rsidRPr="0066237C">
        <w:rPr>
          <w:szCs w:val="28"/>
        </w:rPr>
        <w:t xml:space="preserve"> в результаті дій його засновників (учасників, акціонерів), які мають право давати обов'язкові для відповідача вказівки</w:t>
      </w:r>
      <w:r>
        <w:rPr>
          <w:szCs w:val="28"/>
        </w:rPr>
        <w:t>, що має бути враховано при визначенні порядку виплати штрафу, зокрема, можливості застосування солідарної чи субсидіарної відповідальності, як вина конкретної особи у правопорушенні, за яке накладається штраф.</w:t>
      </w:r>
    </w:p>
    <w:p w:rsidR="00A712B4" w:rsidRPr="00A712B4" w:rsidRDefault="00A712B4" w:rsidP="00A712B4">
      <w:pPr>
        <w:ind w:firstLine="709"/>
        <w:jc w:val="both"/>
        <w:rPr>
          <w:szCs w:val="28"/>
        </w:rPr>
      </w:pPr>
      <w:r>
        <w:rPr>
          <w:szCs w:val="28"/>
        </w:rPr>
        <w:t xml:space="preserve">Крім цього, </w:t>
      </w:r>
      <w:r w:rsidRPr="007B1C98">
        <w:rPr>
          <w:szCs w:val="28"/>
        </w:rPr>
        <w:t>відповідно  до ст. 619 Цивільного кодексу України д</w:t>
      </w:r>
      <w:bookmarkStart w:id="4" w:name="n3083"/>
      <w:bookmarkEnd w:id="4"/>
      <w:r w:rsidRPr="007B1C98">
        <w:rPr>
          <w:szCs w:val="28"/>
        </w:rPr>
        <w:t xml:space="preserve">о пред'явлення </w:t>
      </w:r>
      <w:r w:rsidRPr="00A712B4">
        <w:rPr>
          <w:szCs w:val="28"/>
        </w:rPr>
        <w:t xml:space="preserve">вимоги особі, яка несе субсидіарну відповідальність, кредитор повинен пред'явити вимогу до основного боржника, а у проекті така особа не визначена. </w:t>
      </w:r>
    </w:p>
    <w:bookmarkEnd w:id="3"/>
    <w:p w:rsidR="00A712B4" w:rsidRPr="00BE0AA7" w:rsidRDefault="00A712B4" w:rsidP="00A712B4">
      <w:pPr>
        <w:ind w:firstLine="709"/>
        <w:jc w:val="both"/>
        <w:rPr>
          <w:szCs w:val="28"/>
        </w:rPr>
      </w:pPr>
      <w:r w:rsidRPr="00A712B4">
        <w:rPr>
          <w:b/>
          <w:bCs/>
          <w:szCs w:val="28"/>
        </w:rPr>
        <w:t>6.</w:t>
      </w:r>
      <w:r w:rsidRPr="00A712B4">
        <w:rPr>
          <w:szCs w:val="28"/>
        </w:rPr>
        <w:t xml:space="preserve"> Звертаємо увагу на те, що зменшення розміру відшкодування шкоди, «яка заподіяна порушеннями законодавства про захист економічної конкуренції, передбаченими пунктами 1, 2, 5, 10, 12, 18, 19 статті 50 цього Закону» з подвійного розміру завданої шкоди, до однократного (зміни до ст. 55 Закону) може негативно позначитися на ефективності захисту осіб, яким завдана відповідна шкода. Крім того, зауважимо, що чинна редакція відповідних положень, зокрема, переслідує превентивну мету, спрямовану на недопущення вчинення порушень.</w:t>
      </w:r>
      <w:r w:rsidRPr="00BE0AA7">
        <w:rPr>
          <w:szCs w:val="28"/>
        </w:rPr>
        <w:t xml:space="preserve"> </w:t>
      </w:r>
    </w:p>
    <w:p w:rsidR="00A712B4" w:rsidRDefault="00A712B4" w:rsidP="00A712B4">
      <w:pPr>
        <w:tabs>
          <w:tab w:val="left" w:pos="720"/>
        </w:tabs>
        <w:ind w:firstLine="709"/>
        <w:jc w:val="both"/>
        <w:rPr>
          <w:b/>
          <w:i/>
          <w:iCs/>
          <w:szCs w:val="28"/>
        </w:rPr>
      </w:pPr>
    </w:p>
    <w:p w:rsidR="00A712B4" w:rsidRPr="00DC7612" w:rsidRDefault="00A712B4" w:rsidP="00A712B4">
      <w:pPr>
        <w:tabs>
          <w:tab w:val="left" w:pos="720"/>
        </w:tabs>
        <w:ind w:firstLine="709"/>
        <w:jc w:val="both"/>
        <w:rPr>
          <w:b/>
          <w:i/>
          <w:iCs/>
          <w:szCs w:val="28"/>
        </w:rPr>
      </w:pPr>
      <w:r w:rsidRPr="00DC7612">
        <w:rPr>
          <w:b/>
          <w:i/>
          <w:iCs/>
          <w:szCs w:val="28"/>
        </w:rPr>
        <w:t xml:space="preserve">Щодо </w:t>
      </w:r>
      <w:r>
        <w:rPr>
          <w:b/>
          <w:i/>
          <w:iCs/>
          <w:szCs w:val="28"/>
        </w:rPr>
        <w:t xml:space="preserve">змін до </w:t>
      </w:r>
      <w:r w:rsidRPr="00DC7612">
        <w:rPr>
          <w:b/>
          <w:i/>
          <w:iCs/>
          <w:szCs w:val="28"/>
        </w:rPr>
        <w:t>ГПК</w:t>
      </w:r>
    </w:p>
    <w:p w:rsidR="00A712B4" w:rsidRPr="00B13926" w:rsidRDefault="00A712B4" w:rsidP="00A712B4">
      <w:pPr>
        <w:pStyle w:val="indent"/>
        <w:spacing w:before="0" w:beforeAutospacing="0" w:after="0" w:afterAutospacing="0"/>
        <w:ind w:firstLine="709"/>
        <w:jc w:val="both"/>
        <w:rPr>
          <w:bCs/>
          <w:sz w:val="28"/>
          <w:szCs w:val="28"/>
        </w:rPr>
      </w:pPr>
      <w:r w:rsidRPr="005C5DFB">
        <w:rPr>
          <w:b/>
          <w:bCs/>
          <w:sz w:val="28"/>
          <w:szCs w:val="28"/>
          <w:lang w:eastAsia="uk-UA"/>
        </w:rPr>
        <w:t>1.</w:t>
      </w:r>
      <w:r w:rsidRPr="005C5DFB">
        <w:rPr>
          <w:sz w:val="28"/>
          <w:szCs w:val="28"/>
          <w:lang w:eastAsia="uk-UA"/>
        </w:rPr>
        <w:t xml:space="preserve"> </w:t>
      </w:r>
      <w:r w:rsidRPr="005C5DFB">
        <w:rPr>
          <w:sz w:val="28"/>
          <w:szCs w:val="28"/>
        </w:rPr>
        <w:t>У проекті пропонується, що</w:t>
      </w:r>
      <w:r>
        <w:rPr>
          <w:sz w:val="28"/>
          <w:szCs w:val="28"/>
        </w:rPr>
        <w:t>б</w:t>
      </w:r>
      <w:r w:rsidRPr="005C5DFB">
        <w:rPr>
          <w:sz w:val="28"/>
          <w:szCs w:val="28"/>
        </w:rPr>
        <w:t xml:space="preserve"> клопотання АМКУ про надання дозволу на проведення перевірок, вилучення документів, предметів, інших носіїв інформації у місцях проживання та інших володіннях особи під час розгляду органами АМКУ справ про порушення законодавства про захист економічної конкуренції розгляда</w:t>
      </w:r>
      <w:r>
        <w:rPr>
          <w:sz w:val="28"/>
          <w:szCs w:val="28"/>
        </w:rPr>
        <w:t>ли</w:t>
      </w:r>
      <w:r w:rsidRPr="005C5DFB">
        <w:rPr>
          <w:sz w:val="28"/>
          <w:szCs w:val="28"/>
        </w:rPr>
        <w:t>ся у порядку сп</w:t>
      </w:r>
      <w:r>
        <w:rPr>
          <w:sz w:val="28"/>
          <w:szCs w:val="28"/>
        </w:rPr>
        <w:t xml:space="preserve">рощеного позовного провадження, причому </w:t>
      </w:r>
      <w:r w:rsidRPr="005C5DFB">
        <w:rPr>
          <w:bCs/>
          <w:sz w:val="28"/>
          <w:szCs w:val="28"/>
        </w:rPr>
        <w:t xml:space="preserve">протягом двох робочих днів з моменту надходження (ч. 2 </w:t>
      </w:r>
      <w:r>
        <w:rPr>
          <w:bCs/>
          <w:sz w:val="28"/>
          <w:szCs w:val="28"/>
        </w:rPr>
        <w:t xml:space="preserve">нової редакції </w:t>
      </w:r>
      <w:r w:rsidRPr="005C5DFB">
        <w:rPr>
          <w:bCs/>
          <w:sz w:val="28"/>
          <w:szCs w:val="28"/>
        </w:rPr>
        <w:t>ст. 248 ГПК).</w:t>
      </w:r>
      <w:r>
        <w:rPr>
          <w:bCs/>
          <w:sz w:val="28"/>
          <w:szCs w:val="28"/>
        </w:rPr>
        <w:t xml:space="preserve"> </w:t>
      </w:r>
      <w:r w:rsidRPr="005C5DFB">
        <w:rPr>
          <w:bCs/>
          <w:sz w:val="28"/>
          <w:szCs w:val="28"/>
        </w:rPr>
        <w:t>З</w:t>
      </w:r>
      <w:r>
        <w:rPr>
          <w:bCs/>
          <w:sz w:val="28"/>
          <w:szCs w:val="28"/>
        </w:rPr>
        <w:t xml:space="preserve">азначимо, що ця пропозиція виглядає дискусійною з огляду на те, що у такому порядку розглядаються перш за все </w:t>
      </w:r>
      <w:r w:rsidRPr="00E3794A">
        <w:rPr>
          <w:bCs/>
          <w:sz w:val="28"/>
          <w:szCs w:val="28"/>
        </w:rPr>
        <w:t>малозначні справи</w:t>
      </w:r>
      <w:r>
        <w:rPr>
          <w:bCs/>
          <w:sz w:val="28"/>
          <w:szCs w:val="28"/>
        </w:rPr>
        <w:t xml:space="preserve"> (ч. 1 ст. 247 ГПК), а також те, що запропонований у новій ст.252</w:t>
      </w:r>
      <w:r>
        <w:rPr>
          <w:bCs/>
          <w:sz w:val="28"/>
          <w:szCs w:val="28"/>
          <w:vertAlign w:val="superscript"/>
        </w:rPr>
        <w:t xml:space="preserve">1 </w:t>
      </w:r>
      <w:r>
        <w:rPr>
          <w:bCs/>
          <w:sz w:val="28"/>
          <w:szCs w:val="28"/>
        </w:rPr>
        <w:t xml:space="preserve">ГПК порядок </w:t>
      </w:r>
      <w:r w:rsidRPr="00B13926">
        <w:rPr>
          <w:bCs/>
          <w:sz w:val="28"/>
          <w:szCs w:val="28"/>
        </w:rPr>
        <w:t>розгляду справи у порядку спрощеного позовного провадження за клопотаннями А</w:t>
      </w:r>
      <w:r>
        <w:rPr>
          <w:bCs/>
          <w:sz w:val="28"/>
          <w:szCs w:val="28"/>
        </w:rPr>
        <w:t>МКУ</w:t>
      </w:r>
      <w:r w:rsidRPr="00B13926">
        <w:rPr>
          <w:bCs/>
          <w:sz w:val="28"/>
          <w:szCs w:val="28"/>
        </w:rPr>
        <w:t>, територіального відділення А</w:t>
      </w:r>
      <w:r>
        <w:rPr>
          <w:bCs/>
          <w:sz w:val="28"/>
          <w:szCs w:val="28"/>
        </w:rPr>
        <w:t>МКУ не відповідає загальному порядку проведення спрощеного позовного провадження.</w:t>
      </w:r>
    </w:p>
    <w:p w:rsidR="00A712B4" w:rsidRPr="00A712B4" w:rsidRDefault="00A712B4" w:rsidP="00A712B4">
      <w:pPr>
        <w:pStyle w:val="indent"/>
        <w:spacing w:before="0" w:beforeAutospacing="0" w:after="0" w:afterAutospacing="0"/>
        <w:ind w:firstLine="709"/>
        <w:jc w:val="both"/>
        <w:rPr>
          <w:bCs/>
          <w:sz w:val="28"/>
          <w:szCs w:val="28"/>
        </w:rPr>
      </w:pPr>
      <w:r>
        <w:rPr>
          <w:bCs/>
          <w:sz w:val="28"/>
          <w:szCs w:val="28"/>
        </w:rPr>
        <w:t>З</w:t>
      </w:r>
      <w:r w:rsidRPr="005C5DFB">
        <w:rPr>
          <w:bCs/>
          <w:sz w:val="28"/>
          <w:szCs w:val="28"/>
        </w:rPr>
        <w:t xml:space="preserve">ауважимо, </w:t>
      </w:r>
      <w:r w:rsidRPr="005C5DFB">
        <w:rPr>
          <w:sz w:val="28"/>
          <w:szCs w:val="28"/>
        </w:rPr>
        <w:t xml:space="preserve">що при </w:t>
      </w:r>
      <w:r>
        <w:rPr>
          <w:sz w:val="28"/>
          <w:szCs w:val="28"/>
        </w:rPr>
        <w:t xml:space="preserve">цьому </w:t>
      </w:r>
      <w:r w:rsidRPr="005C5DFB">
        <w:rPr>
          <w:sz w:val="28"/>
          <w:szCs w:val="28"/>
        </w:rPr>
        <w:t xml:space="preserve">не враховано </w:t>
      </w:r>
      <w:r w:rsidRPr="005C5DFB">
        <w:rPr>
          <w:bCs/>
          <w:sz w:val="28"/>
          <w:szCs w:val="28"/>
        </w:rPr>
        <w:t>загальних ст</w:t>
      </w:r>
      <w:r>
        <w:rPr>
          <w:bCs/>
          <w:sz w:val="28"/>
          <w:szCs w:val="28"/>
        </w:rPr>
        <w:t>р</w:t>
      </w:r>
      <w:r w:rsidRPr="005C5DFB">
        <w:rPr>
          <w:bCs/>
          <w:sz w:val="28"/>
          <w:szCs w:val="28"/>
        </w:rPr>
        <w:t>оків, які встановлені у ГПК для розгляду таких справ.</w:t>
      </w:r>
      <w:r w:rsidRPr="005C5DFB">
        <w:rPr>
          <w:sz w:val="28"/>
          <w:szCs w:val="28"/>
        </w:rPr>
        <w:t xml:space="preserve"> </w:t>
      </w:r>
      <w:r>
        <w:rPr>
          <w:sz w:val="28"/>
          <w:szCs w:val="28"/>
        </w:rPr>
        <w:t>Р</w:t>
      </w:r>
      <w:r w:rsidRPr="005C5DFB">
        <w:rPr>
          <w:sz w:val="28"/>
          <w:szCs w:val="28"/>
        </w:rPr>
        <w:t xml:space="preserve">озгляд справ у порядку спрощеного позовного провадження відбувається, зокрема, </w:t>
      </w:r>
      <w:r w:rsidRPr="005C5DFB">
        <w:rPr>
          <w:bCs/>
          <w:sz w:val="28"/>
          <w:szCs w:val="28"/>
        </w:rPr>
        <w:t xml:space="preserve">не більше шістдесяти днів з дня відкриття </w:t>
      </w:r>
      <w:r w:rsidRPr="00A712B4">
        <w:rPr>
          <w:bCs/>
          <w:sz w:val="28"/>
          <w:szCs w:val="28"/>
        </w:rPr>
        <w:t>провадження у справі (ст. 248 ГПК), передбачено можливість подання відзиву у строк 15 днів з дня вручення ухвали про відкриття провадження у справі (ст. 251 ГПК) та подання відповіді на відзив або заперечення протягом строків, встановлених судом в ухвалі  (ст. 251 ГПК).</w:t>
      </w:r>
    </w:p>
    <w:p w:rsidR="00A712B4" w:rsidRPr="00A712B4" w:rsidRDefault="00A712B4" w:rsidP="00A712B4">
      <w:pPr>
        <w:pStyle w:val="NoSpacing1"/>
        <w:ind w:firstLine="709"/>
        <w:jc w:val="both"/>
        <w:rPr>
          <w:rFonts w:ascii="Times New Roman" w:hAnsi="Times New Roman"/>
          <w:bCs/>
          <w:sz w:val="28"/>
          <w:szCs w:val="28"/>
        </w:rPr>
      </w:pPr>
      <w:r w:rsidRPr="00A712B4">
        <w:rPr>
          <w:rFonts w:ascii="Times New Roman" w:hAnsi="Times New Roman"/>
          <w:b/>
          <w:sz w:val="28"/>
          <w:szCs w:val="28"/>
        </w:rPr>
        <w:lastRenderedPageBreak/>
        <w:t xml:space="preserve">2. </w:t>
      </w:r>
      <w:r w:rsidRPr="00A712B4">
        <w:rPr>
          <w:rFonts w:ascii="Times New Roman" w:hAnsi="Times New Roman"/>
          <w:sz w:val="28"/>
          <w:szCs w:val="28"/>
        </w:rPr>
        <w:t>У</w:t>
      </w:r>
      <w:r w:rsidRPr="00A712B4">
        <w:rPr>
          <w:rFonts w:ascii="Times New Roman" w:hAnsi="Times New Roman"/>
          <w:b/>
          <w:sz w:val="28"/>
          <w:szCs w:val="28"/>
        </w:rPr>
        <w:t xml:space="preserve"> </w:t>
      </w:r>
      <w:r w:rsidRPr="00A712B4">
        <w:rPr>
          <w:rFonts w:ascii="Times New Roman" w:hAnsi="Times New Roman"/>
          <w:sz w:val="28"/>
          <w:szCs w:val="28"/>
        </w:rPr>
        <w:t>новій ч. 3 ст. 248 ГПК, та новій ст. 252</w:t>
      </w:r>
      <w:r w:rsidRPr="00A712B4">
        <w:rPr>
          <w:rFonts w:ascii="Times New Roman" w:hAnsi="Times New Roman"/>
          <w:sz w:val="28"/>
          <w:szCs w:val="28"/>
          <w:vertAlign w:val="superscript"/>
        </w:rPr>
        <w:t>2</w:t>
      </w:r>
      <w:r w:rsidRPr="00A712B4">
        <w:rPr>
          <w:rFonts w:ascii="Times New Roman" w:hAnsi="Times New Roman"/>
          <w:sz w:val="28"/>
          <w:szCs w:val="28"/>
        </w:rPr>
        <w:t xml:space="preserve"> ГПК передбачається затвердження господарським судом угоди про врегулювання справи. </w:t>
      </w:r>
      <w:r w:rsidRPr="00A712B4">
        <w:rPr>
          <w:rFonts w:ascii="Times New Roman" w:hAnsi="Times New Roman"/>
          <w:sz w:val="28"/>
          <w:szCs w:val="28"/>
          <w:lang w:eastAsia="ru-RU"/>
        </w:rPr>
        <w:t xml:space="preserve"> Проте  затвердження вказаних угод у порядку спрощеного позовного провадження також є сумнівним з підстав, зазначених у п. 1 зауважень до ГПК.</w:t>
      </w:r>
    </w:p>
    <w:p w:rsidR="00A712B4" w:rsidRPr="00A712B4" w:rsidRDefault="00A712B4" w:rsidP="00A712B4">
      <w:pPr>
        <w:ind w:firstLine="709"/>
        <w:jc w:val="both"/>
        <w:rPr>
          <w:szCs w:val="28"/>
        </w:rPr>
      </w:pPr>
    </w:p>
    <w:p w:rsidR="00A712B4" w:rsidRPr="00A712B4" w:rsidRDefault="00A712B4" w:rsidP="00A712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i/>
          <w:color w:val="000000"/>
          <w:szCs w:val="28"/>
        </w:rPr>
      </w:pPr>
      <w:r w:rsidRPr="00A712B4">
        <w:rPr>
          <w:b/>
          <w:bCs/>
          <w:i/>
          <w:color w:val="000000"/>
          <w:szCs w:val="28"/>
        </w:rPr>
        <w:t>Щодо змін до Закону України «Про нотаріат»</w:t>
      </w:r>
    </w:p>
    <w:p w:rsidR="00A712B4" w:rsidRPr="00A712B4" w:rsidRDefault="00A712B4" w:rsidP="00A712B4">
      <w:pPr>
        <w:tabs>
          <w:tab w:val="left" w:pos="720"/>
        </w:tabs>
        <w:ind w:firstLine="709"/>
        <w:jc w:val="both"/>
        <w:rPr>
          <w:color w:val="000000"/>
          <w:szCs w:val="28"/>
        </w:rPr>
      </w:pPr>
      <w:r w:rsidRPr="00A712B4">
        <w:rPr>
          <w:color w:val="000000"/>
          <w:szCs w:val="28"/>
        </w:rPr>
        <w:t xml:space="preserve">У новій ч. 9 ст. 8 Закону України «Про нотаріат» пропонується надати можливість отримання довідок, що містять нотаріальну таємницю, </w:t>
      </w:r>
      <w:r w:rsidRPr="00A712B4">
        <w:rPr>
          <w:szCs w:val="28"/>
        </w:rPr>
        <w:t xml:space="preserve">АМКУ або його територіальним відділенням. Зауважимо, що </w:t>
      </w:r>
      <w:r w:rsidRPr="00A712B4">
        <w:rPr>
          <w:color w:val="000000"/>
          <w:szCs w:val="28"/>
        </w:rPr>
        <w:t>порядок надання довідок про вчинені нотаріальні дії нотаріусом регламентується у ч. 8 ст. 8 названого Закону, а</w:t>
      </w:r>
      <w:r w:rsidRPr="00A712B4">
        <w:rPr>
          <w:color w:val="000000"/>
          <w:szCs w:val="28"/>
          <w:lang w:val="ru-RU"/>
        </w:rPr>
        <w:t xml:space="preserve">, </w:t>
      </w:r>
      <w:r w:rsidRPr="00A712B4">
        <w:rPr>
          <w:color w:val="000000"/>
          <w:szCs w:val="28"/>
        </w:rPr>
        <w:t>отже</w:t>
      </w:r>
      <w:r w:rsidRPr="00A712B4">
        <w:rPr>
          <w:color w:val="000000"/>
          <w:szCs w:val="28"/>
          <w:lang w:val="ru-RU"/>
        </w:rPr>
        <w:t>, н</w:t>
      </w:r>
      <w:proofErr w:type="spellStart"/>
      <w:r w:rsidRPr="00A712B4">
        <w:rPr>
          <w:color w:val="000000"/>
          <w:szCs w:val="28"/>
        </w:rPr>
        <w:t>ові</w:t>
      </w:r>
      <w:proofErr w:type="spellEnd"/>
      <w:r w:rsidRPr="00A712B4">
        <w:rPr>
          <w:color w:val="000000"/>
          <w:szCs w:val="28"/>
        </w:rPr>
        <w:t xml:space="preserve"> положення недоцільно виділяти як окрему частину.</w:t>
      </w:r>
    </w:p>
    <w:p w:rsidR="00A712B4" w:rsidRPr="00DC7612" w:rsidRDefault="00A712B4" w:rsidP="00A712B4">
      <w:pPr>
        <w:tabs>
          <w:tab w:val="left" w:pos="720"/>
        </w:tabs>
        <w:ind w:firstLine="709"/>
        <w:jc w:val="both"/>
        <w:rPr>
          <w:szCs w:val="28"/>
        </w:rPr>
      </w:pPr>
      <w:r w:rsidRPr="00A712B4">
        <w:rPr>
          <w:szCs w:val="28"/>
        </w:rPr>
        <w:t>Крім цього, у пропозиції не визначено форму подання такого запиту, зокрема те, що такий запит має подаватися у письмовій формі, як це зазначено у вищевказаній частині ст. 8 Закону України «Про нотаріат» «довідки про вчинені нотаріальні дії та інші документи надаються нотаріусом …. на обґрунтовану письмову вимогу суду, прокуратури, органів</w:t>
      </w:r>
      <w:r w:rsidRPr="00DC7612">
        <w:rPr>
          <w:szCs w:val="28"/>
        </w:rPr>
        <w:t>, що здійснюють оперативно-розшукову діяльність…», а також містити інші реквізити, зокрема, обґрунтованість, номер справи (кримінальної, цивільної, господарської) або номер виконавчого провадження, його реквізити, наявність гербової печатки органу, що подає запит тощо.</w:t>
      </w:r>
    </w:p>
    <w:p w:rsidR="00A712B4" w:rsidRDefault="00A712B4" w:rsidP="00A712B4">
      <w:pPr>
        <w:ind w:firstLine="709"/>
        <w:jc w:val="both"/>
        <w:rPr>
          <w:b/>
          <w:i/>
          <w:szCs w:val="28"/>
        </w:rPr>
      </w:pPr>
    </w:p>
    <w:p w:rsidR="00A712B4" w:rsidRDefault="00A712B4" w:rsidP="00A712B4">
      <w:pPr>
        <w:ind w:firstLine="709"/>
        <w:jc w:val="both"/>
        <w:rPr>
          <w:b/>
          <w:i/>
          <w:szCs w:val="28"/>
        </w:rPr>
      </w:pPr>
      <w:r w:rsidRPr="00032823">
        <w:rPr>
          <w:b/>
          <w:i/>
          <w:szCs w:val="28"/>
        </w:rPr>
        <w:t>Щодо змін до Закону України «Про Національну поліцію»</w:t>
      </w:r>
    </w:p>
    <w:p w:rsidR="00A712B4" w:rsidRPr="00032823" w:rsidRDefault="00A712B4" w:rsidP="00A712B4">
      <w:pPr>
        <w:ind w:firstLine="709"/>
        <w:jc w:val="both"/>
        <w:rPr>
          <w:bCs/>
          <w:szCs w:val="28"/>
        </w:rPr>
      </w:pPr>
      <w:r w:rsidRPr="00032823">
        <w:rPr>
          <w:bCs/>
          <w:szCs w:val="28"/>
        </w:rPr>
        <w:t>Дещо сумнівною, на наш погляд,</w:t>
      </w:r>
      <w:r>
        <w:rPr>
          <w:bCs/>
          <w:szCs w:val="28"/>
        </w:rPr>
        <w:t xml:space="preserve"> є</w:t>
      </w:r>
      <w:r w:rsidRPr="00032823">
        <w:rPr>
          <w:bCs/>
          <w:szCs w:val="28"/>
        </w:rPr>
        <w:t xml:space="preserve"> </w:t>
      </w:r>
      <w:r>
        <w:rPr>
          <w:bCs/>
          <w:szCs w:val="28"/>
        </w:rPr>
        <w:t xml:space="preserve">пропозиція </w:t>
      </w:r>
      <w:r w:rsidRPr="00032823">
        <w:rPr>
          <w:bCs/>
          <w:szCs w:val="28"/>
        </w:rPr>
        <w:t>законопроекту доповнити ст. 23 «Повноваження поліції» Закону України «Про Національну поліцію»</w:t>
      </w:r>
      <w:r>
        <w:rPr>
          <w:bCs/>
          <w:szCs w:val="28"/>
        </w:rPr>
        <w:t xml:space="preserve"> </w:t>
      </w:r>
      <w:r>
        <w:rPr>
          <w:bCs/>
          <w:szCs w:val="28"/>
        </w:rPr>
        <w:br/>
        <w:t xml:space="preserve">(далі – Закон) </w:t>
      </w:r>
      <w:r w:rsidRPr="00032823">
        <w:rPr>
          <w:bCs/>
          <w:szCs w:val="28"/>
        </w:rPr>
        <w:t xml:space="preserve">новим п. 31, </w:t>
      </w:r>
      <w:r>
        <w:rPr>
          <w:bCs/>
          <w:szCs w:val="28"/>
        </w:rPr>
        <w:t>у якому</w:t>
      </w:r>
      <w:r w:rsidRPr="00032823">
        <w:rPr>
          <w:bCs/>
          <w:szCs w:val="28"/>
        </w:rPr>
        <w:t xml:space="preserve"> передбачити, що </w:t>
      </w:r>
      <w:r>
        <w:rPr>
          <w:bCs/>
          <w:szCs w:val="28"/>
        </w:rPr>
        <w:t>п</w:t>
      </w:r>
      <w:r w:rsidRPr="00032823">
        <w:rPr>
          <w:bCs/>
          <w:szCs w:val="28"/>
        </w:rPr>
        <w:t>оліція відповідно до покладених на неї завдань «вживає заходів для належного проведення перевірки працівниками Антимонопольного комітету України, його територіального відділення, забезпечення публічної безпеки і порядку під час її проведення, розгляду справи про порушення законодавства про захист економічної конкуренції або вилучення доказів у справі, а також вживає заходів, спрямованих на усунення загроз життю та здоров’ю працівникам Антимонопольного комітету України, його територіального відділення та інших осіб, які беруть участь у зазначених вище діях.</w:t>
      </w:r>
    </w:p>
    <w:p w:rsidR="00A712B4" w:rsidRPr="00A712B4" w:rsidRDefault="00A712B4" w:rsidP="00A712B4">
      <w:pPr>
        <w:ind w:firstLine="709"/>
        <w:jc w:val="both"/>
        <w:rPr>
          <w:bCs/>
          <w:szCs w:val="28"/>
        </w:rPr>
      </w:pPr>
      <w:r w:rsidRPr="00032823">
        <w:rPr>
          <w:bCs/>
          <w:szCs w:val="28"/>
        </w:rPr>
        <w:t xml:space="preserve">Залучення для проведення працівниками Антимонопольного комітету України, його територіального відділення перевірки, розгляду справи про порушення законодавства про захист економічної конкуренції або вилучення доказів у справі здійснюється за відповідним зверненням, яке надсилається керівнику територіального органу поліції за місцем проведення відповідної дії. Відмова у залученні поліції для проведення зазначених дій допускається лише з підстав залучення особового складу даного територіального органу поліції до припинення групового порушення громадської безпеки і порядку чи масових </w:t>
      </w:r>
      <w:r w:rsidRPr="00A712B4">
        <w:rPr>
          <w:bCs/>
          <w:szCs w:val="28"/>
        </w:rPr>
        <w:t>заворушень, а також для подолання наслідків масштабних аварій чи інших масштабних надзвичайних ситуацій».</w:t>
      </w:r>
    </w:p>
    <w:p w:rsidR="00A712B4" w:rsidRPr="00032823" w:rsidRDefault="00A712B4" w:rsidP="00A712B4">
      <w:pPr>
        <w:ind w:firstLine="709"/>
        <w:jc w:val="both"/>
        <w:rPr>
          <w:bCs/>
          <w:szCs w:val="28"/>
        </w:rPr>
      </w:pPr>
      <w:r w:rsidRPr="00A712B4">
        <w:rPr>
          <w:bCs/>
          <w:szCs w:val="28"/>
        </w:rPr>
        <w:t xml:space="preserve">Така позиція Головного управління обумовлена тим, що закони – це державні нормативно-правові акти </w:t>
      </w:r>
      <w:r w:rsidRPr="00A712B4">
        <w:rPr>
          <w:bCs/>
          <w:i/>
          <w:iCs/>
          <w:szCs w:val="28"/>
        </w:rPr>
        <w:t xml:space="preserve">вищої юридичної сили, що регулюють </w:t>
      </w:r>
      <w:r w:rsidRPr="00A712B4">
        <w:rPr>
          <w:bCs/>
          <w:i/>
          <w:iCs/>
          <w:szCs w:val="28"/>
        </w:rPr>
        <w:lastRenderedPageBreak/>
        <w:t>найбільш важливі суспільні відносини</w:t>
      </w:r>
      <w:r w:rsidRPr="00A712B4">
        <w:rPr>
          <w:bCs/>
          <w:szCs w:val="28"/>
        </w:rPr>
        <w:t xml:space="preserve"> шляхом встановлення загальнообов’язкових правил поведінки суб’єктів цих відносин. Норми</w:t>
      </w:r>
      <w:r w:rsidRPr="00A712B4">
        <w:rPr>
          <w:bCs/>
          <w:szCs w:val="28"/>
          <w:lang w:val="ru-RU"/>
        </w:rPr>
        <w:t xml:space="preserve">, </w:t>
      </w:r>
      <w:r w:rsidRPr="00A712B4">
        <w:rPr>
          <w:bCs/>
          <w:szCs w:val="28"/>
        </w:rPr>
        <w:t xml:space="preserve">які містяться у </w:t>
      </w:r>
      <w:r w:rsidRPr="00A712B4">
        <w:rPr>
          <w:bCs/>
          <w:szCs w:val="28"/>
          <w:lang w:val="ru-RU"/>
        </w:rPr>
        <w:t>законах,</w:t>
      </w:r>
      <w:r w:rsidRPr="00A712B4">
        <w:rPr>
          <w:bCs/>
          <w:szCs w:val="28"/>
        </w:rPr>
        <w:t xml:space="preserve"> мають бути як можна більш універсальними. Їх завданнями є встановлення загальних правил, а не вирішення деяких проблем окремих правовідносин. Закони мають складний порядок внесення змін, що забезпечує в тому числі принцип сталості законодавства. Отже, окремі норми, мають бути побудовані таким чином, щоб доповнення закону однією нормою не тягнуло за собою доповнення його в подальшому цілою низкою нових норм. Тоді як, у випадку прийняття законопроекту, не виключено, що це може стати небезпечним прецедентом і ст. 23 Закону і надалі буде розширюватись за рахунок пунктів, які відрізнятимуться між собою лише назвою</w:t>
      </w:r>
      <w:r w:rsidRPr="00032823">
        <w:rPr>
          <w:bCs/>
          <w:szCs w:val="28"/>
        </w:rPr>
        <w:t xml:space="preserve"> державного органу, з яким взаємоді</w:t>
      </w:r>
      <w:r>
        <w:rPr>
          <w:bCs/>
          <w:szCs w:val="28"/>
        </w:rPr>
        <w:t>є</w:t>
      </w:r>
      <w:r w:rsidRPr="00032823">
        <w:rPr>
          <w:bCs/>
          <w:szCs w:val="28"/>
        </w:rPr>
        <w:t xml:space="preserve"> поліція з метою охорони  забезпечення публічної безпеки і порядку або охорони прав і свобод людини, а також інтересів суспільства і держави, або протидії злочинності.</w:t>
      </w:r>
    </w:p>
    <w:p w:rsidR="00A712B4" w:rsidRPr="00032823" w:rsidRDefault="00A712B4" w:rsidP="00A712B4">
      <w:pPr>
        <w:ind w:firstLine="709"/>
        <w:jc w:val="both"/>
        <w:rPr>
          <w:bCs/>
          <w:szCs w:val="28"/>
        </w:rPr>
      </w:pPr>
      <w:r>
        <w:rPr>
          <w:bCs/>
          <w:szCs w:val="28"/>
        </w:rPr>
        <w:t>Зокрема</w:t>
      </w:r>
      <w:r w:rsidRPr="00032823">
        <w:rPr>
          <w:bCs/>
          <w:szCs w:val="28"/>
        </w:rPr>
        <w:t xml:space="preserve">, основними завданнями поліції відповідно до ст.  </w:t>
      </w:r>
      <w:r w:rsidRPr="00BB563F">
        <w:rPr>
          <w:szCs w:val="28"/>
        </w:rPr>
        <w:t>2</w:t>
      </w:r>
      <w:r>
        <w:rPr>
          <w:bCs/>
          <w:szCs w:val="28"/>
        </w:rPr>
        <w:t xml:space="preserve"> </w:t>
      </w:r>
      <w:r w:rsidRPr="00032823">
        <w:rPr>
          <w:bCs/>
          <w:szCs w:val="28"/>
        </w:rPr>
        <w:t xml:space="preserve">Закону є надання поліцейських послуг у сферах: 1) забезпечення публічної безпеки і порядку; 2) охорони прав і свобод людини, а також інтересів суспільства і держави; 3) протидії злочинності. Поліція відповідно до покладених на неї завдань: здійснює превентивну та профілактичну діяльність, спрямовану на запобігання вчиненню правопорушень; виявляє причини та умови, що сприяють вчиненню кримінальних та адміністративних правопорушень, вживає у межах своєї компетенції заходів для їх усунення; вживає заходів з метою виявлення кримінальних, адміністративних правопорушень; припиняє виявлені кримінальні та адміністративні правопорушення; вживає заходів, спрямованих на усунення загроз життю та здоров’ю фізичних осіб і публічній безпеці, що виникли внаслідок учинення кримінального, адміністративного правопорушення; здійснює своєчасне реагування на заяви та повідомлення про кримінальні, </w:t>
      </w:r>
      <w:r w:rsidRPr="00A712B4">
        <w:rPr>
          <w:bCs/>
          <w:szCs w:val="28"/>
        </w:rPr>
        <w:t xml:space="preserve">адміністративні правопорушення або події (п. п. 1 – 5 ч. 1 ст. 23 Закону). Також відповідно до ст. 5 Закону поліція у процесі своєї діяльності </w:t>
      </w:r>
      <w:r w:rsidRPr="00A712B4">
        <w:rPr>
          <w:bCs/>
          <w:i/>
          <w:iCs/>
          <w:szCs w:val="28"/>
        </w:rPr>
        <w:t>взаємодіє з органами правопорядку та іншими органами державної влади, а також органами місцевого самоврядування</w:t>
      </w:r>
      <w:r w:rsidRPr="00A712B4">
        <w:rPr>
          <w:bCs/>
          <w:szCs w:val="28"/>
        </w:rPr>
        <w:t xml:space="preserve"> відповідно до закону та інших нормативно-правових актів. Таким чином, чинне законодавство містить </w:t>
      </w:r>
      <w:r w:rsidRPr="00A712B4">
        <w:rPr>
          <w:bCs/>
          <w:i/>
          <w:iCs/>
          <w:szCs w:val="28"/>
        </w:rPr>
        <w:t>всі необхідні умови для організації взаємодії органів Національної поліції та АМКУ</w:t>
      </w:r>
      <w:r w:rsidRPr="00A712B4">
        <w:rPr>
          <w:bCs/>
          <w:szCs w:val="28"/>
        </w:rPr>
        <w:t xml:space="preserve"> для забезпечення державного захисту конкуренції у підприємницькій діяльності та у сфері публічних </w:t>
      </w:r>
      <w:proofErr w:type="spellStart"/>
      <w:r w:rsidRPr="00A712B4">
        <w:rPr>
          <w:bCs/>
          <w:szCs w:val="28"/>
        </w:rPr>
        <w:t>закупівель</w:t>
      </w:r>
      <w:proofErr w:type="spellEnd"/>
      <w:r w:rsidRPr="00A712B4">
        <w:rPr>
          <w:bCs/>
          <w:szCs w:val="28"/>
        </w:rPr>
        <w:t>, а також забезпечення невідворотної відповідальності для порушників, без внесення пропонованих у законопроекті змін до Закону.</w:t>
      </w:r>
    </w:p>
    <w:p w:rsidR="00A712B4" w:rsidRDefault="00A712B4" w:rsidP="00A712B4">
      <w:pPr>
        <w:ind w:firstLine="709"/>
        <w:jc w:val="both"/>
        <w:rPr>
          <w:bCs/>
          <w:szCs w:val="28"/>
        </w:rPr>
      </w:pPr>
    </w:p>
    <w:p w:rsidR="00A712B4" w:rsidRPr="00946AAB" w:rsidRDefault="00A712B4" w:rsidP="00A712B4">
      <w:pPr>
        <w:ind w:firstLine="709"/>
      </w:pPr>
    </w:p>
    <w:p w:rsidR="00A712B4" w:rsidRPr="00946AAB" w:rsidRDefault="00A712B4" w:rsidP="00A712B4">
      <w:pPr>
        <w:ind w:firstLine="709"/>
        <w:jc w:val="both"/>
      </w:pPr>
      <w:r w:rsidRPr="00946AAB">
        <w:t xml:space="preserve">Керівник Головного управління                           </w:t>
      </w:r>
      <w:r>
        <w:t xml:space="preserve">             </w:t>
      </w:r>
      <w:r w:rsidRPr="00946AAB">
        <w:t xml:space="preserve">          С. Тихонюк</w:t>
      </w:r>
    </w:p>
    <w:p w:rsidR="00A712B4" w:rsidRDefault="00A712B4" w:rsidP="00A712B4">
      <w:pPr>
        <w:pStyle w:val="Igor"/>
      </w:pPr>
    </w:p>
    <w:p w:rsidR="00A712B4" w:rsidRPr="00696DBE" w:rsidRDefault="00A712B4" w:rsidP="00A712B4">
      <w:pPr>
        <w:pStyle w:val="Igor"/>
        <w:rPr>
          <w:sz w:val="20"/>
          <w:szCs w:val="20"/>
        </w:rPr>
      </w:pPr>
      <w:bookmarkStart w:id="5" w:name="_GoBack"/>
    </w:p>
    <w:p w:rsidR="00433E4F" w:rsidRPr="00696DBE" w:rsidRDefault="00A712B4" w:rsidP="00A712B4">
      <w:pPr>
        <w:pStyle w:val="Igor"/>
        <w:rPr>
          <w:sz w:val="20"/>
          <w:szCs w:val="20"/>
        </w:rPr>
      </w:pPr>
      <w:proofErr w:type="spellStart"/>
      <w:r w:rsidRPr="00696DBE">
        <w:rPr>
          <w:sz w:val="20"/>
          <w:szCs w:val="20"/>
        </w:rPr>
        <w:t>Вик</w:t>
      </w:r>
      <w:proofErr w:type="spellEnd"/>
      <w:r w:rsidRPr="00696DBE">
        <w:rPr>
          <w:sz w:val="20"/>
          <w:szCs w:val="20"/>
        </w:rPr>
        <w:t xml:space="preserve">.: Е. Вальковський, О. Куціпак, І. Бондур, Т. Ругаєва </w:t>
      </w:r>
      <w:bookmarkEnd w:id="5"/>
    </w:p>
    <w:sectPr w:rsidR="00433E4F" w:rsidRPr="00696DBE" w:rsidSect="00740E7C">
      <w:headerReference w:type="even" r:id="rId6"/>
      <w:headerReference w:type="default" r:id="rId7"/>
      <w:headerReference w:type="first" r:id="rId8"/>
      <w:footerReference w:type="first" r:id="rId9"/>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6D9" w:rsidRDefault="00F516D9" w:rsidP="00A712B4">
      <w:r>
        <w:separator/>
      </w:r>
    </w:p>
  </w:endnote>
  <w:endnote w:type="continuationSeparator" w:id="0">
    <w:p w:rsidR="00F516D9" w:rsidRDefault="00F516D9" w:rsidP="00A71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DC2" w:rsidRDefault="00F516D9">
    <w:pPr>
      <w:pStyle w:val="a9"/>
      <w:jc w:val="center"/>
    </w:pPr>
  </w:p>
  <w:p w:rsidR="003D7DC2" w:rsidRDefault="00F516D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6D9" w:rsidRDefault="00F516D9" w:rsidP="00A712B4">
      <w:r>
        <w:separator/>
      </w:r>
    </w:p>
  </w:footnote>
  <w:footnote w:type="continuationSeparator" w:id="0">
    <w:p w:rsidR="00F516D9" w:rsidRDefault="00F516D9" w:rsidP="00A712B4">
      <w:r>
        <w:continuationSeparator/>
      </w:r>
    </w:p>
  </w:footnote>
  <w:footnote w:id="1">
    <w:p w:rsidR="00A712B4" w:rsidRDefault="00A712B4" w:rsidP="00A712B4">
      <w:pPr>
        <w:pStyle w:val="ac"/>
        <w:ind w:firstLine="708"/>
        <w:jc w:val="both"/>
      </w:pPr>
      <w:r>
        <w:rPr>
          <w:rStyle w:val="ae"/>
        </w:rPr>
        <w:footnoteRef/>
      </w:r>
      <w:r>
        <w:t xml:space="preserve"> - </w:t>
      </w:r>
      <w:r w:rsidRPr="00C529B3">
        <w:t>Правила оформлення проектів законів та основні вимоги законодавчої техніки (Методичні рекомендації). Апарат Верховної Ради України.  Видання четверте, виправлене і доповнене. Київ – 2014. URL: https://zakon.rada.gov.ua/rada/show/n0002451-06#n30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DC2" w:rsidRDefault="00894466" w:rsidP="006F6771">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4</w:t>
    </w:r>
    <w:r>
      <w:rPr>
        <w:rStyle w:val="a8"/>
      </w:rPr>
      <w:fldChar w:fldCharType="end"/>
    </w:r>
  </w:p>
  <w:p w:rsidR="003D7DC2" w:rsidRDefault="00F516D9">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DC2" w:rsidRPr="00E3794A" w:rsidRDefault="00894466" w:rsidP="00B5053E">
    <w:pPr>
      <w:pStyle w:val="a4"/>
      <w:framePr w:wrap="around" w:vAnchor="text" w:hAnchor="margin" w:xAlign="center" w:y="1"/>
      <w:rPr>
        <w:rStyle w:val="a8"/>
        <w:sz w:val="20"/>
      </w:rPr>
    </w:pPr>
    <w:r w:rsidRPr="00E3794A">
      <w:rPr>
        <w:rStyle w:val="a8"/>
        <w:sz w:val="20"/>
      </w:rPr>
      <w:fldChar w:fldCharType="begin"/>
    </w:r>
    <w:r w:rsidRPr="00E3794A">
      <w:rPr>
        <w:rStyle w:val="a8"/>
        <w:sz w:val="20"/>
      </w:rPr>
      <w:instrText xml:space="preserve">PAGE  </w:instrText>
    </w:r>
    <w:r w:rsidRPr="00E3794A">
      <w:rPr>
        <w:rStyle w:val="a8"/>
        <w:sz w:val="20"/>
      </w:rPr>
      <w:fldChar w:fldCharType="separate"/>
    </w:r>
    <w:r w:rsidR="00696DBE">
      <w:rPr>
        <w:rStyle w:val="a8"/>
        <w:noProof/>
        <w:sz w:val="20"/>
      </w:rPr>
      <w:t>8</w:t>
    </w:r>
    <w:r w:rsidRPr="00E3794A">
      <w:rPr>
        <w:rStyle w:val="a8"/>
        <w:sz w:val="20"/>
      </w:rPr>
      <w:fldChar w:fldCharType="end"/>
    </w:r>
  </w:p>
  <w:p w:rsidR="003D7DC2" w:rsidRPr="00E3794A" w:rsidRDefault="00F516D9">
    <w:pPr>
      <w:pStyle w:val="a4"/>
      <w:rPr>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DC2" w:rsidRPr="00483B55" w:rsidRDefault="00894466" w:rsidP="00483B55">
    <w:pPr>
      <w:pStyle w:val="a4"/>
      <w:jc w:val="right"/>
      <w:rPr>
        <w:sz w:val="20"/>
      </w:rPr>
    </w:pPr>
    <w:r w:rsidRPr="00483B55">
      <w:rPr>
        <w:sz w:val="20"/>
      </w:rPr>
      <w:t xml:space="preserve">До реєстр. № </w:t>
    </w:r>
    <w:r>
      <w:rPr>
        <w:sz w:val="20"/>
      </w:rPr>
      <w:t>5431</w:t>
    </w:r>
    <w:r w:rsidRPr="00483B55">
      <w:rPr>
        <w:sz w:val="20"/>
        <w:lang w:val="ru-RU"/>
      </w:rPr>
      <w:t xml:space="preserve"> </w:t>
    </w:r>
    <w:r w:rsidRPr="00483B55">
      <w:rPr>
        <w:sz w:val="20"/>
      </w:rPr>
      <w:t xml:space="preserve">від </w:t>
    </w:r>
    <w:r>
      <w:rPr>
        <w:sz w:val="20"/>
      </w:rPr>
      <w:t>27</w:t>
    </w:r>
    <w:r w:rsidRPr="00483B55">
      <w:rPr>
        <w:sz w:val="20"/>
      </w:rPr>
      <w:t>.</w:t>
    </w:r>
    <w:r>
      <w:rPr>
        <w:sz w:val="20"/>
      </w:rPr>
      <w:t>0</w:t>
    </w:r>
    <w:r w:rsidRPr="000E35A5">
      <w:rPr>
        <w:sz w:val="20"/>
        <w:lang w:val="ru-RU"/>
      </w:rPr>
      <w:t>4</w:t>
    </w:r>
    <w:r w:rsidRPr="00483B55">
      <w:rPr>
        <w:sz w:val="20"/>
      </w:rPr>
      <w:t>.20</w:t>
    </w:r>
    <w:r>
      <w:rPr>
        <w:sz w:val="20"/>
      </w:rPr>
      <w:t>21</w:t>
    </w:r>
    <w:r w:rsidRPr="00483B55">
      <w:rPr>
        <w:sz w:val="20"/>
      </w:rPr>
      <w:t xml:space="preserve"> </w:t>
    </w:r>
  </w:p>
  <w:p w:rsidR="003D7DC2" w:rsidRPr="00483B55" w:rsidRDefault="00894466" w:rsidP="00483B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ind w:firstLine="567"/>
      <w:jc w:val="right"/>
      <w:rPr>
        <w:sz w:val="20"/>
        <w:szCs w:val="20"/>
      </w:rPr>
    </w:pPr>
    <w:r w:rsidRPr="00483B55">
      <w:rPr>
        <w:sz w:val="20"/>
        <w:szCs w:val="20"/>
      </w:rPr>
      <w:t xml:space="preserve">Народні депутати України </w:t>
    </w:r>
  </w:p>
  <w:p w:rsidR="003D7DC2" w:rsidRPr="003E0162" w:rsidRDefault="00894466" w:rsidP="00CE2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482"/>
        <w:tab w:val="left" w:pos="11624"/>
        <w:tab w:val="left" w:pos="11908"/>
        <w:tab w:val="left" w:pos="12824"/>
        <w:tab w:val="left" w:pos="13740"/>
        <w:tab w:val="left" w:pos="14656"/>
      </w:tabs>
      <w:ind w:firstLine="567"/>
      <w:jc w:val="right"/>
      <w:rPr>
        <w:sz w:val="24"/>
      </w:rPr>
    </w:pPr>
    <w:r>
      <w:rPr>
        <w:sz w:val="20"/>
        <w:szCs w:val="20"/>
      </w:rPr>
      <w:t>Р.</w:t>
    </w:r>
    <w:r>
      <w:rPr>
        <w:sz w:val="20"/>
        <w:szCs w:val="20"/>
        <w:lang w:val="en-US"/>
      </w:rPr>
      <w:t xml:space="preserve"> </w:t>
    </w:r>
    <w:r>
      <w:rPr>
        <w:sz w:val="20"/>
        <w:szCs w:val="20"/>
      </w:rPr>
      <w:t>Підласа</w:t>
    </w:r>
    <w:r w:rsidRPr="00483B55">
      <w:rPr>
        <w:sz w:val="20"/>
        <w:szCs w:val="20"/>
      </w:rPr>
      <w:t xml:space="preserve"> та </w:t>
    </w:r>
    <w:r>
      <w:rPr>
        <w:sz w:val="20"/>
        <w:szCs w:val="20"/>
      </w:rPr>
      <w:t>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2B4"/>
    <w:rsid w:val="00433E4F"/>
    <w:rsid w:val="00696DBE"/>
    <w:rsid w:val="00894466"/>
    <w:rsid w:val="00A375A4"/>
    <w:rsid w:val="00A712B4"/>
    <w:rsid w:val="00B71E8A"/>
    <w:rsid w:val="00BD4CB5"/>
    <w:rsid w:val="00E91772"/>
    <w:rsid w:val="00F516D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0D1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12B4"/>
    <w:pPr>
      <w:spacing w:after="0" w:line="240" w:lineRule="auto"/>
    </w:pPr>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Ігор"/>
    <w:basedOn w:val="a"/>
    <w:autoRedefine/>
    <w:rsid w:val="00A712B4"/>
    <w:pPr>
      <w:spacing w:before="120" w:after="120"/>
      <w:ind w:firstLine="709"/>
      <w:jc w:val="both"/>
    </w:pPr>
    <w:rPr>
      <w:szCs w:val="28"/>
    </w:rPr>
  </w:style>
  <w:style w:type="paragraph" w:customStyle="1" w:styleId="Igor">
    <w:name w:val="Igor"/>
    <w:basedOn w:val="a"/>
    <w:autoRedefine/>
    <w:rsid w:val="00A712B4"/>
    <w:pPr>
      <w:ind w:firstLine="709"/>
      <w:jc w:val="both"/>
    </w:pPr>
    <w:rPr>
      <w:sz w:val="22"/>
      <w:szCs w:val="22"/>
    </w:rPr>
  </w:style>
  <w:style w:type="paragraph" w:styleId="a4">
    <w:name w:val="header"/>
    <w:basedOn w:val="a"/>
    <w:link w:val="a5"/>
    <w:rsid w:val="00A712B4"/>
    <w:pPr>
      <w:tabs>
        <w:tab w:val="center" w:pos="4677"/>
        <w:tab w:val="right" w:pos="9355"/>
      </w:tabs>
    </w:pPr>
    <w:rPr>
      <w:sz w:val="24"/>
      <w:szCs w:val="20"/>
    </w:rPr>
  </w:style>
  <w:style w:type="character" w:customStyle="1" w:styleId="a5">
    <w:name w:val="Верхній колонтитул Знак"/>
    <w:basedOn w:val="a0"/>
    <w:link w:val="a4"/>
    <w:rsid w:val="00A712B4"/>
    <w:rPr>
      <w:rFonts w:eastAsia="Times New Roman" w:cs="Times New Roman"/>
      <w:sz w:val="24"/>
      <w:szCs w:val="20"/>
      <w:lang w:eastAsia="ru-RU"/>
    </w:rPr>
  </w:style>
  <w:style w:type="paragraph" w:styleId="a6">
    <w:name w:val="Body Text"/>
    <w:basedOn w:val="a"/>
    <w:link w:val="a7"/>
    <w:rsid w:val="00A712B4"/>
    <w:pPr>
      <w:autoSpaceDE w:val="0"/>
      <w:autoSpaceDN w:val="0"/>
      <w:adjustRightInd w:val="0"/>
      <w:jc w:val="both"/>
    </w:pPr>
    <w:rPr>
      <w:color w:val="000000"/>
      <w:szCs w:val="20"/>
    </w:rPr>
  </w:style>
  <w:style w:type="character" w:customStyle="1" w:styleId="a7">
    <w:name w:val="Основний текст Знак"/>
    <w:basedOn w:val="a0"/>
    <w:link w:val="a6"/>
    <w:rsid w:val="00A712B4"/>
    <w:rPr>
      <w:rFonts w:eastAsia="Times New Roman" w:cs="Times New Roman"/>
      <w:color w:val="000000"/>
      <w:szCs w:val="20"/>
      <w:lang w:eastAsia="ru-RU"/>
    </w:rPr>
  </w:style>
  <w:style w:type="character" w:styleId="a8">
    <w:name w:val="page number"/>
    <w:basedOn w:val="a0"/>
    <w:rsid w:val="00A712B4"/>
  </w:style>
  <w:style w:type="paragraph" w:styleId="a9">
    <w:name w:val="footer"/>
    <w:basedOn w:val="a"/>
    <w:link w:val="aa"/>
    <w:rsid w:val="00A712B4"/>
    <w:pPr>
      <w:tabs>
        <w:tab w:val="center" w:pos="4819"/>
        <w:tab w:val="right" w:pos="9639"/>
      </w:tabs>
    </w:pPr>
    <w:rPr>
      <w:sz w:val="24"/>
      <w:szCs w:val="20"/>
    </w:rPr>
  </w:style>
  <w:style w:type="character" w:customStyle="1" w:styleId="aa">
    <w:name w:val="Нижній колонтитул Знак"/>
    <w:basedOn w:val="a0"/>
    <w:link w:val="a9"/>
    <w:rsid w:val="00A712B4"/>
    <w:rPr>
      <w:rFonts w:eastAsia="Times New Roman" w:cs="Times New Roman"/>
      <w:sz w:val="24"/>
      <w:szCs w:val="20"/>
      <w:lang w:eastAsia="ru-RU"/>
    </w:rPr>
  </w:style>
  <w:style w:type="paragraph" w:customStyle="1" w:styleId="Nazva">
    <w:name w:val="Nazva"/>
    <w:basedOn w:val="a"/>
    <w:rsid w:val="00A712B4"/>
    <w:pPr>
      <w:jc w:val="center"/>
    </w:pPr>
    <w:rPr>
      <w:b/>
    </w:rPr>
  </w:style>
  <w:style w:type="character" w:customStyle="1" w:styleId="rvts0">
    <w:name w:val="rvts0"/>
    <w:rsid w:val="00A712B4"/>
  </w:style>
  <w:style w:type="character" w:styleId="ab">
    <w:name w:val="Hyperlink"/>
    <w:rsid w:val="00A712B4"/>
    <w:rPr>
      <w:color w:val="0000FF"/>
      <w:u w:val="single"/>
    </w:rPr>
  </w:style>
  <w:style w:type="paragraph" w:styleId="ac">
    <w:name w:val="footnote text"/>
    <w:basedOn w:val="a"/>
    <w:link w:val="ad"/>
    <w:semiHidden/>
    <w:rsid w:val="00A712B4"/>
    <w:rPr>
      <w:sz w:val="20"/>
      <w:szCs w:val="20"/>
    </w:rPr>
  </w:style>
  <w:style w:type="character" w:customStyle="1" w:styleId="ad">
    <w:name w:val="Текст виноски Знак"/>
    <w:basedOn w:val="a0"/>
    <w:link w:val="ac"/>
    <w:semiHidden/>
    <w:rsid w:val="00A712B4"/>
    <w:rPr>
      <w:rFonts w:eastAsia="Times New Roman" w:cs="Times New Roman"/>
      <w:sz w:val="20"/>
      <w:szCs w:val="20"/>
      <w:lang w:eastAsia="ru-RU"/>
    </w:rPr>
  </w:style>
  <w:style w:type="character" w:styleId="ae">
    <w:name w:val="footnote reference"/>
    <w:semiHidden/>
    <w:rsid w:val="00A712B4"/>
    <w:rPr>
      <w:vertAlign w:val="superscript"/>
    </w:rPr>
  </w:style>
  <w:style w:type="character" w:styleId="af">
    <w:name w:val="Emphasis"/>
    <w:qFormat/>
    <w:rsid w:val="00A712B4"/>
    <w:rPr>
      <w:i/>
    </w:rPr>
  </w:style>
  <w:style w:type="paragraph" w:customStyle="1" w:styleId="indent">
    <w:name w:val="indent"/>
    <w:basedOn w:val="a"/>
    <w:rsid w:val="00A712B4"/>
    <w:pPr>
      <w:spacing w:before="100" w:beforeAutospacing="1" w:after="100" w:afterAutospacing="1"/>
    </w:pPr>
    <w:rPr>
      <w:sz w:val="24"/>
    </w:rPr>
  </w:style>
  <w:style w:type="paragraph" w:customStyle="1" w:styleId="NoSpacing1">
    <w:name w:val="No Spacing1"/>
    <w:rsid w:val="00A712B4"/>
    <w:pPr>
      <w:spacing w:after="0" w:line="240" w:lineRule="auto"/>
    </w:pPr>
    <w:rPr>
      <w:rFonts w:ascii="Calibri" w:eastAsia="Times New Roman" w:hAnsi="Calibri" w:cs="Times New Roman"/>
      <w:sz w:val="22"/>
    </w:rPr>
  </w:style>
  <w:style w:type="character" w:customStyle="1" w:styleId="af0">
    <w:name w:val="Нормальний текст Знак"/>
    <w:link w:val="af1"/>
    <w:locked/>
    <w:rsid w:val="00A712B4"/>
    <w:rPr>
      <w:rFonts w:ascii="Antiqua" w:hAnsi="Antiqua"/>
      <w:sz w:val="26"/>
      <w:lang w:val="x-none" w:eastAsia="ru-RU"/>
    </w:rPr>
  </w:style>
  <w:style w:type="paragraph" w:customStyle="1" w:styleId="af1">
    <w:name w:val="Нормальний текст"/>
    <w:basedOn w:val="a"/>
    <w:link w:val="af0"/>
    <w:rsid w:val="00A712B4"/>
    <w:pPr>
      <w:spacing w:before="120"/>
      <w:ind w:firstLine="567"/>
      <w:jc w:val="both"/>
    </w:pPr>
    <w:rPr>
      <w:rFonts w:ascii="Antiqua" w:eastAsiaTheme="minorHAnsi" w:hAnsi="Antiqua" w:cstheme="minorHAnsi"/>
      <w:sz w:val="26"/>
      <w:szCs w:val="22"/>
      <w:lang w:val="x-none"/>
    </w:rPr>
  </w:style>
  <w:style w:type="paragraph" w:styleId="af2">
    <w:name w:val="Balloon Text"/>
    <w:basedOn w:val="a"/>
    <w:link w:val="af3"/>
    <w:uiPriority w:val="99"/>
    <w:semiHidden/>
    <w:unhideWhenUsed/>
    <w:rsid w:val="00E91772"/>
    <w:rPr>
      <w:rFonts w:ascii="Segoe UI" w:hAnsi="Segoe UI" w:cs="Segoe UI"/>
      <w:sz w:val="18"/>
      <w:szCs w:val="18"/>
    </w:rPr>
  </w:style>
  <w:style w:type="character" w:customStyle="1" w:styleId="af3">
    <w:name w:val="Текст у виносці Знак"/>
    <w:basedOn w:val="a0"/>
    <w:link w:val="af2"/>
    <w:uiPriority w:val="99"/>
    <w:semiHidden/>
    <w:rsid w:val="00E9177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15040</Words>
  <Characters>8573</Characters>
  <Application>Microsoft Office Word</Application>
  <DocSecurity>0</DocSecurity>
  <Lines>71</Lines>
  <Paragraphs>47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2021-06-16T09:12:00Z</dcterms:created>
  <dcterms:modified xsi:type="dcterms:W3CDTF">2021-06-16T09:14:00Z</dcterms:modified>
</cp:coreProperties>
</file>