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2"/>
          <w:szCs w:val="22"/>
          <w:lang w:val="uk-UA"/>
        </w:rPr>
      </w:pPr>
      <w:bookmarkStart w:id="0" w:name="_GoBack"/>
      <w:bookmarkEnd w:id="0"/>
    </w:p>
    <w:p w14:paraId="00000002" w14:textId="4D7DC131" w:rsidR="00FA2452" w:rsidRPr="00EF6B12" w:rsidRDefault="001B6367" w:rsidP="00DD116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  <w:lang w:val="uk-UA"/>
        </w:rPr>
      </w:pPr>
      <w:r w:rsidRPr="00EF6B12">
        <w:rPr>
          <w:b/>
          <w:sz w:val="28"/>
          <w:szCs w:val="28"/>
          <w:lang w:val="uk-UA"/>
        </w:rPr>
        <w:t>ПОЯСНЮВАЛЬНА ЗАПИСКА</w:t>
      </w:r>
    </w:p>
    <w:p w14:paraId="00000004" w14:textId="6F7226DA" w:rsidR="00FA2452" w:rsidRPr="00130F87" w:rsidRDefault="001B6367" w:rsidP="00130F87">
      <w:pPr>
        <w:ind w:firstLine="360"/>
        <w:jc w:val="center"/>
        <w:rPr>
          <w:b/>
          <w:bCs/>
          <w:sz w:val="28"/>
          <w:szCs w:val="28"/>
          <w:lang w:val="uk-UA"/>
        </w:rPr>
      </w:pPr>
      <w:r w:rsidRPr="00EF6B12">
        <w:rPr>
          <w:b/>
          <w:sz w:val="28"/>
          <w:szCs w:val="28"/>
          <w:lang w:val="uk-UA"/>
        </w:rPr>
        <w:t>до проекту Закону «</w:t>
      </w:r>
      <w:r w:rsidR="00EF6B12" w:rsidRPr="00EF6B12">
        <w:rPr>
          <w:b/>
          <w:bCs/>
          <w:sz w:val="28"/>
          <w:szCs w:val="28"/>
          <w:lang w:val="uk-UA"/>
        </w:rPr>
        <w:t>Про правові та організаційні засади громадського контролю та громадського діалогу в Україні</w:t>
      </w:r>
      <w:r w:rsidRPr="00EF6B12">
        <w:rPr>
          <w:b/>
          <w:sz w:val="28"/>
          <w:szCs w:val="28"/>
          <w:lang w:val="uk-UA"/>
        </w:rPr>
        <w:t>»</w:t>
      </w:r>
    </w:p>
    <w:p w14:paraId="00000005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  <w:lang w:val="uk-UA"/>
        </w:rPr>
      </w:pPr>
    </w:p>
    <w:p w14:paraId="14585BB8" w14:textId="77777777" w:rsidR="007B1358" w:rsidRPr="00EF6B12" w:rsidRDefault="007B1358" w:rsidP="007B1358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b/>
          <w:bCs/>
          <w:color w:val="000000"/>
          <w:spacing w:val="1"/>
          <w:sz w:val="28"/>
          <w:szCs w:val="28"/>
          <w:lang w:val="uk-UA"/>
        </w:rPr>
      </w:pPr>
      <w:r w:rsidRPr="00EF6B12">
        <w:rPr>
          <w:b/>
          <w:bCs/>
          <w:color w:val="000000"/>
          <w:spacing w:val="1"/>
          <w:sz w:val="28"/>
          <w:szCs w:val="28"/>
          <w:lang w:val="uk-UA"/>
        </w:rPr>
        <w:t>1. Обґрунтування необхідності прийняття акта</w:t>
      </w:r>
    </w:p>
    <w:p w14:paraId="00000007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4D96785F" w14:textId="58552E1B" w:rsidR="00DD1160" w:rsidRPr="00EF6B12" w:rsidRDefault="00DD1160" w:rsidP="00DD1160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Нещодавні події так званих Помаранчевої революції та Революції гідності продемонстрували активну участь сотень тисяч українців у відстоюванні власних прав і свобод проти наступу авторитаризму, зухвалості й ще більше закцентували увагу на необхідності проведення кардинальних політичних та соціально-економічних реформ, що приведуть Українську державу в обійми європейської спільноти. Суспільні перетворення, спричинені глобальними тенденціями і європейського, і світового розвитку, вимагають розроблення концептуальних засад оновленого правового осмислення громадського контролю і його ефективних організаційних форм на сучасному етапі державотворення України</w:t>
      </w:r>
      <w:r w:rsidR="00EF6B12">
        <w:rPr>
          <w:sz w:val="28"/>
          <w:szCs w:val="28"/>
          <w:lang w:val="uk-UA"/>
        </w:rPr>
        <w:t xml:space="preserve"> та проведення громадського ді</w:t>
      </w:r>
      <w:r w:rsidRPr="00EF6B12">
        <w:rPr>
          <w:sz w:val="28"/>
          <w:szCs w:val="28"/>
          <w:lang w:val="uk-UA"/>
        </w:rPr>
        <w:t>алогу. Тому існує зумовлена часом нагальна потреба в новітніх підходах до удосконалення функціонування громадського контролю, від якого великою мірою залежить стабільність функціонування суспільства, перспективи його демократичного, соціального та правого розвитку, що визначає значущість та актуальність вирішення цієї проблематики</w:t>
      </w:r>
      <w:r w:rsidRPr="00EF6B12">
        <w:rPr>
          <w:lang w:val="uk-UA"/>
        </w:rPr>
        <w:t>.</w:t>
      </w:r>
    </w:p>
    <w:p w14:paraId="00000008" w14:textId="71AE7A4B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 xml:space="preserve">Відповідно до статті 5 Конституції України єдиним джерелом влади в Україні є народ, який здійснює владу безпосередньо і через органи державної влади та органи місцевого самоврядування. </w:t>
      </w:r>
    </w:p>
    <w:p w14:paraId="00000009" w14:textId="77777777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Народ в установленому Конституцією та відповідними законами України порядку обирає Президента України, народних депутатів України, депутатів Верховної Ради Автономної Республіки Крим, місцевих рад, сільських, селищних та міських голів.</w:t>
      </w:r>
    </w:p>
    <w:p w14:paraId="0000000A" w14:textId="77777777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Зазначені органи та посадові особи відповідно до їх повноважень в подальшому згідно із законом формують виконавчу та судові гілки влади, а також призначають на посади та звільняють з посади посадових осіб органів місцевого самоврядування.</w:t>
      </w:r>
    </w:p>
    <w:p w14:paraId="0000000B" w14:textId="77777777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Цілком очевидно, що народ, тобто громадяни України, як єдине джерело влади, мають право здійснювати контроль за діяльністю органів влади, посадових і службових осіб, яких вони обирали безпосередньо, а також тих органів і осіб, що були обрані або призначені відповідно до Конституції і законів України.</w:t>
      </w:r>
    </w:p>
    <w:p w14:paraId="473B57D1" w14:textId="77777777" w:rsidR="00AD1C7B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Відсутність єдиного законодавчого акта, який би визначав механізм реалізації право народу контролювати діяльність усіх гілок влади, а також органів місцевого самоврядування, створює перешкоди для кожного громадянина вимагати від органів влади, їх посадових і службових осіб належного виконання Конституції і законів України, нерідко породжує на державному або регіональному рівні громадянські конфлікти і протистояння.</w:t>
      </w:r>
    </w:p>
    <w:p w14:paraId="0000000C" w14:textId="01A4C384" w:rsidR="00FA2452" w:rsidRPr="00EF6B12" w:rsidRDefault="00AD1C7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lastRenderedPageBreak/>
        <w:t>Сьогодні в Україні на сучасному етапі її державотворення, враховуючи суспільні реалії та динаміку змін, вибрано орієнтир на створення якісно продуктивної концепції і громадського контролю, що має відповідати принциповим засадам становлення та утвердження соціально-правової держави, якому відведена роль ефективного інструменту у виявленні, запобіганні та усуненні причин порушень прав і свобод громадян, оскільки він є засобом забезпеченні законності в діяльності органів державної влади та органів місцевого самоврядування, виступає свого роду соціально детермінованим механізмом підтримання соціальної рівноваги, сприяє розвитку позитивних соціальних змін у суспільстві. Отже, громадський контроль є одним із найважливіших та основоположних елементів розбудови європейського, демократичного, правового простору на теренах держави України.</w:t>
      </w:r>
      <w:r w:rsidR="001B6367" w:rsidRPr="00EF6B12">
        <w:rPr>
          <w:sz w:val="28"/>
          <w:szCs w:val="28"/>
          <w:lang w:val="uk-UA"/>
        </w:rPr>
        <w:t xml:space="preserve"> </w:t>
      </w:r>
    </w:p>
    <w:p w14:paraId="0000000D" w14:textId="77777777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 xml:space="preserve"> </w:t>
      </w:r>
    </w:p>
    <w:p w14:paraId="0000000E" w14:textId="1E825B94" w:rsidR="00FA2452" w:rsidRPr="00EF6B12" w:rsidRDefault="007B1358" w:rsidP="007B1358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b/>
          <w:bCs/>
          <w:spacing w:val="3"/>
          <w:sz w:val="28"/>
          <w:szCs w:val="28"/>
          <w:lang w:val="uk-UA"/>
        </w:rPr>
      </w:pPr>
      <w:r w:rsidRPr="00EF6B12">
        <w:rPr>
          <w:b/>
          <w:bCs/>
          <w:spacing w:val="3"/>
          <w:sz w:val="28"/>
          <w:szCs w:val="28"/>
          <w:lang w:val="uk-UA"/>
        </w:rPr>
        <w:t>2. Мета і шляхи її досягнення</w:t>
      </w:r>
    </w:p>
    <w:p w14:paraId="0000000F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5AAE28DB" w14:textId="3B4DE6CD" w:rsidR="00AD1C7B" w:rsidRPr="00EF6B12" w:rsidRDefault="00AD1C7B" w:rsidP="00AD1C7B">
      <w:pPr>
        <w:ind w:firstLine="720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>Проект закону визначає правові та організаційні засади здійснення громадського контролю за діяльністю органів влади, їх посадових і службових осіб щодо виконання ними вимог Конституції і законів України, міжнародних договорів України, згода на обов'язковість яких надана Верховною Радою України, інших актів законодавства, що визначають права і свободи людини і громадянина та механізм їх реалізації (далі - акти законодавства), і встановлює відповідальність цих органів, посадових і службових осіб, а також встановлює механізм здійснення громадського діалогу в Україні.</w:t>
      </w:r>
    </w:p>
    <w:p w14:paraId="00000014" w14:textId="140F505D" w:rsidR="00FA2452" w:rsidRPr="00EF6B12" w:rsidRDefault="00FA2452" w:rsidP="00AD1C7B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  <w:lang w:val="uk-UA"/>
        </w:rPr>
      </w:pPr>
    </w:p>
    <w:p w14:paraId="3FB53263" w14:textId="77777777" w:rsidR="007B1358" w:rsidRPr="00EF6B12" w:rsidRDefault="007B1358" w:rsidP="007B1358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EF6B12">
        <w:rPr>
          <w:b/>
          <w:bCs/>
          <w:color w:val="000000"/>
          <w:spacing w:val="1"/>
          <w:sz w:val="28"/>
          <w:szCs w:val="28"/>
          <w:lang w:val="uk-UA"/>
        </w:rPr>
        <w:t>3. Правові аспекти</w:t>
      </w:r>
    </w:p>
    <w:p w14:paraId="00000016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73993933" w14:textId="77777777" w:rsidR="007B1358" w:rsidRPr="00EF6B12" w:rsidRDefault="007B1358" w:rsidP="007B1358">
      <w:pPr>
        <w:ind w:firstLine="720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 xml:space="preserve">Правовою основою громадянського контролю та громадянського діалогу в Україні є Конституція України, цей Закон, закони України "Про політичні партії", "Про громадські об'єднання", "Про доступ до публічної інформації", "Про звернення громадян", "Про друковані засоби масової інформації (пресу) в Україні" та інші законодавчі актів, </w:t>
      </w:r>
      <w:r w:rsidRPr="00EF6B12">
        <w:rPr>
          <w:sz w:val="28"/>
          <w:szCs w:val="28"/>
          <w:shd w:val="solid" w:color="FFFFFF" w:fill="FFFFFF"/>
          <w:lang w:val="uk-UA"/>
        </w:rPr>
        <w:t>міжнародні договори, згода на обов’язковість яких надана Верховною Радою України,</w:t>
      </w:r>
      <w:r w:rsidRPr="00EF6B12">
        <w:rPr>
          <w:sz w:val="28"/>
          <w:szCs w:val="28"/>
          <w:lang w:val="uk-UA"/>
        </w:rPr>
        <w:t xml:space="preserve"> нормативно-правові акти, прийняті відповідно до цього Закону.</w:t>
      </w:r>
    </w:p>
    <w:p w14:paraId="00000022" w14:textId="56D6AA2F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</w:p>
    <w:p w14:paraId="00000023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sz w:val="28"/>
          <w:szCs w:val="28"/>
          <w:lang w:val="uk-UA"/>
        </w:rPr>
      </w:pPr>
    </w:p>
    <w:p w14:paraId="00000024" w14:textId="3A756358" w:rsidR="00FA2452" w:rsidRPr="00EF6B12" w:rsidRDefault="007B1358" w:rsidP="007B1358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z w:val="28"/>
          <w:szCs w:val="28"/>
          <w:lang w:val="uk-UA"/>
        </w:rPr>
      </w:pPr>
      <w:r w:rsidRPr="00EF6B12">
        <w:rPr>
          <w:b/>
          <w:bCs/>
          <w:color w:val="000000"/>
          <w:spacing w:val="1"/>
          <w:sz w:val="28"/>
          <w:szCs w:val="28"/>
          <w:lang w:val="uk-UA"/>
        </w:rPr>
        <w:t>4. Фінансово-економічне обґрунтування</w:t>
      </w:r>
    </w:p>
    <w:p w14:paraId="00000025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00000026" w14:textId="77777777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 xml:space="preserve">Реалізація закону у разі його прийняття не потребує додаткових видатків з державного та місцевих бюджетів. </w:t>
      </w:r>
    </w:p>
    <w:p w14:paraId="29BBD0C7" w14:textId="77777777" w:rsidR="007B1358" w:rsidRPr="00EF6B12" w:rsidRDefault="007B1358" w:rsidP="007B135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</w:p>
    <w:p w14:paraId="0000002A" w14:textId="254522F5" w:rsidR="00FA2452" w:rsidRPr="00EF6B12" w:rsidRDefault="007B1358" w:rsidP="007B135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b/>
          <w:bCs/>
          <w:color w:val="000000"/>
          <w:spacing w:val="2"/>
          <w:sz w:val="28"/>
          <w:szCs w:val="28"/>
          <w:lang w:val="uk-UA"/>
        </w:rPr>
      </w:pPr>
      <w:r w:rsidRPr="00EF6B12">
        <w:rPr>
          <w:b/>
          <w:bCs/>
          <w:color w:val="000000"/>
          <w:spacing w:val="2"/>
          <w:sz w:val="28"/>
          <w:szCs w:val="28"/>
          <w:lang w:val="uk-UA"/>
        </w:rPr>
        <w:t>5. Прогноз результатів</w:t>
      </w:r>
    </w:p>
    <w:p w14:paraId="685AE17A" w14:textId="77777777" w:rsidR="007B1358" w:rsidRPr="00EF6B12" w:rsidRDefault="007B1358" w:rsidP="007B1358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sz w:val="28"/>
          <w:szCs w:val="28"/>
          <w:lang w:val="uk-UA"/>
        </w:rPr>
      </w:pPr>
    </w:p>
    <w:p w14:paraId="0000002D" w14:textId="6F85234E" w:rsidR="00FA2452" w:rsidRPr="00EF6B12" w:rsidRDefault="001B6367" w:rsidP="001B2C73">
      <w:pPr>
        <w:pBdr>
          <w:top w:val="nil"/>
          <w:left w:val="nil"/>
          <w:bottom w:val="nil"/>
          <w:right w:val="nil"/>
          <w:between w:val="nil"/>
        </w:pBdr>
        <w:ind w:firstLine="360"/>
        <w:jc w:val="both"/>
        <w:rPr>
          <w:sz w:val="28"/>
          <w:szCs w:val="28"/>
          <w:lang w:val="uk-UA"/>
        </w:rPr>
      </w:pPr>
      <w:r w:rsidRPr="00EF6B12">
        <w:rPr>
          <w:sz w:val="28"/>
          <w:szCs w:val="28"/>
          <w:lang w:val="uk-UA"/>
        </w:rPr>
        <w:t xml:space="preserve">  </w:t>
      </w:r>
      <w:r w:rsidRPr="00EF6B12">
        <w:rPr>
          <w:sz w:val="28"/>
          <w:szCs w:val="28"/>
          <w:lang w:val="uk-UA"/>
        </w:rPr>
        <w:tab/>
      </w:r>
      <w:r w:rsidR="001B2C73" w:rsidRPr="00EF6B12">
        <w:rPr>
          <w:sz w:val="28"/>
          <w:szCs w:val="28"/>
          <w:lang w:val="uk-UA"/>
        </w:rPr>
        <w:t xml:space="preserve">Закон сприятиме реалізації конституційних прав громадян на владу та посилить </w:t>
      </w:r>
      <w:r w:rsidRPr="00EF6B12">
        <w:rPr>
          <w:sz w:val="28"/>
          <w:szCs w:val="28"/>
          <w:lang w:val="uk-UA"/>
        </w:rPr>
        <w:t xml:space="preserve">відповідальності органів влади, їх посадових і службових осіб за </w:t>
      </w:r>
      <w:r w:rsidRPr="00EF6B12">
        <w:rPr>
          <w:sz w:val="28"/>
          <w:szCs w:val="28"/>
          <w:lang w:val="uk-UA"/>
        </w:rPr>
        <w:lastRenderedPageBreak/>
        <w:t xml:space="preserve">результати своєї діяльності, </w:t>
      </w:r>
      <w:r w:rsidR="001B2C73" w:rsidRPr="00EF6B12">
        <w:rPr>
          <w:sz w:val="28"/>
          <w:szCs w:val="28"/>
          <w:lang w:val="uk-UA"/>
        </w:rPr>
        <w:t xml:space="preserve">що у свою чергу </w:t>
      </w:r>
      <w:r w:rsidRPr="00EF6B12">
        <w:rPr>
          <w:sz w:val="28"/>
          <w:szCs w:val="28"/>
          <w:lang w:val="uk-UA"/>
        </w:rPr>
        <w:t>відкриває можливості для формування прозорих засад взаємовідносин влади і суспільства, посиленню боротьби з корупцією та іншими зловживаннями.</w:t>
      </w:r>
      <w:r w:rsidR="001B2C73" w:rsidRPr="00EF6B12">
        <w:rPr>
          <w:sz w:val="28"/>
          <w:szCs w:val="28"/>
          <w:lang w:val="uk-UA"/>
        </w:rPr>
        <w:t xml:space="preserve">  </w:t>
      </w:r>
    </w:p>
    <w:p w14:paraId="0000002F" w14:textId="61A86A3C" w:rsidR="00FA2452" w:rsidRPr="00EF6B12" w:rsidRDefault="00FA2452" w:rsidP="001B2C73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8"/>
          <w:szCs w:val="28"/>
          <w:lang w:val="uk-UA"/>
        </w:rPr>
      </w:pPr>
    </w:p>
    <w:p w14:paraId="00000030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ind w:firstLine="540"/>
        <w:jc w:val="both"/>
        <w:rPr>
          <w:sz w:val="28"/>
          <w:szCs w:val="28"/>
          <w:lang w:val="uk-UA"/>
        </w:rPr>
      </w:pPr>
    </w:p>
    <w:p w14:paraId="00000031" w14:textId="40247313" w:rsidR="00FA2452" w:rsidRPr="00EF6B12" w:rsidRDefault="001B6367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  <w:r w:rsidRPr="00EF6B12">
        <w:rPr>
          <w:b/>
          <w:sz w:val="28"/>
          <w:szCs w:val="28"/>
          <w:lang w:val="uk-UA"/>
        </w:rPr>
        <w:t xml:space="preserve">Народний депутат України    </w:t>
      </w:r>
      <w:r w:rsidR="00DD1160" w:rsidRPr="00EF6B12">
        <w:rPr>
          <w:b/>
          <w:sz w:val="28"/>
          <w:szCs w:val="28"/>
          <w:lang w:val="uk-UA"/>
        </w:rPr>
        <w:t xml:space="preserve">    </w:t>
      </w:r>
      <w:r w:rsidR="00EF6B12">
        <w:rPr>
          <w:b/>
          <w:sz w:val="28"/>
          <w:szCs w:val="28"/>
          <w:lang w:val="uk-UA"/>
        </w:rPr>
        <w:t xml:space="preserve"> </w:t>
      </w:r>
      <w:r w:rsidR="00EF6B12">
        <w:rPr>
          <w:b/>
          <w:sz w:val="28"/>
          <w:szCs w:val="28"/>
          <w:lang w:val="uk-UA"/>
        </w:rPr>
        <w:tab/>
      </w:r>
      <w:r w:rsidR="00EF6B12">
        <w:rPr>
          <w:b/>
          <w:sz w:val="28"/>
          <w:szCs w:val="28"/>
          <w:lang w:val="uk-UA"/>
        </w:rPr>
        <w:tab/>
      </w:r>
      <w:r w:rsidR="00EF6B12">
        <w:rPr>
          <w:b/>
          <w:sz w:val="28"/>
          <w:szCs w:val="28"/>
          <w:lang w:val="uk-UA"/>
        </w:rPr>
        <w:tab/>
      </w:r>
      <w:r w:rsidR="00EF6B12">
        <w:rPr>
          <w:b/>
          <w:sz w:val="28"/>
          <w:szCs w:val="28"/>
          <w:lang w:val="uk-UA"/>
        </w:rPr>
        <w:tab/>
      </w:r>
      <w:r w:rsidR="00EF6B12">
        <w:rPr>
          <w:b/>
          <w:sz w:val="28"/>
          <w:szCs w:val="28"/>
          <w:lang w:val="uk-UA"/>
        </w:rPr>
        <w:tab/>
        <w:t>Г.М. Третьякова</w:t>
      </w:r>
      <w:r w:rsidR="00DD1160" w:rsidRPr="00EF6B12">
        <w:rPr>
          <w:b/>
          <w:sz w:val="28"/>
          <w:szCs w:val="28"/>
          <w:lang w:val="uk-UA"/>
        </w:rPr>
        <w:t xml:space="preserve">    </w:t>
      </w:r>
      <w:r w:rsidR="00DD1160" w:rsidRPr="00EF6B12">
        <w:rPr>
          <w:b/>
          <w:sz w:val="28"/>
          <w:szCs w:val="28"/>
          <w:lang w:val="uk-UA"/>
        </w:rPr>
        <w:tab/>
      </w:r>
      <w:r w:rsidR="00DD1160" w:rsidRPr="00EF6B12">
        <w:rPr>
          <w:b/>
          <w:sz w:val="28"/>
          <w:szCs w:val="28"/>
          <w:lang w:val="uk-UA"/>
        </w:rPr>
        <w:tab/>
      </w:r>
      <w:r w:rsidR="00DD1160" w:rsidRPr="00EF6B12">
        <w:rPr>
          <w:b/>
          <w:sz w:val="28"/>
          <w:szCs w:val="28"/>
          <w:lang w:val="uk-UA"/>
        </w:rPr>
        <w:tab/>
      </w:r>
      <w:r w:rsidR="00DD1160" w:rsidRPr="00EF6B12">
        <w:rPr>
          <w:b/>
          <w:sz w:val="28"/>
          <w:szCs w:val="28"/>
          <w:lang w:val="uk-UA"/>
        </w:rPr>
        <w:tab/>
        <w:t xml:space="preserve">       </w:t>
      </w:r>
      <w:r w:rsidRPr="00EF6B12">
        <w:rPr>
          <w:b/>
          <w:sz w:val="28"/>
          <w:szCs w:val="28"/>
          <w:lang w:val="uk-UA"/>
        </w:rPr>
        <w:t xml:space="preserve">                                </w:t>
      </w:r>
    </w:p>
    <w:p w14:paraId="00000032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00000033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00000034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p w14:paraId="00000035" w14:textId="77777777" w:rsidR="00FA2452" w:rsidRPr="00EF6B12" w:rsidRDefault="00FA2452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sz w:val="28"/>
          <w:szCs w:val="28"/>
          <w:lang w:val="uk-UA"/>
        </w:rPr>
      </w:pPr>
    </w:p>
    <w:sectPr w:rsidR="00FA2452" w:rsidRPr="00EF6B12" w:rsidSect="00EF6B12">
      <w:headerReference w:type="default" r:id="rId10"/>
      <w:pgSz w:w="11906" w:h="16838"/>
      <w:pgMar w:top="1134" w:right="850" w:bottom="1134" w:left="1701" w:header="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811EB" w14:textId="77777777" w:rsidR="00E90F77" w:rsidRDefault="00E90F77">
      <w:r>
        <w:separator/>
      </w:r>
    </w:p>
  </w:endnote>
  <w:endnote w:type="continuationSeparator" w:id="0">
    <w:p w14:paraId="1AD96F59" w14:textId="77777777" w:rsidR="00E90F77" w:rsidRDefault="00E90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5F149" w14:textId="77777777" w:rsidR="00E90F77" w:rsidRDefault="00E90F77">
      <w:r>
        <w:separator/>
      </w:r>
    </w:p>
  </w:footnote>
  <w:footnote w:type="continuationSeparator" w:id="0">
    <w:p w14:paraId="439229DE" w14:textId="77777777" w:rsidR="00E90F77" w:rsidRDefault="00E90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6326904"/>
      <w:docPartObj>
        <w:docPartGallery w:val="Page Numbers (Top of Page)"/>
        <w:docPartUnique/>
      </w:docPartObj>
    </w:sdtPr>
    <w:sdtEndPr/>
    <w:sdtContent>
      <w:p w14:paraId="10347877" w14:textId="0BE53FC7" w:rsidR="00EF6B12" w:rsidRDefault="00EF6B1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6D63" w:rsidRPr="006A6D63">
          <w:rPr>
            <w:noProof/>
            <w:lang w:val="uk-UA"/>
          </w:rPr>
          <w:t>3</w:t>
        </w:r>
        <w:r>
          <w:fldChar w:fldCharType="end"/>
        </w:r>
      </w:p>
    </w:sdtContent>
  </w:sdt>
  <w:p w14:paraId="00000037" w14:textId="77777777" w:rsidR="00FA2452" w:rsidRDefault="00FA245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E2C"/>
    <w:multiLevelType w:val="multilevel"/>
    <w:tmpl w:val="8144B6FA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452"/>
    <w:rsid w:val="00130F87"/>
    <w:rsid w:val="001B2C73"/>
    <w:rsid w:val="001B6367"/>
    <w:rsid w:val="006A6D63"/>
    <w:rsid w:val="007B1358"/>
    <w:rsid w:val="009951FC"/>
    <w:rsid w:val="00AA7035"/>
    <w:rsid w:val="00AD1C7B"/>
    <w:rsid w:val="00DD1160"/>
    <w:rsid w:val="00E90F77"/>
    <w:rsid w:val="00EF6B12"/>
    <w:rsid w:val="00FA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5396"/>
  <w15:docId w15:val="{3E9217CB-392D-46CA-8735-E7C59E0F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header"/>
    <w:basedOn w:val="a"/>
    <w:link w:val="a6"/>
    <w:uiPriority w:val="99"/>
    <w:unhideWhenUsed/>
    <w:rsid w:val="00AD1C7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D1C7B"/>
  </w:style>
  <w:style w:type="paragraph" w:styleId="a7">
    <w:name w:val="footer"/>
    <w:basedOn w:val="a"/>
    <w:link w:val="a8"/>
    <w:uiPriority w:val="99"/>
    <w:unhideWhenUsed/>
    <w:rsid w:val="00AD1C7B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D1C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3187F4-E4BB-4533-8A7B-A421075CA7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C3F9A3-33E1-46DF-8BC4-8000890AF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4FEA9C-5EC7-406F-B132-E7CF0B49657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3276</Words>
  <Characters>1868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2021-04-30T11:32:00Z</dcterms:created>
  <dcterms:modified xsi:type="dcterms:W3CDTF">2021-04-30T11:32:00Z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