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C14" w:rsidRPr="00B71C14" w:rsidRDefault="00B71C14" w:rsidP="00DC056D">
      <w:pPr>
        <w:spacing w:line="240" w:lineRule="auto"/>
        <w:jc w:val="both"/>
        <w:rPr>
          <w:rFonts w:ascii="Times New Roman" w:hAnsi="Times New Roman"/>
          <w:sz w:val="28"/>
          <w:szCs w:val="28"/>
          <w:lang w:val="uk-UA"/>
        </w:rPr>
      </w:pPr>
      <w:bookmarkStart w:id="0" w:name="_GoBack"/>
      <w:bookmarkEnd w:id="0"/>
    </w:p>
    <w:p w:rsidR="00165B56" w:rsidRPr="00DE4B85" w:rsidRDefault="00165B56" w:rsidP="00165B56">
      <w:pPr>
        <w:spacing w:line="240" w:lineRule="auto"/>
        <w:ind w:left="5664"/>
        <w:jc w:val="both"/>
        <w:rPr>
          <w:rFonts w:ascii="Times New Roman" w:hAnsi="Times New Roman"/>
          <w:sz w:val="28"/>
          <w:szCs w:val="28"/>
          <w:lang w:val="uk-UA"/>
        </w:rPr>
      </w:pPr>
      <w:r w:rsidRPr="00DE4B85">
        <w:rPr>
          <w:rFonts w:ascii="Times New Roman" w:hAnsi="Times New Roman"/>
          <w:sz w:val="28"/>
          <w:szCs w:val="28"/>
          <w:lang w:val="uk-UA"/>
        </w:rPr>
        <w:t xml:space="preserve">ВЕРХОВНА РАДА УКРАЇНИ </w:t>
      </w:r>
    </w:p>
    <w:p w:rsidR="00165B56" w:rsidRPr="00DE4B85" w:rsidRDefault="00165B56" w:rsidP="002F4068">
      <w:pPr>
        <w:spacing w:line="240" w:lineRule="auto"/>
        <w:jc w:val="both"/>
        <w:rPr>
          <w:rFonts w:ascii="Times New Roman" w:hAnsi="Times New Roman"/>
          <w:sz w:val="28"/>
          <w:szCs w:val="28"/>
          <w:lang w:val="uk-UA"/>
        </w:rPr>
      </w:pPr>
    </w:p>
    <w:p w:rsidR="00083B7D" w:rsidRDefault="009B3078" w:rsidP="002F4068">
      <w:pPr>
        <w:pStyle w:val="2"/>
        <w:spacing w:line="276" w:lineRule="auto"/>
        <w:ind w:left="0" w:firstLine="567"/>
        <w:jc w:val="both"/>
        <w:rPr>
          <w:rFonts w:ascii="Times New Roman" w:eastAsia="SimSun" w:hAnsi="Times New Roman"/>
          <w:sz w:val="28"/>
          <w:szCs w:val="28"/>
          <w:lang w:val="uk-UA" w:eastAsia="uk-UA"/>
        </w:rPr>
      </w:pPr>
      <w:r w:rsidRPr="00411ED4">
        <w:rPr>
          <w:rFonts w:ascii="Times New Roman" w:hAnsi="Times New Roman"/>
          <w:sz w:val="28"/>
          <w:szCs w:val="28"/>
          <w:lang w:val="uk-UA"/>
        </w:rPr>
        <w:t>Відповідно до статті 16 Закону України «Про комітети Верховної Ради України»</w:t>
      </w:r>
      <w:r w:rsidR="005C6918" w:rsidRPr="00411ED4">
        <w:rPr>
          <w:rFonts w:ascii="Times New Roman" w:hAnsi="Times New Roman"/>
          <w:sz w:val="28"/>
          <w:szCs w:val="28"/>
          <w:lang w:val="uk-UA"/>
        </w:rPr>
        <w:t xml:space="preserve"> </w:t>
      </w:r>
      <w:r w:rsidR="00165B56" w:rsidRPr="00411ED4">
        <w:rPr>
          <w:rFonts w:ascii="Times New Roman" w:hAnsi="Times New Roman"/>
          <w:sz w:val="28"/>
          <w:szCs w:val="28"/>
          <w:lang w:val="uk-UA"/>
        </w:rPr>
        <w:t xml:space="preserve">Комітет з питань соціальної політики та захисту прав ветеранів </w:t>
      </w:r>
      <w:r w:rsidR="00E46AAA" w:rsidRPr="00411ED4">
        <w:rPr>
          <w:rFonts w:ascii="Times New Roman" w:hAnsi="Times New Roman"/>
          <w:sz w:val="28"/>
          <w:szCs w:val="28"/>
          <w:lang w:val="uk-UA"/>
        </w:rPr>
        <w:t xml:space="preserve">на своєму засіданні </w:t>
      </w:r>
      <w:r w:rsidR="005C6918" w:rsidRPr="00411ED4">
        <w:rPr>
          <w:rFonts w:ascii="Times New Roman" w:hAnsi="Times New Roman"/>
          <w:sz w:val="28"/>
          <w:szCs w:val="28"/>
          <w:lang w:val="uk-UA"/>
        </w:rPr>
        <w:t>28</w:t>
      </w:r>
      <w:r w:rsidR="00C85ED9" w:rsidRPr="00411ED4">
        <w:rPr>
          <w:rFonts w:ascii="Times New Roman" w:hAnsi="Times New Roman"/>
          <w:sz w:val="28"/>
          <w:szCs w:val="28"/>
          <w:lang w:val="uk-UA"/>
        </w:rPr>
        <w:t xml:space="preserve"> </w:t>
      </w:r>
      <w:r w:rsidR="005C6918" w:rsidRPr="00411ED4">
        <w:rPr>
          <w:rFonts w:ascii="Times New Roman" w:hAnsi="Times New Roman"/>
          <w:sz w:val="28"/>
          <w:szCs w:val="28"/>
          <w:lang w:val="uk-UA"/>
        </w:rPr>
        <w:t>травня</w:t>
      </w:r>
      <w:r w:rsidR="00C85ED9" w:rsidRPr="00411ED4">
        <w:rPr>
          <w:rFonts w:ascii="Times New Roman" w:hAnsi="Times New Roman"/>
          <w:sz w:val="28"/>
          <w:szCs w:val="28"/>
          <w:lang w:val="uk-UA"/>
        </w:rPr>
        <w:t xml:space="preserve"> </w:t>
      </w:r>
      <w:r w:rsidR="00165B56" w:rsidRPr="00411ED4">
        <w:rPr>
          <w:rFonts w:ascii="Times New Roman" w:hAnsi="Times New Roman"/>
          <w:sz w:val="28"/>
          <w:szCs w:val="28"/>
          <w:lang w:val="uk-UA"/>
        </w:rPr>
        <w:t>20</w:t>
      </w:r>
      <w:r w:rsidR="00C85ED9" w:rsidRPr="00411ED4">
        <w:rPr>
          <w:rFonts w:ascii="Times New Roman" w:hAnsi="Times New Roman"/>
          <w:sz w:val="28"/>
          <w:szCs w:val="28"/>
          <w:lang w:val="uk-UA"/>
        </w:rPr>
        <w:t>21</w:t>
      </w:r>
      <w:r w:rsidR="00E46AAA" w:rsidRPr="00411ED4">
        <w:rPr>
          <w:rFonts w:ascii="Times New Roman" w:hAnsi="Times New Roman"/>
          <w:sz w:val="28"/>
          <w:szCs w:val="28"/>
          <w:lang w:val="uk-UA"/>
        </w:rPr>
        <w:t xml:space="preserve"> року</w:t>
      </w:r>
      <w:r w:rsidR="005C6918" w:rsidRPr="00411ED4">
        <w:rPr>
          <w:rFonts w:ascii="Times New Roman" w:hAnsi="Times New Roman"/>
          <w:sz w:val="28"/>
          <w:szCs w:val="28"/>
          <w:lang w:val="uk-UA"/>
        </w:rPr>
        <w:t xml:space="preserve"> розглянувши</w:t>
      </w:r>
      <w:r w:rsidR="00E46AAA" w:rsidRPr="00411ED4">
        <w:rPr>
          <w:rFonts w:ascii="Times New Roman" w:hAnsi="Times New Roman"/>
          <w:sz w:val="28"/>
          <w:szCs w:val="28"/>
          <w:lang w:val="uk-UA"/>
        </w:rPr>
        <w:t xml:space="preserve"> проект</w:t>
      </w:r>
      <w:r w:rsidR="005C6918" w:rsidRPr="00411ED4">
        <w:rPr>
          <w:rFonts w:ascii="Times New Roman" w:hAnsi="Times New Roman"/>
          <w:sz w:val="28"/>
          <w:szCs w:val="28"/>
          <w:lang w:val="uk-UA"/>
        </w:rPr>
        <w:t xml:space="preserve">и </w:t>
      </w:r>
      <w:r w:rsidR="005C6918" w:rsidRPr="002F4068">
        <w:rPr>
          <w:rFonts w:ascii="Times New Roman" w:hAnsi="Times New Roman"/>
          <w:sz w:val="28"/>
          <w:szCs w:val="28"/>
          <w:lang w:val="uk-UA"/>
        </w:rPr>
        <w:t>законів</w:t>
      </w:r>
      <w:r w:rsidR="00165B56" w:rsidRPr="002F4068">
        <w:rPr>
          <w:rFonts w:ascii="Times New Roman" w:hAnsi="Times New Roman"/>
          <w:sz w:val="28"/>
          <w:szCs w:val="28"/>
          <w:lang w:val="uk-UA"/>
        </w:rPr>
        <w:t xml:space="preserve"> </w:t>
      </w:r>
      <w:r w:rsidR="002F4068" w:rsidRPr="002F4068">
        <w:rPr>
          <w:rFonts w:ascii="Times New Roman" w:hAnsi="Times New Roman"/>
          <w:sz w:val="28"/>
          <w:szCs w:val="28"/>
          <w:lang w:val="uk-UA"/>
        </w:rPr>
        <w:t>України про загальнообов'язкове накопичувальне пенсійне забезпечення (№ 2683 дооп.), доопрацьований та підготовлений у Комітеті на повторне перше читання, про внесення змін до деяких законів України щодо накопичувальної системи державного пенсійного стр</w:t>
      </w:r>
      <w:r w:rsidR="002F4068">
        <w:rPr>
          <w:rFonts w:ascii="Times New Roman" w:hAnsi="Times New Roman"/>
          <w:sz w:val="28"/>
          <w:szCs w:val="28"/>
          <w:lang w:val="uk-UA"/>
        </w:rPr>
        <w:t xml:space="preserve">ахування (реєстр. </w:t>
      </w:r>
      <w:r w:rsidR="002F4068" w:rsidRPr="002F4068">
        <w:rPr>
          <w:rFonts w:ascii="Times New Roman" w:hAnsi="Times New Roman"/>
          <w:sz w:val="28"/>
          <w:szCs w:val="28"/>
        </w:rPr>
        <w:t>№ 2683-2), поданий народними депутатами України Королевською Н. Ю.  та іншими народними депутатами, про внесення змін до деяких законів України щодо накопичувальної системи державного пенсійного страхування (реєстр. № 2683-3), поданий народними депутатами України Струневичем В. О., Третьяковою Г. М., а також висновки центральних органів виконавчої влади та пропозиції народних депутатів України до доопрацьованого законопроекту про загальнообов'язкове накоп</w:t>
      </w:r>
      <w:r w:rsidR="002F4068">
        <w:rPr>
          <w:rFonts w:ascii="Times New Roman" w:hAnsi="Times New Roman"/>
          <w:sz w:val="28"/>
          <w:szCs w:val="28"/>
        </w:rPr>
        <w:t>ичувальне пенсійне забезпечення</w:t>
      </w:r>
      <w:r w:rsidR="00DC056D" w:rsidRPr="00411ED4">
        <w:rPr>
          <w:rFonts w:ascii="Times New Roman" w:eastAsia="SimSun" w:hAnsi="Times New Roman"/>
          <w:sz w:val="28"/>
          <w:szCs w:val="28"/>
          <w:lang w:val="uk-UA" w:eastAsia="uk-UA"/>
        </w:rPr>
        <w:t>, зазначає наступне.</w:t>
      </w:r>
    </w:p>
    <w:p w:rsidR="00DD3D85" w:rsidRPr="002F4068" w:rsidRDefault="00DD3D85" w:rsidP="002F4068">
      <w:pPr>
        <w:pStyle w:val="2"/>
        <w:spacing w:line="276" w:lineRule="auto"/>
        <w:ind w:left="0" w:firstLine="567"/>
        <w:jc w:val="both"/>
        <w:rPr>
          <w:rFonts w:ascii="Times New Roman" w:hAnsi="Times New Roman"/>
          <w:sz w:val="28"/>
          <w:szCs w:val="28"/>
        </w:rPr>
      </w:pPr>
      <w:r w:rsidRPr="00411ED4">
        <w:rPr>
          <w:rFonts w:ascii="Times New Roman" w:eastAsia="SimSun" w:hAnsi="Times New Roman"/>
          <w:sz w:val="28"/>
          <w:szCs w:val="28"/>
          <w:lang w:eastAsia="uk-UA"/>
        </w:rPr>
        <w:t>Законопроект</w:t>
      </w:r>
      <w:r w:rsidR="00DC056D" w:rsidRPr="00411ED4">
        <w:rPr>
          <w:rFonts w:ascii="Times New Roman" w:eastAsia="SimSun" w:hAnsi="Times New Roman"/>
          <w:sz w:val="28"/>
          <w:szCs w:val="28"/>
          <w:lang w:val="uk-UA" w:eastAsia="uk-UA"/>
        </w:rPr>
        <w:t>и</w:t>
      </w:r>
      <w:r w:rsidR="00DC056D" w:rsidRPr="00411ED4">
        <w:rPr>
          <w:rFonts w:ascii="Times New Roman" w:eastAsia="SimSun" w:hAnsi="Times New Roman"/>
          <w:sz w:val="28"/>
          <w:szCs w:val="28"/>
          <w:lang w:eastAsia="uk-UA"/>
        </w:rPr>
        <w:t xml:space="preserve"> направлені</w:t>
      </w:r>
      <w:r w:rsidRPr="00411ED4">
        <w:rPr>
          <w:rFonts w:ascii="Times New Roman" w:eastAsia="SimSun" w:hAnsi="Times New Roman"/>
          <w:sz w:val="28"/>
          <w:szCs w:val="28"/>
          <w:lang w:eastAsia="uk-UA"/>
        </w:rPr>
        <w:t xml:space="preserve"> на визначення правових, економічних та організаційних засад загальнообов’язкового накопичувального пенсійного забезпечення в Україні, які дозволять забезпечити необхідні регулятивні та організаційні умови для запровадження другого рівня системи пенсійного забезпечення.</w:t>
      </w:r>
    </w:p>
    <w:p w:rsidR="00F570BA" w:rsidRPr="00411ED4" w:rsidRDefault="00F570BA" w:rsidP="002F4068">
      <w:pPr>
        <w:spacing w:line="276" w:lineRule="auto"/>
        <w:ind w:firstLine="567"/>
        <w:jc w:val="both"/>
        <w:rPr>
          <w:rFonts w:ascii="Times New Roman" w:eastAsia="SimSun" w:hAnsi="Times New Roman"/>
          <w:sz w:val="28"/>
          <w:szCs w:val="28"/>
          <w:lang w:eastAsia="uk-UA"/>
        </w:rPr>
      </w:pPr>
      <w:r w:rsidRPr="00411ED4">
        <w:rPr>
          <w:rFonts w:ascii="Times New Roman" w:eastAsia="SimSun" w:hAnsi="Times New Roman"/>
          <w:sz w:val="28"/>
          <w:szCs w:val="28"/>
          <w:lang w:eastAsia="uk-UA"/>
        </w:rPr>
        <w:t>Для відновлення належного рівня пенсійного забезпечення в Україні необхідним є впровадження обов’язко</w:t>
      </w:r>
      <w:r w:rsidRPr="00411ED4">
        <w:rPr>
          <w:rFonts w:ascii="Times New Roman" w:eastAsia="SimSun" w:hAnsi="Times New Roman"/>
          <w:sz w:val="28"/>
          <w:szCs w:val="28"/>
          <w:lang w:eastAsia="uk-UA"/>
        </w:rPr>
        <w:lastRenderedPageBreak/>
        <w:t>вого накопичувального пенсійного забезпечення як додаткового елемента пенсійної системи (так званого другого рівня), з метою формування пенсійних накопичень та збільшення сукупного коефіцієнта заміщення як головного індикатора достатності пенсійних виплат.</w:t>
      </w:r>
    </w:p>
    <w:p w:rsidR="00F570BA" w:rsidRPr="00411ED4" w:rsidRDefault="00F570BA" w:rsidP="00411ED4">
      <w:pPr>
        <w:spacing w:line="276" w:lineRule="auto"/>
        <w:ind w:firstLine="567"/>
        <w:jc w:val="both"/>
        <w:rPr>
          <w:rFonts w:ascii="Times New Roman" w:eastAsia="SimSun" w:hAnsi="Times New Roman"/>
          <w:sz w:val="28"/>
          <w:szCs w:val="28"/>
          <w:lang w:eastAsia="uk-UA"/>
        </w:rPr>
      </w:pPr>
      <w:r w:rsidRPr="00411ED4">
        <w:rPr>
          <w:rFonts w:ascii="Times New Roman" w:eastAsia="SimSun" w:hAnsi="Times New Roman"/>
          <w:sz w:val="28"/>
          <w:szCs w:val="28"/>
          <w:lang w:eastAsia="uk-UA"/>
        </w:rPr>
        <w:t>Функціонування системи загальнообов’язкового накопичувального забезпечення надасть можливість громадянам України отримувати після досягнення пенсійного віку додаткові пенсійні виплати за рахунок внесків до накопичувальної пенсійної системи. Протягом всього періоду накопичення буде здійснюватися інвестування внесків. Накопичення кожної особи підлягають обліку на індивідуальному накопичувальному пенсійному рахунку такої особи та можуть бути успадковані.</w:t>
      </w:r>
    </w:p>
    <w:p w:rsidR="00F570BA" w:rsidRPr="00411ED4" w:rsidRDefault="00F570BA" w:rsidP="00411ED4">
      <w:pPr>
        <w:spacing w:line="276" w:lineRule="auto"/>
        <w:ind w:firstLine="567"/>
        <w:jc w:val="both"/>
        <w:rPr>
          <w:rFonts w:ascii="Times New Roman" w:eastAsia="SimSun" w:hAnsi="Times New Roman"/>
          <w:sz w:val="28"/>
          <w:szCs w:val="28"/>
          <w:lang w:eastAsia="uk-UA"/>
        </w:rPr>
      </w:pPr>
      <w:r w:rsidRPr="00411ED4">
        <w:rPr>
          <w:rFonts w:ascii="Times New Roman" w:eastAsia="SimSun" w:hAnsi="Times New Roman"/>
          <w:sz w:val="28"/>
          <w:szCs w:val="28"/>
          <w:lang w:eastAsia="uk-UA"/>
        </w:rPr>
        <w:t>Запровадження системи загальнообов’язкового накопичувального забезпечення поступово приводитиме до підвищення рівня соціального захисту людей пенсійного віку, залучення потужного внутрішнього довгострокового інвестиційного ресурсу, що сприятиме збільшенню інвестицій в національну економіку.</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Головним комітетом із розгляду проектів законів визначено Комітет Верховної Ради України з питань соціальної політики та захисту прав ветеранів.</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У даній сфері правового регулювання діють Кодекс України про адміністративні правопорушення, Кримінальний кодекс України, закони України «Про загальнообов'язкове державне пенсійне страхування», «Про збір та облік єдиного внеску на загальнообов’язкове державне соціальне страхування», «Про недержавне пенсійне забезпечення», «Про державне регулювання ринку цінних паперів в Україні», «Про бухгалтерський облік та фінансову звітність в Україні», «Про цінні папери та фондовий ри</w:t>
      </w:r>
      <w:r w:rsidRPr="002F4068">
        <w:rPr>
          <w:rFonts w:ascii="Times New Roman" w:eastAsia="SimSun" w:hAnsi="Times New Roman"/>
          <w:sz w:val="28"/>
          <w:szCs w:val="28"/>
          <w:lang w:val="uk-UA" w:eastAsia="uk-UA"/>
        </w:rPr>
        <w:lastRenderedPageBreak/>
        <w:t>нок», «Про основні засади державного нагляду (контролю) у сфері господарської діяльності», «Про депозитарну систему України» та «Про аудит фінансової звітності та аудиторську діяльність», «Про заходи щодо законодавчого забезпечення р</w:t>
      </w:r>
      <w:r>
        <w:rPr>
          <w:rFonts w:ascii="Times New Roman" w:eastAsia="SimSun" w:hAnsi="Times New Roman"/>
          <w:sz w:val="28"/>
          <w:szCs w:val="28"/>
          <w:lang w:val="uk-UA" w:eastAsia="uk-UA"/>
        </w:rPr>
        <w:t>еформування пенсійної системи».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Законопроектом (</w:t>
      </w:r>
      <w:r w:rsidRPr="002F4068">
        <w:rPr>
          <w:rFonts w:ascii="Times New Roman" w:eastAsia="SimSun" w:hAnsi="Times New Roman"/>
          <w:sz w:val="28"/>
          <w:szCs w:val="28"/>
          <w:lang w:val="uk-UA" w:eastAsia="uk-UA"/>
        </w:rPr>
        <w:t xml:space="preserve">№ 2683-доопр.) пропонується встановити обов’язкову участь у системі накопичувального пенсійного забезпечення всіх категорій працюючих осіб до досягнення ними пенсійного віку та залучення роботодавців до сплати пенсійних внесків на паритетних засадах. Роботодавці сплачуватимуть за рахунок податку з доходів фізичних осіб 2% від розміру заробітної плати працівників, та за учасників системи (працюючі особи) за рахунок єдиного соціального внеску – 2% від заробітної плати (доходу).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Водночас пропонується встановити, що кошти накопичувальної системи є власністю учасників системи (осіб, з заробітної плати яких здійснюються відрахування) у розмірі, накопиченому на їх індивідуальних пенсійних рахунках чи депозитних пенсійних рахунках, а у випадку смерті особи право власності на пенсійні заощадження переходять до її спадкоємців.</w:t>
      </w:r>
    </w:p>
    <w:p w:rsidR="002F4068" w:rsidRPr="002F4068" w:rsidRDefault="009039D7"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Внеск</w:t>
      </w:r>
      <w:r w:rsidR="002F4068" w:rsidRPr="002F4068">
        <w:rPr>
          <w:rFonts w:ascii="Times New Roman" w:eastAsia="SimSun" w:hAnsi="Times New Roman"/>
          <w:sz w:val="28"/>
          <w:szCs w:val="28"/>
          <w:lang w:val="uk-UA" w:eastAsia="uk-UA"/>
        </w:rPr>
        <w:t xml:space="preserve">и </w:t>
      </w:r>
      <w:r>
        <w:rPr>
          <w:rFonts w:ascii="Times New Roman" w:eastAsia="SimSun" w:hAnsi="Times New Roman"/>
          <w:sz w:val="28"/>
          <w:szCs w:val="28"/>
          <w:lang w:val="uk-UA" w:eastAsia="uk-UA"/>
        </w:rPr>
        <w:t xml:space="preserve">учасників системи </w:t>
      </w:r>
      <w:r w:rsidR="002F4068" w:rsidRPr="002F4068">
        <w:rPr>
          <w:rFonts w:ascii="Times New Roman" w:eastAsia="SimSun" w:hAnsi="Times New Roman"/>
          <w:sz w:val="28"/>
          <w:szCs w:val="28"/>
          <w:lang w:val="uk-UA" w:eastAsia="uk-UA"/>
        </w:rPr>
        <w:t xml:space="preserve">акумулюватимуться у пенсійних фондах чи на депозитних пенсійних рахунках в банках, або страхових компаній допущених до діяльності у другому рівні пенсійної системи шляхом їх авторизації (включення їх до Реєстру авторизованих суб’єктів системи накопичувального пенсійного забезпечення).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Також здійснюватиметься авторизація компаній з управління активами, зберігачів, адміністраторів пенсійних фондів та страхових організацій, які матимуть право на укладення договорів страхування довічної пенсії.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lastRenderedPageBreak/>
        <w:t>Персоніфікований облік учасників вестиметься у Єдиному соціальному реєстрі. Для забезпечення достовірності та актуальності даних персоніфікованого обліку здійснюватиметься щоденний обмін даними  між Єдиним соціальним реєстром та системами персоніфікованого обліку авторизованих пенсійних фондів, авторизованих банків, авторизованих страхових організацій в порядку інформаційної взаємодії.</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Вибір авторизованого пенсійного фонду, авторизованого банку тощо, укладення договорів, отримання виписок по рахунку, комунікація з учасниками забезпечуватиметься за принципом «єдиного вікна» на базі Єдиного соціального реєстру з використанням телекомунікаційних мереж або під час особистого звернення учасника системи через будь-яку зручну точку доступу (адміністратора Єдиного соціального реєстру, ЦНАП, авторизованого адміністратора авторизованого пенсійного фонду, авторизованого банку).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Учасник системи самостійно обирає авторизований пенсійний фонд чи авторизований банк</w:t>
      </w:r>
      <w:r w:rsidR="009039D7">
        <w:rPr>
          <w:rFonts w:ascii="Times New Roman" w:eastAsia="SimSun" w:hAnsi="Times New Roman"/>
          <w:sz w:val="28"/>
          <w:szCs w:val="28"/>
          <w:lang w:val="uk-UA" w:eastAsia="uk-UA"/>
        </w:rPr>
        <w:t xml:space="preserve"> або авторизовану страхову компанію</w:t>
      </w:r>
      <w:r w:rsidRPr="002F4068">
        <w:rPr>
          <w:rFonts w:ascii="Times New Roman" w:eastAsia="SimSun" w:hAnsi="Times New Roman"/>
          <w:sz w:val="28"/>
          <w:szCs w:val="28"/>
          <w:lang w:val="uk-UA" w:eastAsia="uk-UA"/>
        </w:rPr>
        <w:t>. Внески учасників системи, які не визначились зі своїм вибором, направлятимуться до авторизованого пенсійного фонду (уповноваженого), який буде створено Кабінетом Міністрів України.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Також пропонується внесення змін до низки законодавчих актів України з метою передбачення відповідальності за порушення законодавства у системі загальнообов’язкового накопичувального забезпечення, узгодження норм законопроекту з нормами чинного законодавства.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В кінцевому підсумку, основною метою законопроекту є створення накопичувальної пенсійної системи, яка повинна бути: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lastRenderedPageBreak/>
        <w:t>•</w:t>
      </w:r>
      <w:r w:rsidRPr="002F4068">
        <w:rPr>
          <w:rFonts w:ascii="Times New Roman" w:eastAsia="SimSun" w:hAnsi="Times New Roman"/>
          <w:sz w:val="28"/>
          <w:szCs w:val="28"/>
          <w:lang w:val="uk-UA" w:eastAsia="uk-UA"/>
        </w:rPr>
        <w:tab/>
        <w:t>простою та зрозумілою для учасників системи, включаючи однакові умови доступу для всіх категорій осіб, що є учасниками системи;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w:t>
      </w:r>
      <w:r w:rsidRPr="002F4068">
        <w:rPr>
          <w:rFonts w:ascii="Times New Roman" w:eastAsia="SimSun" w:hAnsi="Times New Roman"/>
          <w:sz w:val="28"/>
          <w:szCs w:val="28"/>
          <w:lang w:val="uk-UA" w:eastAsia="uk-UA"/>
        </w:rPr>
        <w:tab/>
        <w:t>дешевою, включаючи заходи з консолідації певних функцій та обмеження максимальних розмірів витрат, що відшкодовуються за рахунок активів учасників;</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w:t>
      </w:r>
      <w:r w:rsidRPr="002F4068">
        <w:rPr>
          <w:rFonts w:ascii="Times New Roman" w:eastAsia="SimSun" w:hAnsi="Times New Roman"/>
          <w:sz w:val="28"/>
          <w:szCs w:val="28"/>
          <w:lang w:val="uk-UA" w:eastAsia="uk-UA"/>
        </w:rPr>
        <w:tab/>
        <w:t xml:space="preserve">надійною, що передбачає встановлення принципів обережного інвестування та встановлення дієвих систем управління ризиками при проведенні операцій з пенсійними активами, посилення відповідальності засновників пенсійних фондів, а також забезпечується максимальна надійність обліку пенсійних накопичень учасників та збереження інформації про них у Єдиному соціальному реєстрі;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w:t>
      </w:r>
      <w:r w:rsidRPr="002F4068">
        <w:rPr>
          <w:rFonts w:ascii="Times New Roman" w:eastAsia="SimSun" w:hAnsi="Times New Roman"/>
          <w:sz w:val="28"/>
          <w:szCs w:val="28"/>
          <w:lang w:val="uk-UA" w:eastAsia="uk-UA"/>
        </w:rPr>
        <w:tab/>
        <w:t>доступною, що передбачає використання «єдиного вікна» для доступу учасників до інформації про свої пенсійні накопичення, вибору та заміни у будь-який час та на власний розсуд фонду, банку чи страхової організації, де всі процедури максимально автоматизовані;</w:t>
      </w:r>
    </w:p>
    <w:p w:rsidR="002F4068" w:rsidRPr="002F4068" w:rsidRDefault="002F4068" w:rsidP="00083B7D">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Загалом, </w:t>
      </w:r>
      <w:r w:rsidR="009039D7">
        <w:rPr>
          <w:rFonts w:ascii="Times New Roman" w:eastAsia="SimSun" w:hAnsi="Times New Roman"/>
          <w:sz w:val="28"/>
          <w:szCs w:val="28"/>
          <w:lang w:val="uk-UA" w:eastAsia="uk-UA"/>
        </w:rPr>
        <w:t xml:space="preserve">підготовленим у Комітеті на повторне перше читання </w:t>
      </w:r>
      <w:r w:rsidRPr="002F4068">
        <w:rPr>
          <w:rFonts w:ascii="Times New Roman" w:eastAsia="SimSun" w:hAnsi="Times New Roman"/>
          <w:sz w:val="28"/>
          <w:szCs w:val="28"/>
          <w:lang w:val="uk-UA" w:eastAsia="uk-UA"/>
        </w:rPr>
        <w:t>законопроектом передбачено єдині підходи до суб’єктів, що надаватимуть послуги в системі накопичувального пенсійного забезпечення, без створення «особливих умов» для окремих структур, навіть якщо їх засновником є держава, що забезпечить зниження ризиків корупції та зловживань з пенсійн</w:t>
      </w:r>
      <w:r w:rsidR="00083B7D">
        <w:rPr>
          <w:rFonts w:ascii="Times New Roman" w:eastAsia="SimSun" w:hAnsi="Times New Roman"/>
          <w:sz w:val="28"/>
          <w:szCs w:val="28"/>
          <w:lang w:val="uk-UA" w:eastAsia="uk-UA"/>
        </w:rPr>
        <w:t>ими активами учасників системи.</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Опрацювавши пропозиції та зауваження до законопроекту 2683 доопрацьованого, Комітетом внесено наступні поправки у текст законопроекту:</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1. Пункт четвертий статті 16 викладено в такій редакції:</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lastRenderedPageBreak/>
        <w:t>«4. Учасник системи може змінити обраний ним авторизований пенсійний фонд чи авторизований банк або авторизовану страхову організацію.</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Порядок зміни обраної учасником системи авторизованого пенсійного фонду, авторизованого банку, авторизованого страхової організації є істотною умовою укладеного пенсійного контракту чи договору пенсійного депозитного рахунка чи договору накопичувального пенсійного страхування чи договору страхування довічної пенсії, з урахуванням вимог встановлених частиною першою цієї статті.</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У такому випадку адміністратор Єдиного соціального реєстру протягом п’яти робочих днів повідомляє учасника системи про факт виконання зміни авторизованого пенсійного фонду чи авторизованого банку або авторизованої страхової організації.»</w:t>
      </w:r>
    </w:p>
    <w:p w:rsidR="009039D7" w:rsidRP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2. Розділ  XV. Прикінцеві та перехідні положення доповнено статтею 12 наступного змісту:</w:t>
      </w:r>
    </w:p>
    <w:p w:rsidR="009039D7" w:rsidRDefault="009039D7" w:rsidP="009039D7">
      <w:pPr>
        <w:spacing w:line="276" w:lineRule="auto"/>
        <w:ind w:firstLine="567"/>
        <w:jc w:val="both"/>
        <w:rPr>
          <w:rFonts w:ascii="Times New Roman" w:eastAsia="SimSun" w:hAnsi="Times New Roman"/>
          <w:sz w:val="28"/>
          <w:szCs w:val="28"/>
          <w:lang w:val="uk-UA" w:eastAsia="uk-UA"/>
        </w:rPr>
      </w:pPr>
      <w:r w:rsidRPr="009039D7">
        <w:rPr>
          <w:rFonts w:ascii="Times New Roman" w:eastAsia="SimSun" w:hAnsi="Times New Roman"/>
          <w:sz w:val="28"/>
          <w:szCs w:val="28"/>
          <w:lang w:val="uk-UA" w:eastAsia="uk-UA"/>
        </w:rPr>
        <w:t>«12. Кабінету Міністрів України у дев'ятимісячний строк з дня набрання чинності цим Законом розробити та внести на розгляд Верховної Ради України законопроект про внесення змін до Закону України «Про систему гарантування вкладів фізичних осіб» щодо гарантування повернення пенсійних активів з урахуванням інвестиційного доходу учасників системи загальнообов’язкового накопичувального пенсійного забезпечення у разі неплатоспроможності авторизованого пенсійного фонду, авторизованої страхової організації, авторизованого банку, а також у разі позбавлення авторизації обраного ними пенсійного фонду, страхової організації, банку відповідно до цього Закону.»</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lastRenderedPageBreak/>
        <w:t>Законопроект (реєстр. № 2683-2) передбачає виконання низки умов, необхідних для ефективного упровадження накопичувальної системи пенсійного забезпечення в Україні. У тому числі, досягнення макроекономічної стабілізації та створення надійного економічного підґрунтя, яке дозволить одночасно забезпечити результативну роботу солідарної системи та відповідну доходність активів накопичувальної системи.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Проект акта містить базові принципи, на яких має будуватися участь вкладників (застрахованих осіб) у накопичувальній пенсійній системі, а саме, принципи добровільної участі та виваженого вибору.</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З метою підвищення рівня функціональності та відповідальності в роботі Накопичувального фонду пропонується тимчасово делегувати управлінські функції Кабінету Міністрів України, а формування складу Спостережної Ради Накопичувального фонду здійснювати із забезпеченням соціального партнерства. Також передбачено посилення вимог до компаній з управління пенсійними активами.</w:t>
      </w:r>
    </w:p>
    <w:p w:rsid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Законопроект урегульовує вирішення такої ключової задачі упровадження накопичувальної системи пенсійного забезпечення як відстоювання економічних і соціальних інтересів її вкладників. Передбачається, що гарантований захист пенсійних доходів вкладників накопичувальної системи від ризиків інвестування буде досягнуто за рахунок надання державних гарантій щодо збереженості вкладень пенсійної системи; інвестування пенсійних активів протягом перших п’яти років діяльності Накопичувального фонду виключно у придбання державних цінних паперів.</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Щодо альтернативного законопроекту реєстр. № 2683-2, Головне науково-експертне управління Апарату Верховної Ради України зазначає, що одним із викликів </w:t>
      </w:r>
      <w:r w:rsidRPr="002F4068">
        <w:rPr>
          <w:rFonts w:ascii="Times New Roman" w:eastAsia="SimSun" w:hAnsi="Times New Roman"/>
          <w:sz w:val="28"/>
          <w:szCs w:val="28"/>
          <w:lang w:val="uk-UA" w:eastAsia="uk-UA"/>
        </w:rPr>
        <w:lastRenderedPageBreak/>
        <w:t>функціонування накопичувальної пенсійної системи може стати спокуса урядових структур використовувати кошти обов’язкових накопичувальних пенсійних систем Рівня ІІ для погашення дефіциту державного бюджету чи дефіциту коштів на Рівні І (солідарна система загальнообов'язкового державного пенсійного страхування ), або ж на інші цілі, що може негативно позначитися на ефективності пенсійної системи.</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Законопроект (реєстр. № 2683-3) передбачає встановлення обов’язкової участь у системі накопичувального пенсійного забезпечення всіх категорій працюючих осіб до досягнення ними пенсійного віку та залучення роботодавців до сплати пенсійних внесків на паритетних засадах. Роботодавці сплачуватимуть за рахунок податку з доходів фізичних осіб 2% від розміру заробітної плати працівників, та за рахунок учасників системи (працюючі особи) за рахунок єдиного соціального внеску – 2% від заробітної плати (доходу).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Законопроектом пропонується встановити, що кошти накопичувальної системи є власністю учасників системи (осіб, з заробітної плати яких здійснюються відрахування) у розмірі, накопиченому на їх індивідуальних пенсійних рахунках чи депозитних пенсійних рахунках, а у випадку смерті особи право власності на пенсійні заощадження переходять до її спадкоємців.</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Законопроектом передбачається акумулювання внесків у пенсійних фондах чи на депозитних пенсійних рахунках в банках, допущених до діяльності у другому рівні пенсійної системи шляхом їх авторизації (включення їх до Реєстру авторизованих суб’єктів системи накопичувального пенсійного забезпечення).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Також здійснюватиметься авторизація компаній з управління активами, зберігачів, адміністраторів пенсійних </w:t>
      </w:r>
      <w:r w:rsidRPr="002F4068">
        <w:rPr>
          <w:rFonts w:ascii="Times New Roman" w:eastAsia="SimSun" w:hAnsi="Times New Roman"/>
          <w:sz w:val="28"/>
          <w:szCs w:val="28"/>
          <w:lang w:val="uk-UA" w:eastAsia="uk-UA"/>
        </w:rPr>
        <w:lastRenderedPageBreak/>
        <w:t xml:space="preserve">фондів та страхових організацій, які матимуть право на укладення договорів страхування довічної пенсії.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Персоніфікований облік учасників вестиметься у Єдиному соціальному реєстрі. Для забезпечення достовірності та актуальності даних персоніфікованого обліку здійснюватиметься щоденний обмін даними  між Єдиним соціальним реєстром та системами персоніфікованого обліку авторизованих пенсійних фондів, авторизованих банків, авторизованих страхових організацій в порядку інформаційної взаємодії.</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Вибір авторизованого пенсійного фонду, авторизованого банку, укладення договорів, отримання виписок по рахунку, комунікація з учасниками забезпечуватиметься за принципом «єдиного вікна» на базі Єдиного соціального реєстру з використанням телекомунікаційних мереж або під час особистого звернення учасника системи через будь-яку зручну точку доступу (адміністратора Єдиного соціального реєстру, ЦНАП, авторизованого адміністратора авторизованого пенсійного фонду, авторизованого банку). </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Учасник системи матиме право за власним бажанням обрати або змінити авторизований пенсійний фонд чи авторизований банк. Внески учасників системи, які не визначились зі своїм вибором, направлятимуться до авторизованого пенсійного фонду (уповноваженого), який буде створено Кабінетом Міністрів України.</w:t>
      </w:r>
    </w:p>
    <w:p w:rsid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Законопроектом передбачено, що учасники системи будуть мати право на отримання за рахунок коштів системи накопичувального пенсійного забезпечення довічних  пенсій, і у ряді передбачених випадків одноразових виплат, виплат на визначений термін.</w:t>
      </w:r>
    </w:p>
    <w:p w:rsidR="002F4068" w:rsidRPr="002F4068" w:rsidRDefault="002F4068" w:rsidP="002F4068">
      <w:pPr>
        <w:spacing w:line="276" w:lineRule="auto"/>
        <w:ind w:firstLine="567"/>
        <w:jc w:val="both"/>
        <w:rPr>
          <w:rFonts w:ascii="Times New Roman" w:eastAsia="SimSun" w:hAnsi="Times New Roman"/>
          <w:sz w:val="28"/>
          <w:szCs w:val="28"/>
          <w:lang w:val="uk-UA" w:eastAsia="uk-UA"/>
        </w:rPr>
      </w:pPr>
      <w:r w:rsidRPr="002F4068">
        <w:rPr>
          <w:rFonts w:ascii="Times New Roman" w:eastAsia="SimSun" w:hAnsi="Times New Roman"/>
          <w:sz w:val="28"/>
          <w:szCs w:val="28"/>
          <w:lang w:val="uk-UA" w:eastAsia="uk-UA"/>
        </w:rPr>
        <w:t xml:space="preserve">Розглянувши законопроект реєстр. № 2683-3, Головне науково-експертне управління Апарату Верховної </w:t>
      </w:r>
      <w:r w:rsidRPr="002F4068">
        <w:rPr>
          <w:rFonts w:ascii="Times New Roman" w:eastAsia="SimSun" w:hAnsi="Times New Roman"/>
          <w:sz w:val="28"/>
          <w:szCs w:val="28"/>
          <w:lang w:val="uk-UA" w:eastAsia="uk-UA"/>
        </w:rPr>
        <w:lastRenderedPageBreak/>
        <w:t>Ради України звернуло увагу, що окремі його положення (визначення деяких термінів («ключові функції», «одноразова пенсійна виплата», «персоніфікований облік»); частина джерел формування та використання пенсійних активів; елементів системи управління ризиками тощо)  збігається за змістом з відповідними положеннями основного проекту. У зв’язку з цим вважає, що питання своєчасності запровадження загальнообов’язкового накопичувальне пенсійне забезпечення на сьогодні є актуальним.</w:t>
      </w:r>
    </w:p>
    <w:p w:rsidR="009039D7" w:rsidRDefault="009039D7"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До вищевказаних законопроектів було надано наступні пропозиції:</w:t>
      </w:r>
    </w:p>
    <w:p w:rsidR="002F4068" w:rsidRPr="002F4068" w:rsidRDefault="009039D7"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1. </w:t>
      </w:r>
      <w:r w:rsidR="002F4068" w:rsidRPr="002F4068">
        <w:rPr>
          <w:rFonts w:ascii="Times New Roman" w:eastAsia="SimSun" w:hAnsi="Times New Roman"/>
          <w:sz w:val="28"/>
          <w:szCs w:val="28"/>
          <w:lang w:val="uk-UA" w:eastAsia="uk-UA"/>
        </w:rPr>
        <w:t>Пенсійний фонд України зазначає, що положення законопроектів потребують узгодження із принципом правової визначеності, що полягає, як зазначив Європейський суд з прав людини, в тому, що право має бути належним чином доступним та передбачуваним за своєю дією та сформульованим з належною чіткістю, що дає можливість особам регулювати свою поведінку.</w:t>
      </w:r>
    </w:p>
    <w:p w:rsidR="002F4068" w:rsidRPr="002F4068" w:rsidRDefault="009039D7"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2. </w:t>
      </w:r>
      <w:r w:rsidR="002F4068" w:rsidRPr="002F4068">
        <w:rPr>
          <w:rFonts w:ascii="Times New Roman" w:eastAsia="SimSun" w:hAnsi="Times New Roman"/>
          <w:sz w:val="28"/>
          <w:szCs w:val="28"/>
          <w:lang w:val="uk-UA" w:eastAsia="uk-UA"/>
        </w:rPr>
        <w:t>Спільний представницький орган сторони роботодавців на національному рівні вважає що законопроекти потребують доопрацювання, а також узгодженості з проектом Закону України (реєстр. № 2763).</w:t>
      </w:r>
    </w:p>
    <w:p w:rsidR="002F4068" w:rsidRPr="002F4068" w:rsidRDefault="009039D7"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3. </w:t>
      </w:r>
      <w:r w:rsidR="002F4068" w:rsidRPr="002F4068">
        <w:rPr>
          <w:rFonts w:ascii="Times New Roman" w:eastAsia="SimSun" w:hAnsi="Times New Roman"/>
          <w:sz w:val="28"/>
          <w:szCs w:val="28"/>
          <w:lang w:val="uk-UA" w:eastAsia="uk-UA"/>
        </w:rPr>
        <w:t>Асоціація Міст України в цілому підтримує запровадження в Україні системи накопичувального пенсійного забезпечення (обов’язкового відповідно до законопроектів № 2683 та № 2683-3 та добровільного відповід</w:t>
      </w:r>
      <w:r w:rsidR="002F4068">
        <w:rPr>
          <w:rFonts w:ascii="Times New Roman" w:eastAsia="SimSun" w:hAnsi="Times New Roman"/>
          <w:sz w:val="28"/>
          <w:szCs w:val="28"/>
          <w:lang w:val="uk-UA" w:eastAsia="uk-UA"/>
        </w:rPr>
        <w:t xml:space="preserve">но до законопроекту № 2683-2). </w:t>
      </w:r>
    </w:p>
    <w:p w:rsidR="002F4068" w:rsidRPr="002F4068" w:rsidRDefault="000F6B1C"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4. </w:t>
      </w:r>
      <w:r w:rsidR="002F4068" w:rsidRPr="002F4068">
        <w:rPr>
          <w:rFonts w:ascii="Times New Roman" w:eastAsia="SimSun" w:hAnsi="Times New Roman"/>
          <w:sz w:val="28"/>
          <w:szCs w:val="28"/>
          <w:lang w:val="uk-UA" w:eastAsia="uk-UA"/>
        </w:rPr>
        <w:t xml:space="preserve">Міністерство соціальної політики України законопроект № 2683-дооп. підтримує разом з тим висловлює такі застереження: </w:t>
      </w:r>
    </w:p>
    <w:p w:rsidR="002F4068" w:rsidRPr="002F4068" w:rsidRDefault="000F6B1C"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w:t>
      </w:r>
      <w:r w:rsidR="002F4068" w:rsidRPr="002F4068">
        <w:rPr>
          <w:rFonts w:ascii="Times New Roman" w:eastAsia="SimSun" w:hAnsi="Times New Roman"/>
          <w:sz w:val="28"/>
          <w:szCs w:val="28"/>
          <w:lang w:val="uk-UA" w:eastAsia="uk-UA"/>
        </w:rPr>
        <w:t xml:space="preserve"> Зниження ставок єдиного соціального внеску на загальнообов’язкове державне соціальне страхування та податку з доходів фізичних осіб на постійній основі може </w:t>
      </w:r>
      <w:r w:rsidR="002F4068" w:rsidRPr="002F4068">
        <w:rPr>
          <w:rFonts w:ascii="Times New Roman" w:eastAsia="SimSun" w:hAnsi="Times New Roman"/>
          <w:sz w:val="28"/>
          <w:szCs w:val="28"/>
          <w:lang w:val="uk-UA" w:eastAsia="uk-UA"/>
        </w:rPr>
        <w:lastRenderedPageBreak/>
        <w:t>призвести до розбалансування солідарної системи загальнообов’язкового державного пенсійного страхування, а також до супротиву з боку органів місцевої влади.</w:t>
      </w:r>
    </w:p>
    <w:p w:rsidR="002F4068" w:rsidRPr="002F4068" w:rsidRDefault="000F6B1C"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w:t>
      </w:r>
      <w:r w:rsidR="002F4068" w:rsidRPr="002F4068">
        <w:rPr>
          <w:rFonts w:ascii="Times New Roman" w:eastAsia="SimSun" w:hAnsi="Times New Roman"/>
          <w:sz w:val="28"/>
          <w:szCs w:val="28"/>
          <w:lang w:val="uk-UA" w:eastAsia="uk-UA"/>
        </w:rPr>
        <w:t xml:space="preserve"> Основні принципи роботи банків і страхових компаній у системі загальнообов’язкового накопичувального пенсійного забезпечення мають бути урегульовані на рівні закону, а не підзаконними нормативно-правовими актами, із забезпеченням застосування суб’єктами системи єдиних підходів до роботи з пенсійними активами.</w:t>
      </w:r>
    </w:p>
    <w:p w:rsidR="002F4068" w:rsidRPr="002F4068" w:rsidRDefault="000F6B1C"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5. </w:t>
      </w:r>
      <w:r w:rsidR="002F4068" w:rsidRPr="002F4068">
        <w:rPr>
          <w:rFonts w:ascii="Times New Roman" w:eastAsia="SimSun" w:hAnsi="Times New Roman"/>
          <w:sz w:val="28"/>
          <w:szCs w:val="28"/>
          <w:lang w:val="uk-UA" w:eastAsia="uk-UA"/>
        </w:rPr>
        <w:t>Міністерство економіки України підтримує законопроект № 2683-дооп.</w:t>
      </w:r>
    </w:p>
    <w:p w:rsidR="002F4068" w:rsidRPr="002F4068" w:rsidRDefault="000F6B1C"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6. </w:t>
      </w:r>
      <w:r w:rsidR="002F4068" w:rsidRPr="002F4068">
        <w:rPr>
          <w:rFonts w:ascii="Times New Roman" w:eastAsia="SimSun" w:hAnsi="Times New Roman"/>
          <w:sz w:val="28"/>
          <w:szCs w:val="28"/>
          <w:lang w:val="uk-UA" w:eastAsia="uk-UA"/>
        </w:rPr>
        <w:t>Національна комісія з цінних паперів та фондового ринку повідомила про відсутність концептуальних зауважень та пропозицій до законопроекту № 2683-дооп. та підтримує його.</w:t>
      </w:r>
    </w:p>
    <w:p w:rsidR="002F4068" w:rsidRPr="002F4068" w:rsidRDefault="00D97A1E" w:rsidP="002F4068">
      <w:pPr>
        <w:spacing w:line="276" w:lineRule="auto"/>
        <w:ind w:firstLine="567"/>
        <w:jc w:val="both"/>
        <w:rPr>
          <w:rFonts w:ascii="Times New Roman" w:eastAsia="SimSun" w:hAnsi="Times New Roman"/>
          <w:sz w:val="28"/>
          <w:szCs w:val="28"/>
          <w:lang w:val="uk-UA" w:eastAsia="uk-UA"/>
        </w:rPr>
      </w:pPr>
      <w:r w:rsidRPr="00D97A1E">
        <w:rPr>
          <w:rFonts w:ascii="Times New Roman" w:eastAsia="SimSun" w:hAnsi="Times New Roman"/>
          <w:sz w:val="28"/>
          <w:szCs w:val="28"/>
          <w:lang w:val="uk-UA" w:eastAsia="uk-UA"/>
        </w:rPr>
        <w:t>8</w:t>
      </w:r>
      <w:r>
        <w:rPr>
          <w:rFonts w:ascii="Times New Roman" w:eastAsia="SimSun" w:hAnsi="Times New Roman"/>
          <w:sz w:val="28"/>
          <w:szCs w:val="28"/>
          <w:lang w:val="uk-UA" w:eastAsia="uk-UA"/>
        </w:rPr>
        <w:t xml:space="preserve">. </w:t>
      </w:r>
      <w:r w:rsidR="002F4068" w:rsidRPr="002F4068">
        <w:rPr>
          <w:rFonts w:ascii="Times New Roman" w:eastAsia="SimSun" w:hAnsi="Times New Roman"/>
          <w:sz w:val="28"/>
          <w:szCs w:val="28"/>
          <w:lang w:val="uk-UA" w:eastAsia="uk-UA"/>
        </w:rPr>
        <w:t>Спільний представницький орган сторони роботодавців на національному рівні підтримує законопроект 2683-дооп. та зазначає, що завдяки його впровадженню український бізнес та наймані працівники можуть мати державні гарантії. А також зазначає про ризики у разі прийняття законопроекту, а саме:</w:t>
      </w:r>
    </w:p>
    <w:p w:rsidR="002F4068" w:rsidRPr="002F4068" w:rsidRDefault="00D97A1E"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н</w:t>
      </w:r>
      <w:r w:rsidR="002F4068" w:rsidRPr="002F4068">
        <w:rPr>
          <w:rFonts w:ascii="Times New Roman" w:eastAsia="SimSun" w:hAnsi="Times New Roman"/>
          <w:sz w:val="28"/>
          <w:szCs w:val="28"/>
          <w:lang w:val="uk-UA" w:eastAsia="uk-UA"/>
        </w:rPr>
        <w:t>е забезпечує необхідний коефіцієнт заміщення, що буде стимулювати органи влади вже у найближчому майбутньому повернутися до питання збільшення податкового навантаження на роботодавців та найманих працівників;</w:t>
      </w:r>
    </w:p>
    <w:p w:rsidR="002F4068" w:rsidRPr="002F4068" w:rsidRDefault="00D97A1E"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й</w:t>
      </w:r>
      <w:r w:rsidR="002F4068" w:rsidRPr="002F4068">
        <w:rPr>
          <w:rFonts w:ascii="Times New Roman" w:eastAsia="SimSun" w:hAnsi="Times New Roman"/>
          <w:sz w:val="28"/>
          <w:szCs w:val="28"/>
          <w:lang w:val="uk-UA" w:eastAsia="uk-UA"/>
        </w:rPr>
        <w:t>мовірно призведе до ще більшого фінансового розбалансування бюджетів Пенсійного фонду України (солідарної складової системи пенсійного забезпечення), Фонду соціального страхування України та Фонду загальнообов’язкового державного соціального страхування на випадок безробіття;</w:t>
      </w:r>
    </w:p>
    <w:p w:rsidR="002F4068" w:rsidRPr="002F4068" w:rsidRDefault="00D97A1E"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lastRenderedPageBreak/>
        <w:t>- н</w:t>
      </w:r>
      <w:r w:rsidR="002F4068" w:rsidRPr="002F4068">
        <w:rPr>
          <w:rFonts w:ascii="Times New Roman" w:eastAsia="SimSun" w:hAnsi="Times New Roman"/>
          <w:sz w:val="28"/>
          <w:szCs w:val="28"/>
          <w:lang w:val="uk-UA" w:eastAsia="uk-UA"/>
        </w:rPr>
        <w:t>еможливість ефективної роботи суб’єктів другого рівня на користь української економіки внаслідок фактичної відсутності національного фондового ринку.</w:t>
      </w:r>
    </w:p>
    <w:p w:rsidR="002F4068" w:rsidRDefault="00D97A1E" w:rsidP="002F4068">
      <w:pPr>
        <w:spacing w:line="276" w:lineRule="auto"/>
        <w:ind w:firstLine="567"/>
        <w:jc w:val="both"/>
        <w:rPr>
          <w:rFonts w:ascii="Times New Roman" w:eastAsia="SimSun" w:hAnsi="Times New Roman"/>
          <w:sz w:val="28"/>
          <w:szCs w:val="28"/>
          <w:lang w:val="uk-UA" w:eastAsia="uk-UA"/>
        </w:rPr>
      </w:pPr>
      <w:r>
        <w:rPr>
          <w:rFonts w:ascii="Times New Roman" w:eastAsia="SimSun" w:hAnsi="Times New Roman"/>
          <w:sz w:val="28"/>
          <w:szCs w:val="28"/>
          <w:lang w:val="uk-UA" w:eastAsia="uk-UA"/>
        </w:rPr>
        <w:t xml:space="preserve">9. </w:t>
      </w:r>
      <w:r w:rsidR="002F4068" w:rsidRPr="002F4068">
        <w:rPr>
          <w:rFonts w:ascii="Times New Roman" w:eastAsia="SimSun" w:hAnsi="Times New Roman"/>
          <w:sz w:val="28"/>
          <w:szCs w:val="28"/>
          <w:lang w:val="uk-UA" w:eastAsia="uk-UA"/>
        </w:rPr>
        <w:t>Національний банк України в цілому підтримує законопроект та зазначає що конкретні пропозиції до нього будуть надані піс</w:t>
      </w:r>
      <w:r w:rsidR="002F4068">
        <w:rPr>
          <w:rFonts w:ascii="Times New Roman" w:eastAsia="SimSun" w:hAnsi="Times New Roman"/>
          <w:sz w:val="28"/>
          <w:szCs w:val="28"/>
          <w:lang w:val="uk-UA" w:eastAsia="uk-UA"/>
        </w:rPr>
        <w:t>ля прийняття за основу.</w:t>
      </w:r>
    </w:p>
    <w:p w:rsidR="000F6B1C" w:rsidRPr="00326B2D" w:rsidRDefault="000F6B1C" w:rsidP="00D97A1E">
      <w:pPr>
        <w:spacing w:line="276" w:lineRule="auto"/>
        <w:ind w:firstLine="567"/>
        <w:jc w:val="both"/>
        <w:rPr>
          <w:rFonts w:ascii="Times New Roman" w:eastAsia="SimSun" w:hAnsi="Times New Roman"/>
          <w:sz w:val="28"/>
          <w:szCs w:val="28"/>
          <w:lang w:val="en-US" w:eastAsia="uk-UA"/>
        </w:rPr>
      </w:pPr>
      <w:r w:rsidRPr="000F6B1C">
        <w:rPr>
          <w:rFonts w:ascii="Times New Roman" w:eastAsia="SimSun" w:hAnsi="Times New Roman"/>
          <w:sz w:val="28"/>
          <w:szCs w:val="28"/>
          <w:lang w:val="uk-UA" w:eastAsia="uk-UA"/>
        </w:rPr>
        <w:t>А також, народними депутатами України – членами Комітету      (Остапенком А., Арсенком О., Гривком С., Цимбалюком М., Бабенкком М. листом від 26.05.2021 року вих. № 425д9/5-2021/171395 внесено пропозиції та зауваження до законопроекту 2683-дооп.</w:t>
      </w:r>
      <w:r w:rsidR="00D97A1E">
        <w:rPr>
          <w:rFonts w:ascii="Times New Roman" w:eastAsia="SimSun" w:hAnsi="Times New Roman"/>
          <w:sz w:val="28"/>
          <w:szCs w:val="28"/>
          <w:lang w:val="uk-UA" w:eastAsia="uk-UA"/>
        </w:rPr>
        <w:t>, які розглянуто</w:t>
      </w:r>
      <w:r w:rsidRPr="000F6B1C">
        <w:rPr>
          <w:rFonts w:ascii="Times New Roman" w:eastAsia="SimSun" w:hAnsi="Times New Roman"/>
          <w:sz w:val="28"/>
          <w:szCs w:val="28"/>
          <w:lang w:val="uk-UA" w:eastAsia="uk-UA"/>
        </w:rPr>
        <w:t xml:space="preserve"> на засіданні Комітету.</w:t>
      </w:r>
    </w:p>
    <w:p w:rsidR="009B3078" w:rsidRPr="00411ED4" w:rsidRDefault="009B3078" w:rsidP="00B71C14">
      <w:pPr>
        <w:autoSpaceDE w:val="0"/>
        <w:autoSpaceDN w:val="0"/>
        <w:adjustRightInd w:val="0"/>
        <w:spacing w:after="0" w:line="276" w:lineRule="auto"/>
        <w:ind w:firstLine="567"/>
        <w:jc w:val="both"/>
        <w:rPr>
          <w:rFonts w:ascii="Times New Roman" w:hAnsi="Times New Roman"/>
          <w:sz w:val="28"/>
          <w:szCs w:val="28"/>
          <w:lang w:val="uk-UA"/>
        </w:rPr>
      </w:pPr>
      <w:r w:rsidRPr="00411ED4">
        <w:rPr>
          <w:rFonts w:ascii="Times New Roman" w:hAnsi="Times New Roman"/>
          <w:sz w:val="28"/>
          <w:szCs w:val="28"/>
          <w:lang w:val="uk-UA"/>
        </w:rPr>
        <w:t xml:space="preserve">За результатами розгляду, Комітет Верховної Ради України з питань соціальної політики та захисту прав ветеранів, керуючись </w:t>
      </w:r>
      <w:r w:rsidR="002F4068">
        <w:rPr>
          <w:rFonts w:ascii="Times New Roman" w:hAnsi="Times New Roman"/>
          <w:sz w:val="28"/>
          <w:szCs w:val="28"/>
          <w:lang w:val="uk-UA"/>
        </w:rPr>
        <w:t>статті 115</w:t>
      </w:r>
      <w:r w:rsidRPr="00411ED4">
        <w:rPr>
          <w:rFonts w:ascii="Times New Roman" w:hAnsi="Times New Roman"/>
          <w:sz w:val="28"/>
          <w:szCs w:val="28"/>
          <w:lang w:val="uk-UA"/>
        </w:rPr>
        <w:t xml:space="preserve"> Регламенту Верховної Ради України, прийняв рішення рекомендувати Верховній Раді України </w:t>
      </w:r>
      <w:r w:rsidR="002F4068" w:rsidRPr="00411ED4">
        <w:rPr>
          <w:rFonts w:ascii="Times New Roman" w:hAnsi="Times New Roman"/>
          <w:sz w:val="28"/>
          <w:szCs w:val="28"/>
          <w:lang w:val="uk-UA"/>
        </w:rPr>
        <w:t xml:space="preserve">проекти </w:t>
      </w:r>
      <w:r w:rsidR="002F4068" w:rsidRPr="002F4068">
        <w:rPr>
          <w:rFonts w:ascii="Times New Roman" w:hAnsi="Times New Roman"/>
          <w:sz w:val="28"/>
          <w:szCs w:val="28"/>
          <w:lang w:val="uk-UA"/>
        </w:rPr>
        <w:t>законів України про загальнообов'язкове накопичувальне пенсійне забезпечення (№ 2683 дооп.), доопрацьований та підготовлений у Комітеті на повторне перше читання, про внесення змін до деяких законів України щодо накопичувальної системи державного пенсійного стр</w:t>
      </w:r>
      <w:r w:rsidR="002F4068">
        <w:rPr>
          <w:rFonts w:ascii="Times New Roman" w:hAnsi="Times New Roman"/>
          <w:sz w:val="28"/>
          <w:szCs w:val="28"/>
          <w:lang w:val="uk-UA"/>
        </w:rPr>
        <w:t xml:space="preserve">ахування (реєстр. </w:t>
      </w:r>
      <w:r w:rsidR="002F4068" w:rsidRPr="002F4068">
        <w:rPr>
          <w:rFonts w:ascii="Times New Roman" w:hAnsi="Times New Roman"/>
          <w:sz w:val="28"/>
          <w:szCs w:val="28"/>
        </w:rPr>
        <w:t>№ 2683-2), поданий народними депутатами України Королевською Н. Ю.  та іншими народними депутатами, про внесення змін до деяких законів України щодо накопичувальної системи державного пенсійного страхування (реєстр. № 2683-3), поданий народними депутатами України Струневичем В. О., Третьяковою Г. М.</w:t>
      </w:r>
      <w:r w:rsidR="00326B2D">
        <w:rPr>
          <w:rFonts w:ascii="Times New Roman" w:hAnsi="Times New Roman"/>
          <w:sz w:val="28"/>
          <w:szCs w:val="28"/>
          <w:lang w:val="uk-UA"/>
        </w:rPr>
        <w:t xml:space="preserve">, керуючись пунктом 2 частиною першою статті 114 Регламенту Верховної Ради України </w:t>
      </w:r>
      <w:r w:rsidRPr="00411ED4">
        <w:rPr>
          <w:rFonts w:ascii="Times New Roman" w:hAnsi="Times New Roman"/>
          <w:sz w:val="28"/>
          <w:szCs w:val="28"/>
          <w:lang w:val="uk-UA"/>
        </w:rPr>
        <w:t xml:space="preserve">відхилити. </w:t>
      </w:r>
    </w:p>
    <w:p w:rsidR="00337224" w:rsidRDefault="00337224" w:rsidP="00411ED4">
      <w:pPr>
        <w:spacing w:after="0" w:line="276" w:lineRule="auto"/>
        <w:ind w:firstLine="709"/>
        <w:jc w:val="both"/>
        <w:rPr>
          <w:rFonts w:ascii="Times New Roman" w:hAnsi="Times New Roman"/>
          <w:sz w:val="28"/>
          <w:szCs w:val="28"/>
        </w:rPr>
      </w:pPr>
      <w:r w:rsidRPr="00411ED4">
        <w:rPr>
          <w:rFonts w:ascii="Times New Roman" w:hAnsi="Times New Roman"/>
          <w:sz w:val="28"/>
          <w:szCs w:val="28"/>
        </w:rPr>
        <w:t>Співдоповідачем на пленарному засіданні Верховної Ради України визначено Голову</w:t>
      </w:r>
      <w:r w:rsidRPr="00411ED4">
        <w:rPr>
          <w:rFonts w:ascii="Times New Roman" w:hAnsi="Times New Roman"/>
          <w:sz w:val="28"/>
        </w:rPr>
        <w:t xml:space="preserve"> </w:t>
      </w:r>
      <w:r w:rsidRPr="00411ED4">
        <w:rPr>
          <w:rFonts w:ascii="Times New Roman" w:hAnsi="Times New Roman"/>
          <w:sz w:val="28"/>
          <w:szCs w:val="28"/>
        </w:rPr>
        <w:t>Комітету з питань соціальної політики та захисту прав ветеранів Третьякову Г.М.</w:t>
      </w:r>
    </w:p>
    <w:p w:rsidR="002F4068" w:rsidRDefault="002F4068" w:rsidP="00411ED4">
      <w:pPr>
        <w:spacing w:after="0" w:line="276"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Проекти постанов Верховної Ради України додаються.</w:t>
      </w:r>
    </w:p>
    <w:p w:rsidR="002F4068" w:rsidRDefault="002F4068" w:rsidP="00411ED4">
      <w:pPr>
        <w:spacing w:after="0" w:line="276" w:lineRule="auto"/>
        <w:ind w:firstLine="709"/>
        <w:jc w:val="both"/>
        <w:rPr>
          <w:rFonts w:ascii="Times New Roman" w:hAnsi="Times New Roman"/>
          <w:sz w:val="28"/>
          <w:szCs w:val="28"/>
          <w:lang w:val="uk-UA"/>
        </w:rPr>
      </w:pPr>
    </w:p>
    <w:p w:rsidR="00083B7D" w:rsidRDefault="00083B7D" w:rsidP="00411ED4">
      <w:pPr>
        <w:spacing w:after="0" w:line="276" w:lineRule="auto"/>
        <w:ind w:firstLine="709"/>
        <w:jc w:val="both"/>
        <w:rPr>
          <w:rFonts w:ascii="Times New Roman" w:hAnsi="Times New Roman"/>
          <w:b/>
          <w:sz w:val="28"/>
          <w:szCs w:val="28"/>
          <w:lang w:val="uk-UA"/>
        </w:rPr>
      </w:pPr>
    </w:p>
    <w:p w:rsidR="002F4068" w:rsidRPr="002F4068" w:rsidRDefault="002F4068" w:rsidP="00411ED4">
      <w:pPr>
        <w:spacing w:after="0" w:line="276" w:lineRule="auto"/>
        <w:ind w:firstLine="709"/>
        <w:jc w:val="both"/>
        <w:rPr>
          <w:rFonts w:ascii="Times New Roman" w:hAnsi="Times New Roman"/>
          <w:b/>
          <w:sz w:val="28"/>
          <w:szCs w:val="28"/>
          <w:lang w:val="uk-UA"/>
        </w:rPr>
      </w:pPr>
      <w:r w:rsidRPr="002F4068">
        <w:rPr>
          <w:rFonts w:ascii="Times New Roman" w:hAnsi="Times New Roman"/>
          <w:b/>
          <w:sz w:val="28"/>
          <w:szCs w:val="28"/>
          <w:lang w:val="uk-UA"/>
        </w:rPr>
        <w:t>Голова Комітету                                                          Г. Третьякова</w:t>
      </w:r>
    </w:p>
    <w:p w:rsidR="002F4068" w:rsidRPr="002F4068" w:rsidRDefault="002F4068" w:rsidP="00411ED4">
      <w:pPr>
        <w:spacing w:after="0" w:line="276" w:lineRule="auto"/>
        <w:ind w:firstLine="709"/>
        <w:jc w:val="both"/>
        <w:rPr>
          <w:rFonts w:ascii="Times New Roman" w:hAnsi="Times New Roman"/>
          <w:b/>
          <w:sz w:val="28"/>
          <w:szCs w:val="28"/>
        </w:rPr>
      </w:pPr>
    </w:p>
    <w:p w:rsidR="00A7635E" w:rsidRPr="002F4068" w:rsidRDefault="00A7635E" w:rsidP="00165B56">
      <w:pPr>
        <w:spacing w:line="240" w:lineRule="auto"/>
        <w:jc w:val="both"/>
        <w:rPr>
          <w:rFonts w:ascii="Times New Roman" w:hAnsi="Times New Roman"/>
          <w:b/>
          <w:sz w:val="28"/>
          <w:szCs w:val="28"/>
          <w:lang w:val="uk-UA"/>
        </w:rPr>
      </w:pPr>
    </w:p>
    <w:sectPr w:rsidR="00A7635E" w:rsidRPr="002F4068" w:rsidSect="000D6680">
      <w:headerReference w:type="default" r:id="rId10"/>
      <w:headerReference w:type="first" r:id="rId11"/>
      <w:footerReference w:type="first" r:id="rId12"/>
      <w:pgSz w:w="11906" w:h="16838"/>
      <w:pgMar w:top="1134" w:right="707" w:bottom="1276"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3E6" w:rsidRDefault="008673E6" w:rsidP="005E306B">
      <w:pPr>
        <w:spacing w:after="0" w:line="240" w:lineRule="auto"/>
      </w:pPr>
      <w:r>
        <w:separator/>
      </w:r>
    </w:p>
  </w:endnote>
  <w:endnote w:type="continuationSeparator" w:id="0">
    <w:p w:rsidR="008673E6" w:rsidRDefault="008673E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673E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3E6" w:rsidRDefault="008673E6" w:rsidP="005E306B">
      <w:pPr>
        <w:spacing w:after="0" w:line="240" w:lineRule="auto"/>
      </w:pPr>
      <w:r>
        <w:separator/>
      </w:r>
    </w:p>
  </w:footnote>
  <w:footnote w:type="continuationSeparator" w:id="0">
    <w:p w:rsidR="008673E6" w:rsidRDefault="008673E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r w:rsidR="00545919">
            <w:rPr>
              <w:rFonts w:ascii="Times New Roman" w:hAnsi="Times New Roman"/>
              <w:color w:val="1829A8"/>
              <w:sz w:val="20"/>
              <w:szCs w:val="20"/>
              <w:lang w:val="en-US"/>
            </w:rPr>
            <w:t>spvr</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rada</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gov</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A8C"/>
    <w:rsid w:val="000163C3"/>
    <w:rsid w:val="00083B7D"/>
    <w:rsid w:val="000D6680"/>
    <w:rsid w:val="000F1586"/>
    <w:rsid w:val="000F6B1C"/>
    <w:rsid w:val="00117105"/>
    <w:rsid w:val="00141617"/>
    <w:rsid w:val="00144C9A"/>
    <w:rsid w:val="00147144"/>
    <w:rsid w:val="00165B56"/>
    <w:rsid w:val="0019108F"/>
    <w:rsid w:val="001966F0"/>
    <w:rsid w:val="001A19ED"/>
    <w:rsid w:val="001B0028"/>
    <w:rsid w:val="001D3C24"/>
    <w:rsid w:val="001E4C2C"/>
    <w:rsid w:val="0021032F"/>
    <w:rsid w:val="00235CD7"/>
    <w:rsid w:val="002A1EAF"/>
    <w:rsid w:val="002A5D4C"/>
    <w:rsid w:val="002B13CC"/>
    <w:rsid w:val="002B18A4"/>
    <w:rsid w:val="002B5FC1"/>
    <w:rsid w:val="002D0561"/>
    <w:rsid w:val="002E0A18"/>
    <w:rsid w:val="002E31BF"/>
    <w:rsid w:val="002E44DA"/>
    <w:rsid w:val="002F4068"/>
    <w:rsid w:val="002F588C"/>
    <w:rsid w:val="00326B2D"/>
    <w:rsid w:val="00337224"/>
    <w:rsid w:val="003D1CBA"/>
    <w:rsid w:val="00403119"/>
    <w:rsid w:val="00411ED4"/>
    <w:rsid w:val="00451750"/>
    <w:rsid w:val="00467BD9"/>
    <w:rsid w:val="004807AA"/>
    <w:rsid w:val="004852FA"/>
    <w:rsid w:val="004900D4"/>
    <w:rsid w:val="004A2F61"/>
    <w:rsid w:val="004B69BD"/>
    <w:rsid w:val="004E4F5C"/>
    <w:rsid w:val="004F7B8A"/>
    <w:rsid w:val="0050620F"/>
    <w:rsid w:val="00510CE2"/>
    <w:rsid w:val="00533ACA"/>
    <w:rsid w:val="00545919"/>
    <w:rsid w:val="0055005A"/>
    <w:rsid w:val="005536A0"/>
    <w:rsid w:val="0056039F"/>
    <w:rsid w:val="005604DC"/>
    <w:rsid w:val="0056352F"/>
    <w:rsid w:val="00566816"/>
    <w:rsid w:val="0058380F"/>
    <w:rsid w:val="005A4728"/>
    <w:rsid w:val="005B71F5"/>
    <w:rsid w:val="005C674D"/>
    <w:rsid w:val="005C6918"/>
    <w:rsid w:val="005D7946"/>
    <w:rsid w:val="005E306B"/>
    <w:rsid w:val="005F20B5"/>
    <w:rsid w:val="00614B1F"/>
    <w:rsid w:val="00626A3E"/>
    <w:rsid w:val="00660B13"/>
    <w:rsid w:val="0066623D"/>
    <w:rsid w:val="00677F53"/>
    <w:rsid w:val="006B4FB0"/>
    <w:rsid w:val="006F10E8"/>
    <w:rsid w:val="00713E93"/>
    <w:rsid w:val="00723827"/>
    <w:rsid w:val="0073224C"/>
    <w:rsid w:val="00753AA1"/>
    <w:rsid w:val="00780E6B"/>
    <w:rsid w:val="007A24D8"/>
    <w:rsid w:val="007F5D91"/>
    <w:rsid w:val="0080545D"/>
    <w:rsid w:val="008673E6"/>
    <w:rsid w:val="008B28A4"/>
    <w:rsid w:val="008F74E7"/>
    <w:rsid w:val="009039D7"/>
    <w:rsid w:val="00945B68"/>
    <w:rsid w:val="00957D31"/>
    <w:rsid w:val="009A720A"/>
    <w:rsid w:val="009B3078"/>
    <w:rsid w:val="009C2919"/>
    <w:rsid w:val="009E66C1"/>
    <w:rsid w:val="009F75B2"/>
    <w:rsid w:val="00A00059"/>
    <w:rsid w:val="00A167AD"/>
    <w:rsid w:val="00A337F1"/>
    <w:rsid w:val="00A60747"/>
    <w:rsid w:val="00A7635E"/>
    <w:rsid w:val="00A833C8"/>
    <w:rsid w:val="00AA42B4"/>
    <w:rsid w:val="00AD7F82"/>
    <w:rsid w:val="00AF663E"/>
    <w:rsid w:val="00B311E8"/>
    <w:rsid w:val="00B71C14"/>
    <w:rsid w:val="00BA58F7"/>
    <w:rsid w:val="00BD0801"/>
    <w:rsid w:val="00BF1E95"/>
    <w:rsid w:val="00BF49CA"/>
    <w:rsid w:val="00C11FB6"/>
    <w:rsid w:val="00C27AE9"/>
    <w:rsid w:val="00C85ED9"/>
    <w:rsid w:val="00C86266"/>
    <w:rsid w:val="00CA25CC"/>
    <w:rsid w:val="00CA7044"/>
    <w:rsid w:val="00CB30DD"/>
    <w:rsid w:val="00CC39A1"/>
    <w:rsid w:val="00CD4A38"/>
    <w:rsid w:val="00CE3E1B"/>
    <w:rsid w:val="00CE6179"/>
    <w:rsid w:val="00CE6A4B"/>
    <w:rsid w:val="00D242C2"/>
    <w:rsid w:val="00D37FA2"/>
    <w:rsid w:val="00D52549"/>
    <w:rsid w:val="00D57E1B"/>
    <w:rsid w:val="00D60AF4"/>
    <w:rsid w:val="00D97A1E"/>
    <w:rsid w:val="00DB2AA7"/>
    <w:rsid w:val="00DB40A3"/>
    <w:rsid w:val="00DC056D"/>
    <w:rsid w:val="00DD20D2"/>
    <w:rsid w:val="00DD3D85"/>
    <w:rsid w:val="00DE4B85"/>
    <w:rsid w:val="00DF0115"/>
    <w:rsid w:val="00E46AAA"/>
    <w:rsid w:val="00E52859"/>
    <w:rsid w:val="00E845FE"/>
    <w:rsid w:val="00E926A2"/>
    <w:rsid w:val="00EC4AD3"/>
    <w:rsid w:val="00F10A5D"/>
    <w:rsid w:val="00F17651"/>
    <w:rsid w:val="00F55423"/>
    <w:rsid w:val="00F570BA"/>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0">
    <w:name w:val="rvts0"/>
    <w:rsid w:val="007A24D8"/>
  </w:style>
  <w:style w:type="character" w:customStyle="1" w:styleId="rvts11">
    <w:name w:val="rvts11"/>
    <w:rsid w:val="007A24D8"/>
  </w:style>
  <w:style w:type="paragraph" w:customStyle="1" w:styleId="rvps2">
    <w:name w:val="rvps2"/>
    <w:basedOn w:val="a"/>
    <w:rsid w:val="00144C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b">
    <w:name w:val="Body Text"/>
    <w:basedOn w:val="a"/>
    <w:link w:val="ac"/>
    <w:rsid w:val="00165B56"/>
    <w:pPr>
      <w:spacing w:after="0" w:line="240" w:lineRule="auto"/>
    </w:pPr>
    <w:rPr>
      <w:rFonts w:ascii="Times New Roman" w:eastAsia="Times New Roman" w:hAnsi="Times New Roman"/>
      <w:b/>
      <w:i/>
      <w:sz w:val="28"/>
      <w:szCs w:val="20"/>
      <w:lang w:val="uk-UA" w:eastAsia="ru-RU"/>
    </w:rPr>
  </w:style>
  <w:style w:type="character" w:customStyle="1" w:styleId="ac">
    <w:name w:val="Основний текст Знак"/>
    <w:basedOn w:val="a0"/>
    <w:link w:val="ab"/>
    <w:rsid w:val="00165B56"/>
    <w:rPr>
      <w:rFonts w:ascii="Times New Roman" w:eastAsia="Times New Roman" w:hAnsi="Times New Roman"/>
      <w:b/>
      <w:i/>
      <w:sz w:val="28"/>
      <w:szCs w:val="20"/>
      <w:lang w:val="uk-UA" w:eastAsia="ru-RU"/>
    </w:rPr>
  </w:style>
  <w:style w:type="paragraph" w:customStyle="1" w:styleId="ad">
    <w:name w:val="Нормальний текст"/>
    <w:basedOn w:val="a"/>
    <w:rsid w:val="00165B56"/>
    <w:pPr>
      <w:spacing w:before="120" w:after="0" w:line="240" w:lineRule="auto"/>
      <w:ind w:firstLine="567"/>
      <w:jc w:val="both"/>
    </w:pPr>
    <w:rPr>
      <w:rFonts w:ascii="Antiqua" w:eastAsia="Times New Roman" w:hAnsi="Antiqua"/>
      <w:sz w:val="26"/>
      <w:szCs w:val="26"/>
      <w:lang w:val="uk-UA" w:eastAsia="ru-RU"/>
    </w:rPr>
  </w:style>
  <w:style w:type="paragraph" w:styleId="ae">
    <w:name w:val="Normal (Web)"/>
    <w:aliases w:val="Обычный (веб) Знак,Знак1 Знак,Знак1"/>
    <w:basedOn w:val="a"/>
    <w:link w:val="af"/>
    <w:rsid w:val="00165B56"/>
    <w:pPr>
      <w:spacing w:before="100" w:beforeAutospacing="1" w:after="100" w:afterAutospacing="1" w:line="240" w:lineRule="auto"/>
    </w:pPr>
    <w:rPr>
      <w:rFonts w:ascii="Times New Roman" w:eastAsia="Times New Roman" w:hAnsi="Times New Roman"/>
      <w:sz w:val="24"/>
      <w:szCs w:val="20"/>
      <w:lang w:val="uk-UA" w:eastAsia="uk-UA"/>
    </w:rPr>
  </w:style>
  <w:style w:type="character" w:customStyle="1" w:styleId="af">
    <w:name w:val="Звичайний (веб) Знак"/>
    <w:aliases w:val="Обычный (веб) Знак Знак,Знак1 Знак Знак,Знак1 Знак1"/>
    <w:link w:val="ae"/>
    <w:locked/>
    <w:rsid w:val="00165B56"/>
    <w:rPr>
      <w:rFonts w:ascii="Times New Roman" w:eastAsia="Times New Roman" w:hAnsi="Times New Roman"/>
      <w:sz w:val="24"/>
      <w:szCs w:val="20"/>
      <w:lang w:val="uk-UA" w:eastAsia="uk-UA"/>
    </w:rPr>
  </w:style>
  <w:style w:type="paragraph" w:styleId="2">
    <w:name w:val="Body Text Indent 2"/>
    <w:basedOn w:val="a"/>
    <w:link w:val="20"/>
    <w:uiPriority w:val="99"/>
    <w:unhideWhenUsed/>
    <w:rsid w:val="005C6918"/>
    <w:pPr>
      <w:spacing w:after="120" w:line="480" w:lineRule="auto"/>
      <w:ind w:left="283"/>
    </w:pPr>
  </w:style>
  <w:style w:type="character" w:customStyle="1" w:styleId="20">
    <w:name w:val="Основний текст з відступом 2 Знак"/>
    <w:basedOn w:val="a0"/>
    <w:link w:val="2"/>
    <w:uiPriority w:val="99"/>
    <w:rsid w:val="005C6918"/>
    <w:rPr>
      <w:lang w:val="ru-RU"/>
    </w:rPr>
  </w:style>
  <w:style w:type="paragraph" w:styleId="af0">
    <w:name w:val="List Paragraph"/>
    <w:basedOn w:val="a"/>
    <w:uiPriority w:val="34"/>
    <w:qFormat/>
    <w:rsid w:val="009039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7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82254-B2CA-4837-94A8-B84D9E5A236A}">
  <ds:schemaRefs>
    <ds:schemaRef ds:uri="http://schemas.microsoft.com/sharepoint/v3/contenttype/forms"/>
  </ds:schemaRefs>
</ds:datastoreItem>
</file>

<file path=customXml/itemProps2.xml><?xml version="1.0" encoding="utf-8"?>
<ds:datastoreItem xmlns:ds="http://schemas.openxmlformats.org/officeDocument/2006/customXml" ds:itemID="{F977A2FD-007F-417D-AEAF-529A980DD0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BABA66-AA14-4213-9052-0A6CCA6DE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BA9631-7F04-4A11-8FBF-ADCC9FCDE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12143</Words>
  <Characters>6922</Characters>
  <Application>Microsoft Office Word</Application>
  <DocSecurity>0</DocSecurity>
  <Lines>57</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Документ_525378.docx</vt:lpstr>
      <vt:lpstr/>
    </vt:vector>
  </TitlesOfParts>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Документ_525378.docx</dc:title>
  <dc:subject/>
  <dc:creator>Гуменюк Наталія Миколаївна</dc:creator>
  <cp:keywords/>
  <dc:description/>
  <cp:lastModifiedBy>Юлія Павлівна Кучер</cp:lastModifiedBy>
  <cp:revision>2</cp:revision>
  <dcterms:created xsi:type="dcterms:W3CDTF">2021-06-02T14:19:00Z</dcterms:created>
  <dcterms:modified xsi:type="dcterms:W3CDTF">2021-06-02T14:19:00Z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