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934" w:rsidRPr="000401BC" w:rsidRDefault="006F1934" w:rsidP="00EB0B97">
      <w:pPr>
        <w:widowControl w:val="0"/>
        <w:autoSpaceDE w:val="0"/>
        <w:autoSpaceDN w:val="0"/>
        <w:adjustRightInd w:val="0"/>
        <w:ind w:right="71" w:firstLine="720"/>
        <w:jc w:val="center"/>
        <w:rPr>
          <w:rFonts w:ascii="Times New Roman" w:hAnsi="Times New Roman"/>
          <w:b/>
          <w:bCs/>
          <w:sz w:val="28"/>
          <w:szCs w:val="28"/>
        </w:rPr>
      </w:pPr>
      <w:bookmarkStart w:id="0" w:name="_GoBack"/>
      <w:bookmarkEnd w:id="0"/>
    </w:p>
    <w:p w:rsidR="00EB0B97" w:rsidRPr="000401BC" w:rsidRDefault="00EB0B97" w:rsidP="00EB0B97">
      <w:pPr>
        <w:widowControl w:val="0"/>
        <w:autoSpaceDE w:val="0"/>
        <w:autoSpaceDN w:val="0"/>
        <w:adjustRightInd w:val="0"/>
        <w:ind w:right="71" w:firstLine="720"/>
        <w:jc w:val="center"/>
        <w:rPr>
          <w:rFonts w:ascii="Times New Roman" w:hAnsi="Times New Roman"/>
          <w:b/>
          <w:bCs/>
          <w:sz w:val="28"/>
          <w:szCs w:val="28"/>
        </w:rPr>
      </w:pPr>
      <w:r w:rsidRPr="000401BC">
        <w:rPr>
          <w:rFonts w:ascii="Times New Roman" w:hAnsi="Times New Roman"/>
          <w:b/>
          <w:bCs/>
          <w:sz w:val="28"/>
          <w:szCs w:val="28"/>
        </w:rPr>
        <w:t>ПОЯСНЮВАЛЬНА ЗАПИСКА</w:t>
      </w:r>
    </w:p>
    <w:p w:rsidR="0083298B" w:rsidRDefault="00EB0B97" w:rsidP="00EB0B97">
      <w:pPr>
        <w:widowControl w:val="0"/>
        <w:autoSpaceDE w:val="0"/>
        <w:autoSpaceDN w:val="0"/>
        <w:adjustRightInd w:val="0"/>
        <w:ind w:right="71" w:firstLine="720"/>
        <w:jc w:val="center"/>
        <w:rPr>
          <w:rFonts w:ascii="Times New Roman" w:hAnsi="Times New Roman"/>
          <w:b/>
          <w:sz w:val="28"/>
          <w:szCs w:val="28"/>
        </w:rPr>
      </w:pPr>
      <w:r w:rsidRPr="000401BC">
        <w:rPr>
          <w:rFonts w:ascii="Times New Roman" w:hAnsi="Times New Roman"/>
          <w:b/>
          <w:sz w:val="28"/>
          <w:szCs w:val="28"/>
        </w:rPr>
        <w:t xml:space="preserve">до проєкту Закону України </w:t>
      </w:r>
    </w:p>
    <w:p w:rsidR="00EB0B97" w:rsidRPr="000401BC" w:rsidRDefault="00EB0B97" w:rsidP="00EB0B97">
      <w:pPr>
        <w:widowControl w:val="0"/>
        <w:autoSpaceDE w:val="0"/>
        <w:autoSpaceDN w:val="0"/>
        <w:adjustRightInd w:val="0"/>
        <w:ind w:right="71" w:firstLine="720"/>
        <w:jc w:val="center"/>
        <w:rPr>
          <w:rFonts w:ascii="Times New Roman" w:hAnsi="Times New Roman"/>
          <w:b/>
          <w:sz w:val="28"/>
          <w:szCs w:val="28"/>
        </w:rPr>
      </w:pPr>
      <w:r w:rsidRPr="000401BC">
        <w:rPr>
          <w:rFonts w:ascii="Times New Roman" w:hAnsi="Times New Roman"/>
          <w:b/>
          <w:sz w:val="28"/>
          <w:szCs w:val="28"/>
        </w:rPr>
        <w:t>«</w:t>
      </w:r>
      <w:r w:rsidR="0083298B" w:rsidRPr="0083298B">
        <w:rPr>
          <w:rFonts w:ascii="Times New Roman" w:hAnsi="Times New Roman"/>
          <w:b/>
          <w:sz w:val="28"/>
          <w:szCs w:val="28"/>
        </w:rPr>
        <w:t>Про внесення змін до статті 71 Закону України "Про вищу освіту" щодо питання використання коштів спеціального фонду закладу вищої освіти від надання платних послуг у сфері вищої освіти</w:t>
      </w:r>
      <w:r w:rsidRPr="000401BC">
        <w:rPr>
          <w:rFonts w:ascii="Times New Roman" w:hAnsi="Times New Roman"/>
          <w:b/>
          <w:sz w:val="28"/>
          <w:szCs w:val="28"/>
        </w:rPr>
        <w:t>»</w:t>
      </w: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pStyle w:val="a3"/>
        <w:widowControl w:val="0"/>
        <w:numPr>
          <w:ilvl w:val="0"/>
          <w:numId w:val="1"/>
        </w:numPr>
        <w:autoSpaceDE w:val="0"/>
        <w:autoSpaceDN w:val="0"/>
        <w:adjustRightInd w:val="0"/>
        <w:ind w:left="0" w:right="71" w:firstLine="720"/>
        <w:jc w:val="both"/>
        <w:rPr>
          <w:rFonts w:ascii="Times New Roman" w:hAnsi="Times New Roman"/>
          <w:b/>
          <w:bCs/>
          <w:sz w:val="28"/>
          <w:szCs w:val="28"/>
        </w:rPr>
      </w:pPr>
      <w:r w:rsidRPr="000401BC">
        <w:rPr>
          <w:rFonts w:ascii="Times New Roman" w:hAnsi="Times New Roman"/>
          <w:b/>
          <w:bCs/>
          <w:sz w:val="28"/>
          <w:szCs w:val="28"/>
        </w:rPr>
        <w:t xml:space="preserve">Обґрунтування необхідності прийняття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Фінансування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здійснюється відповідно до Закону України Про Державний бюджет України на відповідний рік з державного бюджету, складовими якого є загальний та спеціальний фонди. До спеціального фонду віднесені кошти державних закладів вищої освіти від плати за освітню діяльність та надання інших платних послуг. </w:t>
      </w: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p>
    <w:p w:rsid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Проте в умовах ринкової економіки кошти, отримані державними закладами вищої освіти за надання платних послуг, не можна за природою вважати бюджетними. </w:t>
      </w: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По-перше, оплата освітніх та інших послуг споживачами та бюджетне фінансування державних закладів вищої освіти мають принципово різну економічну природу, зокрема: </w:t>
      </w:r>
    </w:p>
    <w:p w:rsidR="006B4CAD" w:rsidRDefault="006B4CAD"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бюджетне фінансування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здійснюється за рахунок відповідного перерозподілу коштів, що надходять до державного бюджету в основному через систему оподаткування; </w:t>
      </w:r>
    </w:p>
    <w:p w:rsidR="006B4CAD" w:rsidRDefault="006B4CAD"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контрактні кошти надходять до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у формі витрат населення на необхідні послуги, які забезпечують процес відтворення робочої сили. Контрактні кошти є часткою коштів, які залишилися після сплати всіх законодавчо встановлених податків і не мають ніякого відношення до способів перерозподілу бюджетних коштів. </w:t>
      </w:r>
    </w:p>
    <w:p w:rsidR="006B4CAD" w:rsidRDefault="006B4CAD"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Надходження бюджетних коштів до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є безадресним перерозподілом коштів платників податків, при контрактному фінансуванні здійснюється адресний перерозподіл коштів.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Прирівнювання контрактних коштів до бюджетних означає підвищення податкового навантаження на фізичних осіб, що навчаються за контрактною формою навчання, і призводить до системи подвійного оподаткування, що не відповідає статті 17 Господарського кодексу України. За таких умов, фізичні особи, які купують послуги вищої освіти, укладаючи відповідні контракти, сплачують </w:t>
      </w:r>
      <w:r w:rsidRPr="006B4CAD">
        <w:rPr>
          <w:rFonts w:ascii="Times New Roman" w:hAnsi="Times New Roman"/>
          <w:sz w:val="28"/>
          <w:szCs w:val="28"/>
        </w:rPr>
        <w:lastRenderedPageBreak/>
        <w:t xml:space="preserve">податки на загальних умовах (що дозволяє фінансувати вищу освіту з бюджету) та додатково оплачують конкретні освітні послуги за рахунок власних коштів.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Механізм податкової соціальної пільги, передбачений в оподаткуванні доходів громадян (стаття 169 Податкового кодексу України), дозволяє зменшити на суму оплати за навчання (з урахуванням встановлених обмежень) не податкові зобов’язання платника, а лише базу оподаткування – загальний оподатковуваний дохід. Таким чином, за допомогою податкового кредиту фізичній особі - платникові податку - компенсується лише частка його додаткових витрат, пов’язаних з отриманням послуг вищої освіти, а решта залишається некомпенсованими.</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Отже, прирівнювання власних надходжень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від надання освітніх та інших послуг до бюджетних надходжень дискримінує, в податковому сенсі, фізичних осіб, які оплачують такі послуги, оскільки послуги у сфері вищої освіти мають специфічну природу, яку необхідно враховувати при розв’язанні проблеми раціонального поєднання бюджетних та позабюджетних джерел фінансування закладів вищої освіти.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По-друге, для поглибленого використання в законотворчій практиці положень економічної теорії необхідно виходити з теоретичних засад про природу послуги, як специфічного товару взагалі й властивостях утворювальної послуги зокрема.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Товар як об’єкт ринкової економіки – це система, що має свої складові частини й різноманітні форми прояву. Послуги взагалі й освітні послуги, зокрема, можна представити у вигляді комплексу відносин власності, які мають свої властивості й ознаки. Загальновизнано, що послуга становить таке комерційне (тобто за певну плату) задоволення потреби споживача, при якому, на відміну від продажу уречевленої продукції, існує низка відмінностей, а саме:</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послуга – це одночасна й безпосередня взаємодія виробника й споживача, у якій функції покупки й продажу специфічно відокремлені від функції виробництва й споживання;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послуги неможливо накопичувати, складувати й зберігати. Неможливість зберігання й накопичення послуг як товарів позначається на своєрідному розподілі первісних постійних витрат, які в освітньому процесі не тільки мають значний обсяг, але й досить істотну специфіку, в числі постійних і невід’ємних активів закладу освіти важливе місце, крім основних фондів, займають фактичні витрати на такі нематеріальні чинники, які ніколи не враховувалися в бюджетних витратах: імідж і популярність закладів вищої освіти, торговельний знак освітнього закладу, </w:t>
      </w:r>
      <w:r w:rsidRPr="006B4CAD">
        <w:rPr>
          <w:rFonts w:ascii="Times New Roman" w:hAnsi="Times New Roman"/>
          <w:sz w:val="28"/>
          <w:szCs w:val="28"/>
        </w:rPr>
        <w:lastRenderedPageBreak/>
        <w:t>рівень кваліфікації й майстерності викладачів, управлінської майстерності адміністрації закладу освіти, ефективність рекламної діяльності й позиціонування в конкурентному середовищі, ризики, пов’язані з інноваційною діяльністю тощо;</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послуги взагалі, а освітні послуги насамперед, значно залежать від якості виконавчої, творчої й управлінської роботи всіх працівників закладів вищої освіти, що впливає на одержання позабюджетних доходів. Частка і вплив живої праці у формуванні кінцевого результату діяльності державних закладів вищої освіти значно більша, ніж вплив матеріальних елементів, що має відображуватися в результатах розподілу прав власності. На сьогоднішній день цей момент взагалі не враховується.</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Інтелектуальна власність кожного викладача та закладу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 xml:space="preserve">в цілому, яка створюється в процесі науково-дослідницької діяльності та освітнього процесу, нині повністю привласнюється державою (практично вилучається в державний бюджет). Разом із тим інтелектуальна власність у формі монографій, результатів науково-дослідних робіт, виконаних працівниками закладів вищої освіти, є основою для прогресивних методик навчання, підручників, навчальних посібників та іншої навчально-методичної документації. Викладачі все це зробили за плату, що надана не державою, а конкретними замовниками освітніх послуг (студентами, які вносять плату відповідно до умов контракту). Крім того, їм було надане матеріальне забезпечення у вигляді основних фондів, матеріалів та іншого, яке профінансоване також в основному за рахунок позабюджетних надходжень.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У таких умовах певним чином порушується право інтелектуальної власності закладів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та конкретного викладача, гарантоване Цивільним кодексом України.</w:t>
      </w:r>
    </w:p>
    <w:p w:rsidR="00184AC8" w:rsidRPr="006B4CAD"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Заслуговує на увагу також те, що оплата прав інтелектуальної власності взагалі не передбачена чинними ставками оплати праці професорсько-викладацького складу й фактично не фінансується за рахунок державних джерел, хоча їх реальне існування потрібно враховувати за рахунок коштів спеціального фонду, наприклад, преміями за виконання науково-методичних робіт та навчальних посібників;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наукові дослідження та наукові розробки, що є невід’ємною частиною та передумовою необхідного рівня якості сучасної освітньої послуги, переважно не фінансуються за рахунок бюджетних коштів. Тому виникає проблема виділення в загальній сумі комерційних доходів відшкодування за науково-дослідницьку діяльність як недержавну, а витрати на неї як фінансово самостійні й такі, що здійснюються з недержавних джерел. </w:t>
      </w: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lastRenderedPageBreak/>
        <w:t>Таким чином, зняття необґрунтованих та таких, що не відповідають сучасним завданням розвитку вищої освіти, обмежень щодо використання позабюджетних доходів закладів вищої освіти сприятиме зростанню якості освітніх послуг та вирішенню завдань, що стоять на сучасному етапі перед вищою освітою України.</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По-третє, утримання закладів вищої освіти</w:t>
      </w:r>
      <w:r w:rsidR="00184AC8">
        <w:rPr>
          <w:rFonts w:ascii="Times New Roman" w:hAnsi="Times New Roman"/>
          <w:sz w:val="28"/>
          <w:szCs w:val="28"/>
        </w:rPr>
        <w:t xml:space="preserve"> державної форми власності</w:t>
      </w:r>
      <w:r w:rsidRPr="006B4CAD">
        <w:rPr>
          <w:rFonts w:ascii="Times New Roman" w:hAnsi="Times New Roman"/>
          <w:sz w:val="28"/>
          <w:szCs w:val="28"/>
        </w:rPr>
        <w:t xml:space="preserve"> через здійснення видатків бюджету на підготовку кадрів на договірних і конкурсних засадах, виходячи з обсягу державного замовлення, позбавляє їх статусу бюджетних установ, практично прирівнюючи такі утворення до казенних підприємств. Це суттєво змінює права і обов’язки закладів вищої освіти у сфері бюджетних та податкових правовідносин, негативні економічні наслідки яких важко передбачити в повному обсязі. </w:t>
      </w:r>
    </w:p>
    <w:p w:rsidR="00184AC8" w:rsidRPr="006B4CAD" w:rsidRDefault="00184AC8" w:rsidP="00184AC8">
      <w:pPr>
        <w:widowControl w:val="0"/>
        <w:autoSpaceDE w:val="0"/>
        <w:autoSpaceDN w:val="0"/>
        <w:adjustRightInd w:val="0"/>
        <w:ind w:right="71"/>
        <w:jc w:val="both"/>
        <w:rPr>
          <w:rFonts w:ascii="Times New Roman" w:hAnsi="Times New Roman"/>
          <w:sz w:val="28"/>
          <w:szCs w:val="28"/>
        </w:rPr>
      </w:pPr>
    </w:p>
    <w:p w:rsid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Режим коштів, отриманих закладами вищої освіти </w:t>
      </w:r>
      <w:r w:rsidR="00184AC8">
        <w:rPr>
          <w:rFonts w:ascii="Times New Roman" w:hAnsi="Times New Roman"/>
          <w:sz w:val="28"/>
          <w:szCs w:val="28"/>
        </w:rPr>
        <w:t xml:space="preserve">державної форми власності </w:t>
      </w:r>
      <w:r w:rsidRPr="006B4CAD">
        <w:rPr>
          <w:rFonts w:ascii="Times New Roman" w:hAnsi="Times New Roman"/>
          <w:sz w:val="28"/>
          <w:szCs w:val="28"/>
        </w:rPr>
        <w:t>від оплати за освітню діяльність, відповідно до якого вони є коштами спеціального фонду Державного бюджету, не узгоджується з цивільним законодавством та законодавством про освіту. У пункті 9 статті 79 Закону України “</w:t>
      </w:r>
      <w:r w:rsidR="00184AC8">
        <w:rPr>
          <w:rFonts w:ascii="Times New Roman" w:hAnsi="Times New Roman"/>
          <w:sz w:val="28"/>
          <w:szCs w:val="28"/>
        </w:rPr>
        <w:t xml:space="preserve">Про освіту” встановлюється, що </w:t>
      </w:r>
      <w:r w:rsidRPr="006B4CAD">
        <w:rPr>
          <w:rFonts w:ascii="Times New Roman" w:hAnsi="Times New Roman"/>
          <w:sz w:val="28"/>
          <w:szCs w:val="28"/>
        </w:rPr>
        <w:t>з</w:t>
      </w:r>
      <w:r w:rsidR="00184AC8">
        <w:rPr>
          <w:rFonts w:ascii="Times New Roman" w:hAnsi="Times New Roman"/>
          <w:sz w:val="28"/>
          <w:szCs w:val="28"/>
        </w:rPr>
        <w:t>а</w:t>
      </w:r>
      <w:r w:rsidRPr="006B4CAD">
        <w:rPr>
          <w:rFonts w:ascii="Times New Roman" w:hAnsi="Times New Roman"/>
          <w:sz w:val="28"/>
          <w:szCs w:val="28"/>
        </w:rPr>
        <w:t>клади освіти самостійно розпоряджаються надходженнями від провадження господарської та іншої діяльності, передбаченої їхніми установчими документами.</w:t>
      </w:r>
    </w:p>
    <w:p w:rsidR="00184AC8" w:rsidRPr="006B4CAD"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Чинне законодавство у сфері вищої освіти, з одного боку, передбачає можливість залучення позабюджетних коштів за рахунок надання освітніх послуг безпосереднім утримувачам на основі укладених контрактів, а з іншого – обмежує можливості використання отриманого доходу.</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Поширення режиму використання бюджетних коштів на дохід від надання освітніх послуг кінцевим споживачам за їх власний рахунок має негативні наслідки для розвитку вищих навчальних закладів державної форми власності й вищої освіти в цілому, зокрема:</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включення позабюджетних коштів до кошторису скорочує розмір реального бюджетного фінансування вищої освіти, у результаті чого по мірі збільшення обсягів доходів від контрактної форми навчання та інших освітніх послуг частка прямого бюджетного фінансування конкретного вищого навчального закладу зменшується, бо при розподілі коштів із загального фонду враховується те, що той чи інший вищий навчальний заклад уже має, наприклад, для поточного ремонту кошти зі спеціального фонду;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xml:space="preserve">• закріплення коштів, отриманих із позабюджетних джерел, за конкретними напрямками їх використання у складі кошторису суттєво звужує можливість </w:t>
      </w:r>
      <w:r w:rsidRPr="006B4CAD">
        <w:rPr>
          <w:rFonts w:ascii="Times New Roman" w:hAnsi="Times New Roman"/>
          <w:sz w:val="28"/>
          <w:szCs w:val="28"/>
        </w:rPr>
        <w:lastRenderedPageBreak/>
        <w:t>маневру наявними коштами. Це не дозволяє оперативно фінансувати невідкладні заходи з урахуванням конкретних інтересів і специфіки навчального закладу та спричиняє необґрунтовані перешкоди для акумуляції коштів на вирішальних напрямках розвитку закладів освіти</w:t>
      </w:r>
      <w:r w:rsidR="00184AC8">
        <w:rPr>
          <w:rFonts w:ascii="Times New Roman" w:hAnsi="Times New Roman"/>
          <w:sz w:val="28"/>
          <w:szCs w:val="28"/>
        </w:rPr>
        <w:t xml:space="preserve"> державної форми власності</w:t>
      </w:r>
      <w:r w:rsidRPr="006B4CAD">
        <w:rPr>
          <w:rFonts w:ascii="Times New Roman" w:hAnsi="Times New Roman"/>
          <w:sz w:val="28"/>
          <w:szCs w:val="28"/>
        </w:rPr>
        <w:t xml:space="preserve">; </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застосування процедур тендерної закупівлі товарів, робіт та послуг, що є зрозумілим для використання бюджетних коштів, є абсурдним для закупівель товарів, робіт та послуг за рахунок власних коштів навчального закладу. Справа в тому, що основним критерієм тендерної закупівлі є мінімальна ціна товарів і послуг без урахування їх якості. Це призводить до того, що навчальні заклади одержують дешеві, але неякісні товари і послуги. Якщо на етапі виживання вищої освіти такий підхід можна було вважати зрозумілим, то в період розвитку він є неефективним, оскільки сучасна вища освіта потребує випереджального розвитку матеріальної бази та широкомасштабного використання в навчальному процесі найсучаснішої техніки та технології;</w:t>
      </w:r>
    </w:p>
    <w:p w:rsidR="00184AC8" w:rsidRPr="006B4CAD"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надходження коштів від надання освітніх послуг має чітко виражений сезонний характер. За умовами контракту оплата за навчання здійснюється у вищому навчальному закладі, як правило, двічі на рік – перед початком відповідного семестру.</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6B4CAD" w:rsidRPr="006B4CAD"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 позабюджетні кошти, отримані закладами вищої освіти</w:t>
      </w:r>
      <w:r w:rsidR="00184AC8">
        <w:rPr>
          <w:rFonts w:ascii="Times New Roman" w:hAnsi="Times New Roman"/>
          <w:sz w:val="28"/>
          <w:szCs w:val="28"/>
        </w:rPr>
        <w:t xml:space="preserve"> державної форми власності</w:t>
      </w:r>
      <w:r w:rsidRPr="006B4CAD">
        <w:rPr>
          <w:rFonts w:ascii="Times New Roman" w:hAnsi="Times New Roman"/>
          <w:sz w:val="28"/>
          <w:szCs w:val="28"/>
        </w:rPr>
        <w:t>, є різнорідними за своїм економічним змістом. Так, разом з оплатою за навчання, заклади освіти отримують плату за виконання науково-дослідницьких робіт за рахунок підприємств та організацій, спонсорську та меценатську допомогу, гранти на проведення науково-дослідницької діяльності з різних недержавних джерел фінансування, але на них також розповсюджується режим бюджетних коштів. Доходи від отримання грантів на проведення наукових досліджень також не можна вважати бюджетними коштами, бо це власність відповідних колективів та конкретних виконавців.</w:t>
      </w:r>
    </w:p>
    <w:p w:rsidR="00184AC8" w:rsidRDefault="00184AC8" w:rsidP="006B4CAD">
      <w:pPr>
        <w:widowControl w:val="0"/>
        <w:autoSpaceDE w:val="0"/>
        <w:autoSpaceDN w:val="0"/>
        <w:adjustRightInd w:val="0"/>
        <w:ind w:right="71" w:firstLine="720"/>
        <w:jc w:val="both"/>
        <w:rPr>
          <w:rFonts w:ascii="Times New Roman" w:hAnsi="Times New Roman"/>
          <w:sz w:val="28"/>
          <w:szCs w:val="28"/>
        </w:rPr>
      </w:pPr>
    </w:p>
    <w:p w:rsidR="005C567E" w:rsidRDefault="006B4CAD" w:rsidP="006B4CAD">
      <w:pPr>
        <w:widowControl w:val="0"/>
        <w:autoSpaceDE w:val="0"/>
        <w:autoSpaceDN w:val="0"/>
        <w:adjustRightInd w:val="0"/>
        <w:ind w:right="71" w:firstLine="720"/>
        <w:jc w:val="both"/>
        <w:rPr>
          <w:rFonts w:ascii="Times New Roman" w:hAnsi="Times New Roman"/>
          <w:sz w:val="28"/>
          <w:szCs w:val="28"/>
        </w:rPr>
      </w:pPr>
      <w:r w:rsidRPr="006B4CAD">
        <w:rPr>
          <w:rFonts w:ascii="Times New Roman" w:hAnsi="Times New Roman"/>
          <w:sz w:val="28"/>
          <w:szCs w:val="28"/>
        </w:rPr>
        <w:t>Недоліком такого підходу є також те, що обмеження у сфері використання позабюджетних коштів ставить в нерівні умови державні й недержавні заклади вищої освіти, що означає неприпустиму, зважаючи на чинне законодавство, дискримінацію перших за формою власності.</w:t>
      </w:r>
    </w:p>
    <w:p w:rsidR="000401BC" w:rsidRPr="000401BC" w:rsidRDefault="000401BC" w:rsidP="00184AC8">
      <w:pPr>
        <w:widowControl w:val="0"/>
        <w:autoSpaceDE w:val="0"/>
        <w:autoSpaceDN w:val="0"/>
        <w:adjustRightInd w:val="0"/>
        <w:ind w:right="71"/>
        <w:jc w:val="both"/>
        <w:rPr>
          <w:rFonts w:ascii="Times New Roman" w:hAnsi="Times New Roman"/>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2. Цілі і завдання прийняття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Default="00D15FA1"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Метою законопроє</w:t>
      </w:r>
      <w:r w:rsidR="00EB0B97" w:rsidRPr="000401BC">
        <w:rPr>
          <w:rFonts w:ascii="Times New Roman" w:hAnsi="Times New Roman"/>
          <w:sz w:val="28"/>
          <w:szCs w:val="28"/>
        </w:rPr>
        <w:t xml:space="preserve">кту є </w:t>
      </w:r>
      <w:r w:rsidR="00184AC8">
        <w:rPr>
          <w:rFonts w:ascii="Times New Roman" w:hAnsi="Times New Roman"/>
          <w:sz w:val="28"/>
          <w:szCs w:val="28"/>
        </w:rPr>
        <w:t>вдосконалення процедури</w:t>
      </w:r>
      <w:r w:rsidR="00184AC8" w:rsidRPr="00184AC8">
        <w:rPr>
          <w:rFonts w:ascii="Times New Roman" w:hAnsi="Times New Roman"/>
          <w:sz w:val="28"/>
          <w:szCs w:val="28"/>
        </w:rPr>
        <w:t xml:space="preserve"> використання коштів спеціального фонду закладу вищої освіти від надання платних послуг у сфері вищої освіти</w:t>
      </w:r>
      <w:r w:rsidR="000401BC">
        <w:rPr>
          <w:rFonts w:ascii="Times New Roman" w:hAnsi="Times New Roman"/>
          <w:sz w:val="28"/>
          <w:szCs w:val="28"/>
        </w:rPr>
        <w:t>.</w:t>
      </w:r>
    </w:p>
    <w:p w:rsidR="000401BC" w:rsidRPr="000401BC" w:rsidRDefault="000401BC"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lastRenderedPageBreak/>
        <w:t xml:space="preserve">3. Загальна характеристика і основні положення проекту акта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Default="00EB0B97" w:rsidP="003E4049">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Законопроєктом передбачається </w:t>
      </w:r>
      <w:r w:rsidR="003E4049" w:rsidRPr="000401BC">
        <w:rPr>
          <w:rFonts w:ascii="Times New Roman" w:hAnsi="Times New Roman"/>
          <w:sz w:val="28"/>
          <w:szCs w:val="28"/>
        </w:rPr>
        <w:t>визначення на законодавчому рівні</w:t>
      </w:r>
      <w:r w:rsidR="00184AC8">
        <w:rPr>
          <w:rFonts w:ascii="Times New Roman" w:hAnsi="Times New Roman"/>
          <w:sz w:val="28"/>
          <w:szCs w:val="28"/>
        </w:rPr>
        <w:t xml:space="preserve"> наступне:</w:t>
      </w:r>
    </w:p>
    <w:p w:rsidR="00184AC8" w:rsidRDefault="00184AC8" w:rsidP="003E4049">
      <w:pPr>
        <w:widowControl w:val="0"/>
        <w:autoSpaceDE w:val="0"/>
        <w:autoSpaceDN w:val="0"/>
        <w:adjustRightInd w:val="0"/>
        <w:ind w:right="71" w:firstLine="720"/>
        <w:jc w:val="both"/>
        <w:rPr>
          <w:rFonts w:ascii="Times New Roman" w:hAnsi="Times New Roman"/>
          <w:sz w:val="28"/>
          <w:szCs w:val="28"/>
        </w:rPr>
      </w:pPr>
    </w:p>
    <w:p w:rsidR="00184AC8" w:rsidRDefault="00184AC8" w:rsidP="00184AC8">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к</w:t>
      </w:r>
      <w:r w:rsidRPr="00184AC8">
        <w:rPr>
          <w:rFonts w:ascii="Times New Roman" w:hAnsi="Times New Roman"/>
          <w:sz w:val="28"/>
          <w:szCs w:val="28"/>
        </w:rPr>
        <w:t>ошти, отримані закладом вищої освіти державної та комунальної форм власності від надання платних послуг у сфері вищої освіти та пов’язаних з нею інших сферах діяльності, не включаються до спеціального фонду бюджетів і коштор</w:t>
      </w:r>
      <w:r>
        <w:rPr>
          <w:rFonts w:ascii="Times New Roman" w:hAnsi="Times New Roman"/>
          <w:sz w:val="28"/>
          <w:szCs w:val="28"/>
        </w:rPr>
        <w:t>ису такого закладу вищої освіти;</w:t>
      </w:r>
    </w:p>
    <w:p w:rsidR="00184AC8" w:rsidRPr="00184AC8" w:rsidRDefault="00184AC8" w:rsidP="00184AC8">
      <w:pPr>
        <w:widowControl w:val="0"/>
        <w:autoSpaceDE w:val="0"/>
        <w:autoSpaceDN w:val="0"/>
        <w:adjustRightInd w:val="0"/>
        <w:ind w:right="71" w:firstLine="720"/>
        <w:jc w:val="both"/>
        <w:rPr>
          <w:rFonts w:ascii="Times New Roman" w:hAnsi="Times New Roman"/>
          <w:sz w:val="28"/>
          <w:szCs w:val="28"/>
        </w:rPr>
      </w:pPr>
    </w:p>
    <w:p w:rsidR="00184AC8" w:rsidRPr="00184AC8" w:rsidRDefault="00184AC8" w:rsidP="00184AC8">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к</w:t>
      </w:r>
      <w:r w:rsidRPr="00184AC8">
        <w:rPr>
          <w:rFonts w:ascii="Times New Roman" w:hAnsi="Times New Roman"/>
          <w:sz w:val="28"/>
          <w:szCs w:val="28"/>
        </w:rPr>
        <w:t>ерівники закладів вищої освіти здійснюють розпорядження коштами від надання платних послуг у сфері вищої освіти та пов’язаних з нею інших сферах діяльності виключно в межах забезпечення статутної діяльності ві</w:t>
      </w:r>
      <w:r>
        <w:rPr>
          <w:rFonts w:ascii="Times New Roman" w:hAnsi="Times New Roman"/>
          <w:sz w:val="28"/>
          <w:szCs w:val="28"/>
        </w:rPr>
        <w:t>дповідних закладів вищої освіти;</w:t>
      </w:r>
    </w:p>
    <w:p w:rsidR="00184AC8" w:rsidRDefault="00184AC8" w:rsidP="00184AC8">
      <w:pPr>
        <w:widowControl w:val="0"/>
        <w:autoSpaceDE w:val="0"/>
        <w:autoSpaceDN w:val="0"/>
        <w:adjustRightInd w:val="0"/>
        <w:ind w:right="71" w:firstLine="720"/>
        <w:jc w:val="both"/>
        <w:rPr>
          <w:rFonts w:ascii="Times New Roman" w:hAnsi="Times New Roman"/>
          <w:sz w:val="28"/>
          <w:szCs w:val="28"/>
        </w:rPr>
      </w:pPr>
    </w:p>
    <w:p w:rsidR="00184AC8" w:rsidRDefault="00184AC8" w:rsidP="00184AC8">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з</w:t>
      </w:r>
      <w:r w:rsidRPr="00184AC8">
        <w:rPr>
          <w:rFonts w:ascii="Times New Roman" w:hAnsi="Times New Roman"/>
          <w:sz w:val="28"/>
          <w:szCs w:val="28"/>
        </w:rPr>
        <w:t>алучення закладами вищої освіти державної та комунальної форм власності додаткових джерел фінансування від надання дозволених законодавством платних послуг не тягне за собою зниження державних та місцевих нормативів фінансування та (або) розмірів фінансування, передбачених у відповідних бюджетах</w:t>
      </w:r>
      <w:r>
        <w:rPr>
          <w:rFonts w:ascii="Times New Roman" w:hAnsi="Times New Roman"/>
          <w:sz w:val="28"/>
          <w:szCs w:val="28"/>
        </w:rPr>
        <w:t>.</w:t>
      </w:r>
    </w:p>
    <w:p w:rsidR="000401BC" w:rsidRPr="000401BC" w:rsidRDefault="000401BC" w:rsidP="003E4049">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4. Стан нормативно-правової бази в цій сфері правового регулювання</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Основними нормативно-правовими актами, які регулюють зазначене питання, є: </w:t>
      </w: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 xml:space="preserve">Закон України «Про </w:t>
      </w:r>
      <w:r w:rsidR="000401BC">
        <w:rPr>
          <w:rFonts w:ascii="Times New Roman" w:hAnsi="Times New Roman"/>
          <w:sz w:val="28"/>
          <w:szCs w:val="28"/>
        </w:rPr>
        <w:t>вищу освіту</w:t>
      </w:r>
      <w:r w:rsidR="00184AC8">
        <w:rPr>
          <w:rFonts w:ascii="Times New Roman" w:hAnsi="Times New Roman"/>
          <w:sz w:val="28"/>
          <w:szCs w:val="28"/>
        </w:rPr>
        <w:t>»;</w:t>
      </w: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p>
    <w:p w:rsidR="00184AC8" w:rsidRDefault="00184AC8" w:rsidP="00EB0B97">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Бюджетний кодекс України.</w:t>
      </w:r>
    </w:p>
    <w:p w:rsidR="00184AC8" w:rsidRDefault="00184AC8"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D15FA1"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Прийняття законопроє</w:t>
      </w:r>
      <w:r w:rsidR="00EB0B97" w:rsidRPr="000401BC">
        <w:rPr>
          <w:rFonts w:ascii="Times New Roman" w:hAnsi="Times New Roman"/>
          <w:sz w:val="28"/>
          <w:szCs w:val="28"/>
        </w:rPr>
        <w:t>кту не потребує внесення змін до інших Законів України.</w:t>
      </w: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5. Фінансово-економічне обґрунтування </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Прийняття проєкту Закону України «</w:t>
      </w:r>
      <w:r w:rsidR="003E2846" w:rsidRPr="003E2846">
        <w:rPr>
          <w:rFonts w:ascii="Times New Roman" w:hAnsi="Times New Roman"/>
          <w:sz w:val="28"/>
          <w:szCs w:val="28"/>
        </w:rPr>
        <w:t>Про внесення змін до статті 71 Закону України "Про вищу освіту" щодо питання використання коштів спеціального фонду закладу вищої освіти від надання платних послуг у сфері вищої освіти</w:t>
      </w:r>
      <w:r w:rsidRPr="000401BC">
        <w:rPr>
          <w:rFonts w:ascii="Times New Roman" w:hAnsi="Times New Roman"/>
          <w:sz w:val="28"/>
          <w:szCs w:val="28"/>
        </w:rPr>
        <w:t xml:space="preserve">» </w:t>
      </w:r>
      <w:r w:rsidR="00F8234F" w:rsidRPr="000401BC">
        <w:rPr>
          <w:rFonts w:ascii="Times New Roman" w:hAnsi="Times New Roman"/>
          <w:sz w:val="28"/>
          <w:szCs w:val="28"/>
        </w:rPr>
        <w:t>не потребує додаткових коштів з Державного бюджету України та місцевих бюджетів.</w:t>
      </w:r>
    </w:p>
    <w:p w:rsidR="00EB0B97" w:rsidRDefault="00EB0B97" w:rsidP="00EB0B97">
      <w:pPr>
        <w:widowControl w:val="0"/>
        <w:autoSpaceDE w:val="0"/>
        <w:autoSpaceDN w:val="0"/>
        <w:adjustRightInd w:val="0"/>
        <w:ind w:right="71" w:firstLine="720"/>
        <w:jc w:val="both"/>
        <w:rPr>
          <w:rFonts w:ascii="Times New Roman" w:hAnsi="Times New Roman"/>
          <w:b/>
          <w:bCs/>
          <w:sz w:val="28"/>
          <w:szCs w:val="28"/>
        </w:rPr>
      </w:pPr>
    </w:p>
    <w:p w:rsidR="003E2846" w:rsidRDefault="003E2846" w:rsidP="00EB0B97">
      <w:pPr>
        <w:widowControl w:val="0"/>
        <w:autoSpaceDE w:val="0"/>
        <w:autoSpaceDN w:val="0"/>
        <w:adjustRightInd w:val="0"/>
        <w:ind w:right="71" w:firstLine="720"/>
        <w:jc w:val="both"/>
        <w:rPr>
          <w:rFonts w:ascii="Times New Roman" w:hAnsi="Times New Roman"/>
          <w:b/>
          <w:bCs/>
          <w:sz w:val="28"/>
          <w:szCs w:val="28"/>
        </w:rPr>
      </w:pPr>
    </w:p>
    <w:p w:rsidR="003E2846" w:rsidRPr="000401BC" w:rsidRDefault="003E2846" w:rsidP="00EB0B97">
      <w:pPr>
        <w:widowControl w:val="0"/>
        <w:autoSpaceDE w:val="0"/>
        <w:autoSpaceDN w:val="0"/>
        <w:adjustRightInd w:val="0"/>
        <w:ind w:right="71" w:firstLine="720"/>
        <w:jc w:val="both"/>
        <w:rPr>
          <w:rFonts w:ascii="Times New Roman" w:hAnsi="Times New Roman"/>
          <w:b/>
          <w:bCs/>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lastRenderedPageBreak/>
        <w:t>6. Прогноз соціально-економічних та інших наслідків прийняття акта</w:t>
      </w:r>
    </w:p>
    <w:p w:rsidR="006F1934" w:rsidRPr="000401BC" w:rsidRDefault="006F1934" w:rsidP="00EB0B97">
      <w:pPr>
        <w:widowControl w:val="0"/>
        <w:autoSpaceDE w:val="0"/>
        <w:autoSpaceDN w:val="0"/>
        <w:adjustRightInd w:val="0"/>
        <w:ind w:right="71" w:firstLine="720"/>
        <w:jc w:val="both"/>
        <w:rPr>
          <w:rFonts w:ascii="Times New Roman" w:hAnsi="Times New Roman"/>
          <w:sz w:val="28"/>
          <w:szCs w:val="28"/>
        </w:rPr>
      </w:pPr>
    </w:p>
    <w:p w:rsidR="003E2846" w:rsidRDefault="00D15FA1" w:rsidP="003E2846">
      <w:pPr>
        <w:widowControl w:val="0"/>
        <w:autoSpaceDE w:val="0"/>
        <w:autoSpaceDN w:val="0"/>
        <w:adjustRightInd w:val="0"/>
        <w:ind w:right="71" w:firstLine="720"/>
        <w:jc w:val="both"/>
        <w:rPr>
          <w:rFonts w:ascii="Times New Roman" w:hAnsi="Times New Roman"/>
          <w:sz w:val="28"/>
          <w:szCs w:val="28"/>
        </w:rPr>
      </w:pPr>
      <w:r w:rsidRPr="000401BC">
        <w:rPr>
          <w:rFonts w:ascii="Times New Roman" w:hAnsi="Times New Roman"/>
          <w:sz w:val="28"/>
          <w:szCs w:val="28"/>
        </w:rPr>
        <w:t>Реалізація проє</w:t>
      </w:r>
      <w:r w:rsidR="00EB0B97" w:rsidRPr="000401BC">
        <w:rPr>
          <w:rFonts w:ascii="Times New Roman" w:hAnsi="Times New Roman"/>
          <w:sz w:val="28"/>
          <w:szCs w:val="28"/>
        </w:rPr>
        <w:t xml:space="preserve">кту акта дозволить </w:t>
      </w:r>
      <w:r w:rsidR="003E2846">
        <w:rPr>
          <w:rFonts w:ascii="Times New Roman" w:hAnsi="Times New Roman"/>
          <w:sz w:val="28"/>
          <w:szCs w:val="28"/>
        </w:rPr>
        <w:t>вдосконалити процедуру</w:t>
      </w:r>
      <w:r w:rsidR="003E2846" w:rsidRPr="00184AC8">
        <w:rPr>
          <w:rFonts w:ascii="Times New Roman" w:hAnsi="Times New Roman"/>
          <w:sz w:val="28"/>
          <w:szCs w:val="28"/>
        </w:rPr>
        <w:t xml:space="preserve"> використання коштів спеціального фонду закладу вищої освіти від надання платних послуг у сфері вищої освіти</w:t>
      </w:r>
      <w:r w:rsidR="003E2846">
        <w:rPr>
          <w:rFonts w:ascii="Times New Roman" w:hAnsi="Times New Roman"/>
          <w:sz w:val="28"/>
          <w:szCs w:val="28"/>
        </w:rPr>
        <w:t>.</w:t>
      </w:r>
    </w:p>
    <w:p w:rsidR="00EB0B97" w:rsidRDefault="000401BC" w:rsidP="00EB0B97">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w:t>
      </w:r>
    </w:p>
    <w:p w:rsidR="000401BC" w:rsidRPr="000401BC" w:rsidRDefault="000401BC" w:rsidP="00EB0B97">
      <w:pPr>
        <w:widowControl w:val="0"/>
        <w:autoSpaceDE w:val="0"/>
        <w:autoSpaceDN w:val="0"/>
        <w:adjustRightInd w:val="0"/>
        <w:ind w:right="71" w:firstLine="720"/>
        <w:jc w:val="both"/>
        <w:rPr>
          <w:rFonts w:ascii="Times New Roman" w:hAnsi="Times New Roman"/>
          <w:sz w:val="28"/>
          <w:szCs w:val="28"/>
        </w:rPr>
      </w:pPr>
    </w:p>
    <w:p w:rsidR="00EB0B97" w:rsidRPr="000401BC" w:rsidRDefault="00EB0B97" w:rsidP="00EB0B97">
      <w:pPr>
        <w:widowControl w:val="0"/>
        <w:autoSpaceDE w:val="0"/>
        <w:autoSpaceDN w:val="0"/>
        <w:adjustRightInd w:val="0"/>
        <w:ind w:right="71" w:firstLine="720"/>
        <w:jc w:val="both"/>
        <w:rPr>
          <w:rFonts w:ascii="Times New Roman" w:hAnsi="Times New Roman"/>
          <w:b/>
          <w:bCs/>
          <w:sz w:val="28"/>
          <w:szCs w:val="28"/>
        </w:rPr>
      </w:pPr>
      <w:r w:rsidRPr="000401BC">
        <w:rPr>
          <w:rFonts w:ascii="Times New Roman" w:hAnsi="Times New Roman"/>
          <w:b/>
          <w:bCs/>
          <w:sz w:val="28"/>
          <w:szCs w:val="28"/>
        </w:rPr>
        <w:t xml:space="preserve">Народний депутат України                               </w:t>
      </w:r>
      <w:r w:rsidRPr="000401BC">
        <w:rPr>
          <w:rFonts w:ascii="Times New Roman" w:hAnsi="Times New Roman"/>
          <w:b/>
          <w:bCs/>
          <w:sz w:val="28"/>
          <w:szCs w:val="28"/>
        </w:rPr>
        <w:tab/>
        <w:t xml:space="preserve">     </w:t>
      </w:r>
    </w:p>
    <w:p w:rsidR="00EB0B97" w:rsidRPr="000401BC" w:rsidRDefault="0083298B" w:rsidP="00EB0B97">
      <w:pPr>
        <w:widowControl w:val="0"/>
        <w:autoSpaceDE w:val="0"/>
        <w:autoSpaceDN w:val="0"/>
        <w:adjustRightInd w:val="0"/>
        <w:ind w:left="6360" w:right="71" w:firstLine="720"/>
        <w:jc w:val="both"/>
        <w:rPr>
          <w:rFonts w:ascii="Times New Roman" w:hAnsi="Times New Roman"/>
          <w:b/>
          <w:bCs/>
          <w:sz w:val="28"/>
          <w:szCs w:val="28"/>
        </w:rPr>
      </w:pPr>
      <w:r>
        <w:rPr>
          <w:rFonts w:ascii="Times New Roman" w:hAnsi="Times New Roman"/>
          <w:b/>
          <w:bCs/>
          <w:sz w:val="28"/>
          <w:szCs w:val="28"/>
        </w:rPr>
        <w:t>Лукашев О.А.</w:t>
      </w:r>
    </w:p>
    <w:p w:rsidR="00FA3E77" w:rsidRPr="000401BC" w:rsidRDefault="00FA3E77" w:rsidP="00EB0B97">
      <w:pPr>
        <w:jc w:val="both"/>
        <w:rPr>
          <w:rFonts w:ascii="Times New Roman" w:hAnsi="Times New Roman"/>
          <w:sz w:val="28"/>
          <w:szCs w:val="28"/>
        </w:rPr>
      </w:pPr>
    </w:p>
    <w:sectPr w:rsidR="00FA3E77" w:rsidRPr="000401BC" w:rsidSect="00FC6984">
      <w:headerReference w:type="even" r:id="rId10"/>
      <w:headerReference w:type="default" r:id="rId11"/>
      <w:pgSz w:w="12240" w:h="15840"/>
      <w:pgMar w:top="1134" w:right="851" w:bottom="1134" w:left="1418"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983" w:rsidRDefault="00650983">
      <w:r>
        <w:separator/>
      </w:r>
    </w:p>
  </w:endnote>
  <w:endnote w:type="continuationSeparator" w:id="0">
    <w:p w:rsidR="00650983" w:rsidRDefault="0065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983" w:rsidRDefault="00650983">
      <w:r>
        <w:separator/>
      </w:r>
    </w:p>
  </w:footnote>
  <w:footnote w:type="continuationSeparator" w:id="0">
    <w:p w:rsidR="00650983" w:rsidRDefault="00650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65098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6F193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007CB">
      <w:rPr>
        <w:rStyle w:val="a6"/>
        <w:noProof/>
      </w:rPr>
      <w:t>1</w:t>
    </w:r>
    <w:r>
      <w:rPr>
        <w:rStyle w:val="a6"/>
      </w:rPr>
      <w:fldChar w:fldCharType="end"/>
    </w:r>
  </w:p>
  <w:p w:rsidR="00FC6984" w:rsidRDefault="0065098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314EB"/>
    <w:multiLevelType w:val="hybridMultilevel"/>
    <w:tmpl w:val="F0605502"/>
    <w:lvl w:ilvl="0" w:tplc="267A74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97"/>
    <w:rsid w:val="000401BC"/>
    <w:rsid w:val="000462A5"/>
    <w:rsid w:val="000540B1"/>
    <w:rsid w:val="000F0922"/>
    <w:rsid w:val="00184AC8"/>
    <w:rsid w:val="003E2846"/>
    <w:rsid w:val="003E4049"/>
    <w:rsid w:val="00565BE4"/>
    <w:rsid w:val="005B66AD"/>
    <w:rsid w:val="005C567E"/>
    <w:rsid w:val="00641224"/>
    <w:rsid w:val="00650983"/>
    <w:rsid w:val="006B4CAD"/>
    <w:rsid w:val="006F1934"/>
    <w:rsid w:val="007C7995"/>
    <w:rsid w:val="007E3744"/>
    <w:rsid w:val="008007CB"/>
    <w:rsid w:val="0083298B"/>
    <w:rsid w:val="00A4346B"/>
    <w:rsid w:val="00B9781D"/>
    <w:rsid w:val="00D15FA1"/>
    <w:rsid w:val="00D260C0"/>
    <w:rsid w:val="00D3331D"/>
    <w:rsid w:val="00EB0B97"/>
    <w:rsid w:val="00F8234F"/>
    <w:rsid w:val="00FA3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5260BA-5278-4363-8779-DE90A80C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B97"/>
    <w:pPr>
      <w:spacing w:after="0" w:line="240" w:lineRule="auto"/>
    </w:pPr>
    <w:rPr>
      <w:rFonts w:ascii="Cambria" w:eastAsia="MS ??" w:hAnsi="Cambria"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0B97"/>
    <w:pPr>
      <w:ind w:left="720"/>
      <w:contextualSpacing/>
    </w:pPr>
  </w:style>
  <w:style w:type="paragraph" w:styleId="a4">
    <w:name w:val="header"/>
    <w:basedOn w:val="a"/>
    <w:link w:val="a5"/>
    <w:uiPriority w:val="99"/>
    <w:rsid w:val="00EB0B97"/>
    <w:pPr>
      <w:tabs>
        <w:tab w:val="center" w:pos="4819"/>
        <w:tab w:val="right" w:pos="9639"/>
      </w:tabs>
    </w:pPr>
  </w:style>
  <w:style w:type="character" w:customStyle="1" w:styleId="a5">
    <w:name w:val="Верхній колонтитул Знак"/>
    <w:basedOn w:val="a0"/>
    <w:link w:val="a4"/>
    <w:uiPriority w:val="99"/>
    <w:rsid w:val="00EB0B97"/>
    <w:rPr>
      <w:rFonts w:ascii="Cambria" w:eastAsia="MS ??" w:hAnsi="Cambria" w:cs="Times New Roman"/>
      <w:sz w:val="24"/>
      <w:szCs w:val="24"/>
      <w:lang w:val="uk-UA" w:eastAsia="ru-RU"/>
    </w:rPr>
  </w:style>
  <w:style w:type="character" w:styleId="a6">
    <w:name w:val="page number"/>
    <w:uiPriority w:val="99"/>
    <w:rsid w:val="00EB0B9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EE2384-117D-4FDA-A3A1-58D5B79D84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C58AB5-2A27-418F-BD64-A9D531A89F8E}">
  <ds:schemaRefs>
    <ds:schemaRef ds:uri="http://schemas.microsoft.com/sharepoint/v3/contenttype/forms"/>
  </ds:schemaRefs>
</ds:datastoreItem>
</file>

<file path=customXml/itemProps3.xml><?xml version="1.0" encoding="utf-8"?>
<ds:datastoreItem xmlns:ds="http://schemas.openxmlformats.org/officeDocument/2006/customXml" ds:itemID="{D760AC24-11D1-41AF-8FB8-E15D12B92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8795</Words>
  <Characters>5014</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2021-05-07T07:32:00Z</dcterms:created>
  <dcterms:modified xsi:type="dcterms:W3CDTF">2021-05-07T07:32:00Z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