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49C" w:rsidRPr="0047759B" w:rsidRDefault="004F249C" w:rsidP="008B458B">
      <w:pPr>
        <w:spacing w:after="0" w:line="240" w:lineRule="auto"/>
        <w:ind w:firstLine="720"/>
        <w:jc w:val="center"/>
        <w:rPr>
          <w:rFonts w:ascii="Times New Roman" w:eastAsia="SimSun" w:hAnsi="Times New Roman" w:cs="Times New Roman"/>
          <w:b/>
          <w:caps/>
          <w:color w:val="000000"/>
          <w:sz w:val="28"/>
          <w:szCs w:val="28"/>
          <w:lang w:eastAsia="zh-CN"/>
        </w:rPr>
      </w:pPr>
      <w:bookmarkStart w:id="0" w:name="_GoBack"/>
      <w:bookmarkEnd w:id="0"/>
      <w:r w:rsidRPr="0047759B">
        <w:rPr>
          <w:rFonts w:ascii="Times New Roman" w:eastAsia="SimSun" w:hAnsi="Times New Roman" w:cs="Times New Roman"/>
          <w:b/>
          <w:caps/>
          <w:color w:val="000000"/>
          <w:sz w:val="28"/>
          <w:szCs w:val="28"/>
          <w:lang w:eastAsia="zh-CN"/>
        </w:rPr>
        <w:t>Пояснювальна записка</w:t>
      </w:r>
    </w:p>
    <w:p w:rsidR="004F249C" w:rsidRPr="0047759B" w:rsidRDefault="004F249C" w:rsidP="00E557F1">
      <w:pPr>
        <w:spacing w:after="0" w:line="240" w:lineRule="auto"/>
        <w:ind w:firstLine="720"/>
        <w:jc w:val="center"/>
        <w:rPr>
          <w:rFonts w:ascii="Times New Roman" w:eastAsia="SimSun" w:hAnsi="Times New Roman" w:cs="Times New Roman"/>
          <w:b/>
          <w:color w:val="000000"/>
          <w:sz w:val="28"/>
          <w:szCs w:val="28"/>
          <w:lang w:eastAsia="zh-CN"/>
        </w:rPr>
      </w:pPr>
      <w:r w:rsidRPr="0047759B">
        <w:rPr>
          <w:rFonts w:ascii="Times New Roman" w:eastAsia="SimSun" w:hAnsi="Times New Roman" w:cs="Times New Roman"/>
          <w:b/>
          <w:color w:val="000000"/>
          <w:sz w:val="28"/>
          <w:szCs w:val="28"/>
          <w:lang w:eastAsia="zh-CN"/>
        </w:rPr>
        <w:t>до проекту Закону України «Про внесення змін до деяких законів України з метою соціального захисту осіб, які отримали профілактичне щеплення (вакцинацію) проти інфекційних хвороб»</w:t>
      </w:r>
    </w:p>
    <w:p w:rsidR="004F249C" w:rsidRPr="0047759B" w:rsidRDefault="004F249C" w:rsidP="0047759B">
      <w:pPr>
        <w:autoSpaceDE w:val="0"/>
        <w:autoSpaceDN w:val="0"/>
        <w:adjustRightInd w:val="0"/>
        <w:spacing w:after="0" w:line="240" w:lineRule="auto"/>
        <w:ind w:firstLine="720"/>
        <w:rPr>
          <w:rFonts w:ascii="Times New Roman" w:eastAsia="SimSun" w:hAnsi="Times New Roman" w:cs="Times New Roman"/>
          <w:b/>
          <w:bCs/>
          <w:color w:val="000000"/>
          <w:sz w:val="28"/>
          <w:szCs w:val="28"/>
          <w:lang w:eastAsia="zh-CN"/>
        </w:rPr>
      </w:pPr>
    </w:p>
    <w:p w:rsidR="004F249C" w:rsidRPr="0047759B" w:rsidRDefault="004F249C" w:rsidP="0047759B">
      <w:pPr>
        <w:numPr>
          <w:ilvl w:val="0"/>
          <w:numId w:val="2"/>
        </w:numPr>
        <w:autoSpaceDE w:val="0"/>
        <w:autoSpaceDN w:val="0"/>
        <w:adjustRightInd w:val="0"/>
        <w:spacing w:line="240" w:lineRule="auto"/>
        <w:rPr>
          <w:rFonts w:ascii="Times New Roman" w:eastAsia="SimSun" w:hAnsi="Times New Roman" w:cs="Times New Roman"/>
          <w:b/>
          <w:color w:val="000000"/>
          <w:sz w:val="28"/>
          <w:szCs w:val="28"/>
          <w:lang w:eastAsia="zh-CN"/>
        </w:rPr>
      </w:pPr>
      <w:r w:rsidRPr="0047759B">
        <w:rPr>
          <w:rFonts w:ascii="Times New Roman" w:eastAsia="SimSun" w:hAnsi="Times New Roman" w:cs="Times New Roman"/>
          <w:b/>
          <w:color w:val="000000"/>
          <w:sz w:val="28"/>
          <w:szCs w:val="28"/>
          <w:lang w:eastAsia="zh-CN"/>
        </w:rPr>
        <w:t>Обґрунтування необхідності прийняття законопроекту</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Згідно з опитуванням Київського міжнародного інституту соціології (КМІС) на початок травня 2021 р. 53% українців не готові зробити щеплення у найближчі декілька місяців. На запитання «Чому Ви не готові вакцинуватися?», більшість відповіли, що вакцини ще недостатньо перевірені (40%), друга за популярністю відповідь – недовіра вакцинам, що зараз є в Україні (33%). 20% опитаних вважають, що «наслідки від вакцини можуть бути гіршими, ніж від Ковіду»; 17% не довіряють будь-якій вакцинації. </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Такий стан справ пояснюється двома причинами. З одного боку, Уряд не справився з належним інформуванням населення про механізм дії вакцин та можливі ускладнення від щеплень. Крім того, процес закупівлі вакцин доси залишається закритим, що породжує сумніви в їх ефективності. З іншого боку, різко зросла активність Facebook-груп, переважно з російського сегменту інтернету, де обговорюються теорії змови і проблеми зі здоров'ям, що їх начебто спричиняє вакцинація. Найбільш відома українська «антивакцинаторська» сторінка створена прихильниками однієї з православних церков. </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Наразі зусилля більшості країн світу спрямовані на створення колективного імунітету, який за думкою ВООЗ досягається при швидкому щепленні від 50 до 70 відсотків дорослого населення (залежно від національних особливостей комунікацій або так званої соціальної дистанції). Набори примусів та стимулів не однакові. Наприклад, в одних країнах щеплення є обов’язковим для груп ризику, включаючи лікарів та представників інших соціальних професій (вчителів, поліцейських тощо).  Інші країни заохочують вакцинацію одноразовим грошовим «призом» за проходження повного курсу щеплень. В ЄС та Північній Америці проект так званих «зелених паспортів» вакцинованих осіб знаходиться на кінцевій стадії впровадження. </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Низка країн пропонує вакцинованим особам безоплатну медстраховку на випадок захворювань, пов’язаних зі щепленням. Найбільш поширений прийом – надання бюджетної компенсації страхових премій на користь приватних страхових компаній або страхових планів. Однак, деякі країни відшкодовують збитки вакцинованих осіб безпосередньо з бюджету або з обов’язкових соціальних страхових фондів. </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Нажаль, в Україні не існує системи обов’язкового персоніфікованого медичного страхування. Стан Державного бюджету навряд чи дозволить виплачувати «призи» за повну вакцинацію. Загальна ліквідність приватного страхового ринку України вочевидь не дозволить покрити страхові ризики, пов’язані з можливим захворюванням вакцинованих осіб на Ковід -19 або на хвороби, викликані поствакцинальними ускладненнями. Впровадження </w:t>
      </w:r>
      <w:r w:rsidRPr="0047759B">
        <w:rPr>
          <w:rFonts w:ascii="Times New Roman" w:eastAsia="SimSun" w:hAnsi="Times New Roman" w:cs="Times New Roman"/>
          <w:color w:val="000000"/>
          <w:sz w:val="28"/>
          <w:szCs w:val="28"/>
          <w:lang w:eastAsia="zh-CN"/>
        </w:rPr>
        <w:lastRenderedPageBreak/>
        <w:t xml:space="preserve">обов’язкової вакцинації грубо порушує приписи Розділу ІІ «Права, свободи та обов’язки людини і громадянина» Конституції України. </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Отже, єдиним дієвим способом заохочення українців до добровільної вакцинації є покриття ризиків їх можливих захворювань, включаючи тимчасову непрацездатність, інвалідність, смерть (у тому числі перинатальну) за рахунок коштів Фонду загальнообов’язкового державного соціального страхування. Зрозуміло, що на тлі падіння ділової активності та зростання безробіття внаслідок карантинів та локдаунів, будь-яке збільшення розміру ЄСВ є неприпустимим.  </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Нагадаємо, що внаслідок провалу так званої «медичної реформи», в 2020 році Україна посіла перше місце в Європі за захворюванням на інфекційну хворобу як кір. Тоді сукупно на КПК (кір, паротит та краснуху) захворіли більш ніж 100 тисяч дітей.         </w:t>
      </w:r>
    </w:p>
    <w:p w:rsidR="004F249C" w:rsidRPr="0047759B" w:rsidRDefault="004F249C" w:rsidP="00395F75">
      <w:pPr>
        <w:autoSpaceDE w:val="0"/>
        <w:autoSpaceDN w:val="0"/>
        <w:adjustRightInd w:val="0"/>
        <w:spacing w:after="0" w:line="240" w:lineRule="auto"/>
        <w:jc w:val="both"/>
        <w:rPr>
          <w:rFonts w:ascii="Times New Roman" w:eastAsia="SimSun" w:hAnsi="Times New Roman" w:cs="Times New Roman"/>
          <w:b/>
          <w:bCs/>
          <w:color w:val="000000"/>
          <w:sz w:val="28"/>
          <w:szCs w:val="28"/>
          <w:lang w:eastAsia="zh-CN"/>
        </w:rPr>
      </w:pPr>
      <w:r w:rsidRPr="0047759B">
        <w:rPr>
          <w:rFonts w:ascii="Times New Roman" w:eastAsia="SimSun" w:hAnsi="Times New Roman" w:cs="Times New Roman"/>
          <w:color w:val="000000"/>
          <w:sz w:val="28"/>
          <w:szCs w:val="28"/>
          <w:lang w:eastAsia="zh-CN"/>
        </w:rPr>
        <w:t xml:space="preserve">                        </w:t>
      </w:r>
    </w:p>
    <w:p w:rsidR="004F249C" w:rsidRPr="0047759B" w:rsidRDefault="004F249C" w:rsidP="0047759B">
      <w:pPr>
        <w:autoSpaceDE w:val="0"/>
        <w:autoSpaceDN w:val="0"/>
        <w:adjustRightInd w:val="0"/>
        <w:spacing w:after="0" w:line="240" w:lineRule="auto"/>
        <w:ind w:firstLine="720"/>
        <w:rPr>
          <w:rFonts w:ascii="Times New Roman" w:eastAsia="SimSun" w:hAnsi="Times New Roman" w:cs="Times New Roman"/>
          <w:b/>
          <w:color w:val="000000"/>
          <w:sz w:val="28"/>
          <w:szCs w:val="28"/>
          <w:lang w:eastAsia="zh-CN"/>
        </w:rPr>
      </w:pPr>
      <w:r w:rsidRPr="0047759B">
        <w:rPr>
          <w:rFonts w:ascii="Times New Roman" w:eastAsia="SimSun" w:hAnsi="Times New Roman" w:cs="Times New Roman"/>
          <w:b/>
          <w:color w:val="000000"/>
          <w:sz w:val="28"/>
          <w:szCs w:val="28"/>
          <w:lang w:eastAsia="zh-CN"/>
        </w:rPr>
        <w:t>2.</w:t>
      </w:r>
      <w:r w:rsidRPr="0047759B">
        <w:rPr>
          <w:rFonts w:ascii="Times New Roman" w:eastAsia="SimSun" w:hAnsi="Times New Roman" w:cs="Times New Roman"/>
          <w:b/>
          <w:color w:val="000000"/>
          <w:sz w:val="28"/>
          <w:szCs w:val="28"/>
          <w:lang w:val="ru-RU" w:eastAsia="zh-CN"/>
        </w:rPr>
        <w:t xml:space="preserve"> </w:t>
      </w:r>
      <w:r w:rsidRPr="0047759B">
        <w:rPr>
          <w:rFonts w:ascii="Times New Roman" w:eastAsia="SimSun" w:hAnsi="Times New Roman" w:cs="Times New Roman"/>
          <w:b/>
          <w:color w:val="000000"/>
          <w:sz w:val="28"/>
          <w:szCs w:val="28"/>
          <w:lang w:eastAsia="zh-CN"/>
        </w:rPr>
        <w:t>Цілі, завдання та основні положення законопроекту</w:t>
      </w:r>
    </w:p>
    <w:p w:rsidR="004F249C" w:rsidRPr="0047759B" w:rsidRDefault="004F249C" w:rsidP="00CC6C2C">
      <w:pPr>
        <w:autoSpaceDE w:val="0"/>
        <w:autoSpaceDN w:val="0"/>
        <w:adjustRightInd w:val="0"/>
        <w:spacing w:after="0" w:line="240" w:lineRule="auto"/>
        <w:ind w:firstLine="720"/>
        <w:jc w:val="center"/>
        <w:rPr>
          <w:rFonts w:ascii="Times New Roman" w:eastAsia="SimSun" w:hAnsi="Times New Roman" w:cs="Times New Roman"/>
          <w:color w:val="000000"/>
          <w:sz w:val="28"/>
          <w:szCs w:val="28"/>
          <w:lang w:eastAsia="zh-CN"/>
        </w:rPr>
      </w:pP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Головною метою законопроекту є надання стимулів громадянам України прийняти самостійне рішення про профілактичне щеплення проти інфекційних хворіб, зокрема Ковід -19; збільшення соціального захисту вакцинованих осіб; посилення юридичної відповідальності посадових та службових осіб, які допустили реєстрацію неякісних (неефективних, небезпечних) медичних імунобіологічних препаратів (вакцин) або порушили правила їх зберігання, транспортування або застосування.  Законопроект пропонує:</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1) збільшити права та відповідно обов’язки спеціально уповноваженого центрального органу виконавчої влади з питань охорони здоров’я у сфері захисту населення від інфекційних хвороб з метою найшвидшого реагування на загрози епідемій (пандемій) та достовірного інформування населення про епідемічну ситуацію; </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2) надати право Кабінету Міністрів та відповідному ЦОВВ прийняти рішення про запровадження спеціального документу, який: підтверджує факт вакцинації особи; підпадає під вимоги Закону України  «Про захист персональних даних»; узгоджується з вимогами інших країн, які використовують подібний документ для спрощення перетину кордонів; не  призводить до звуження прав громадян згідно із статтею 24 Конституції України;</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3) запровадити державне соціальне страхування вакцинованих осіб; встановити перелік страхових випадків та порядок встановлення причинного зв’язку між вакцинацією та захворюванням (інвалідністю, смертю); визначити зміст страхових виплат та перелік їх вигодонабувачів; установити строки та процедури призначення страхових виплат; визначити строки надання страхових виплат та правила їх поділу на періодичні та одноразові, порядок їх зарахування та періоди страхування ризиків;  установити розмір періодичних та одноразових страхових виплат; визначити правила відшкодування витрат (збитків) вакцинованої особи, не покритих страховими виплатами; запровадити правила відшкодування витрат Фонду на надання страхових виплат, а також витрат </w:t>
      </w:r>
      <w:r w:rsidRPr="0047759B">
        <w:rPr>
          <w:rFonts w:ascii="Times New Roman" w:hAnsi="Times New Roman" w:cs="Times New Roman"/>
          <w:color w:val="000000"/>
          <w:sz w:val="28"/>
          <w:szCs w:val="28"/>
        </w:rPr>
        <w:lastRenderedPageBreak/>
        <w:t>Державного та місцевих бюджетів на лікування та реабілітацію осіб, вакцинованих приватними закладами охорони здоров’я;</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4) вдвічі збільшити розмір страхових відшкодувань на користь осіб, вакцинованих проти Ковід-19; </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5) посилити юридичну відповідальність посадових та службових осіб, які допустили реєстрацію неякісних (неефективних, небезпечних) медичних імунобіологічних препаратів (вакцин) або порушили правила їх зберігання, транспортування або застосування, у тому числі шляхом відшкодування нанесених збитків;  </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6) внести дотичні зміни до інших законів України. </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Цей Закон уперше встановлює правила соціального захисту вагітних та надання соціальної підтримки особам, які втратили зародок за природними причинами (у тому числі пренатальними)  або померли при/внаслідок пологів.    </w:t>
      </w:r>
    </w:p>
    <w:p w:rsidR="004F249C" w:rsidRPr="0047759B" w:rsidRDefault="004F249C" w:rsidP="00CC6C2C">
      <w:pPr>
        <w:spacing w:after="0" w:line="240" w:lineRule="auto"/>
        <w:ind w:firstLine="708"/>
        <w:jc w:val="both"/>
        <w:rPr>
          <w:rFonts w:ascii="Times New Roman" w:hAnsi="Times New Roman" w:cs="Times New Roman"/>
          <w:color w:val="000000"/>
          <w:sz w:val="28"/>
          <w:szCs w:val="28"/>
        </w:rPr>
      </w:pPr>
    </w:p>
    <w:p w:rsidR="004F249C" w:rsidRPr="0047759B" w:rsidRDefault="004F249C" w:rsidP="0047759B">
      <w:pPr>
        <w:autoSpaceDE w:val="0"/>
        <w:autoSpaceDN w:val="0"/>
        <w:adjustRightInd w:val="0"/>
        <w:spacing w:after="0" w:line="240" w:lineRule="auto"/>
        <w:ind w:left="1080"/>
        <w:rPr>
          <w:rFonts w:ascii="Times New Roman" w:eastAsia="SimSun" w:hAnsi="Times New Roman" w:cs="Times New Roman"/>
          <w:b/>
          <w:color w:val="000000"/>
          <w:sz w:val="28"/>
          <w:szCs w:val="28"/>
          <w:lang w:eastAsia="zh-CN"/>
        </w:rPr>
      </w:pPr>
      <w:r w:rsidRPr="0047759B">
        <w:rPr>
          <w:rFonts w:ascii="Times New Roman" w:eastAsia="SimSun" w:hAnsi="Times New Roman" w:cs="Times New Roman"/>
          <w:b/>
          <w:color w:val="000000"/>
          <w:sz w:val="28"/>
          <w:szCs w:val="28"/>
          <w:lang w:eastAsia="zh-CN"/>
        </w:rPr>
        <w:t>3. Місце Закону в системі чинного законодавства</w:t>
      </w:r>
    </w:p>
    <w:p w:rsidR="004F249C" w:rsidRPr="0047759B" w:rsidRDefault="004F249C" w:rsidP="004C704B">
      <w:pPr>
        <w:autoSpaceDE w:val="0"/>
        <w:autoSpaceDN w:val="0"/>
        <w:adjustRightInd w:val="0"/>
        <w:spacing w:after="0" w:line="240" w:lineRule="auto"/>
        <w:ind w:left="1080"/>
        <w:jc w:val="center"/>
        <w:rPr>
          <w:rFonts w:ascii="Times New Roman" w:eastAsia="SimSun" w:hAnsi="Times New Roman" w:cs="Times New Roman"/>
          <w:color w:val="000000"/>
          <w:sz w:val="28"/>
          <w:szCs w:val="28"/>
          <w:lang w:eastAsia="zh-CN"/>
        </w:rPr>
      </w:pPr>
    </w:p>
    <w:p w:rsidR="004F249C" w:rsidRPr="0047759B" w:rsidRDefault="004F249C" w:rsidP="001C5A77">
      <w:pPr>
        <w:spacing w:after="0" w:line="240" w:lineRule="auto"/>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           У даній сфері правового регулювання діють:  Конституція України;</w:t>
      </w:r>
      <w:bookmarkStart w:id="1" w:name="_Hlk71385918"/>
      <w:r w:rsidRPr="0047759B">
        <w:rPr>
          <w:rFonts w:ascii="Times New Roman" w:hAnsi="Times New Roman" w:cs="Times New Roman"/>
          <w:color w:val="000000"/>
          <w:sz w:val="28"/>
          <w:szCs w:val="28"/>
        </w:rPr>
        <w:t xml:space="preserve"> Цивільний кодекс України, Закони України: </w:t>
      </w:r>
      <w:bookmarkStart w:id="2" w:name="_Hlk65255359"/>
      <w:r w:rsidRPr="0047759B">
        <w:rPr>
          <w:rFonts w:ascii="Times New Roman" w:hAnsi="Times New Roman" w:cs="Times New Roman"/>
          <w:color w:val="000000"/>
          <w:sz w:val="28"/>
          <w:szCs w:val="28"/>
        </w:rPr>
        <w:t>«Про захист населення від інфекційних хвороб</w:t>
      </w:r>
      <w:bookmarkEnd w:id="2"/>
      <w:r w:rsidRPr="0047759B">
        <w:rPr>
          <w:rFonts w:ascii="Times New Roman" w:hAnsi="Times New Roman" w:cs="Times New Roman"/>
          <w:color w:val="000000"/>
          <w:sz w:val="28"/>
          <w:szCs w:val="28"/>
        </w:rPr>
        <w:t xml:space="preserve">», </w:t>
      </w:r>
      <w:bookmarkStart w:id="3" w:name="_Hlk68950715"/>
      <w:r w:rsidRPr="0047759B">
        <w:rPr>
          <w:rFonts w:ascii="Times New Roman" w:hAnsi="Times New Roman" w:cs="Times New Roman"/>
          <w:color w:val="000000"/>
          <w:sz w:val="28"/>
          <w:szCs w:val="28"/>
        </w:rPr>
        <w:t>«</w:t>
      </w:r>
      <w:bookmarkStart w:id="4" w:name="_Hlk69907367"/>
      <w:r w:rsidRPr="0047759B">
        <w:rPr>
          <w:rFonts w:ascii="Times New Roman" w:hAnsi="Times New Roman" w:cs="Times New Roman"/>
          <w:color w:val="000000"/>
          <w:sz w:val="28"/>
          <w:szCs w:val="28"/>
        </w:rPr>
        <w:t>Основи законодавства України про загальнообов'язкове державне соціальне страхування»</w:t>
      </w:r>
      <w:bookmarkEnd w:id="4"/>
      <w:r w:rsidRPr="0047759B">
        <w:rPr>
          <w:rFonts w:ascii="Times New Roman" w:hAnsi="Times New Roman" w:cs="Times New Roman"/>
          <w:color w:val="000000"/>
          <w:sz w:val="28"/>
          <w:szCs w:val="28"/>
        </w:rPr>
        <w:t xml:space="preserve">, </w:t>
      </w:r>
      <w:bookmarkEnd w:id="3"/>
      <w:r w:rsidRPr="0047759B">
        <w:rPr>
          <w:rFonts w:ascii="Times New Roman" w:hAnsi="Times New Roman" w:cs="Times New Roman"/>
          <w:color w:val="000000"/>
          <w:sz w:val="28"/>
          <w:szCs w:val="28"/>
          <w:lang w:eastAsia="uk-UA"/>
        </w:rPr>
        <w:t xml:space="preserve">«Про  загальнообов’язкове державне соціальне страхування», </w:t>
      </w:r>
      <w:r w:rsidRPr="0047759B">
        <w:rPr>
          <w:rFonts w:ascii="Times New Roman" w:hAnsi="Times New Roman" w:cs="Times New Roman"/>
          <w:color w:val="000000"/>
          <w:sz w:val="28"/>
          <w:szCs w:val="28"/>
        </w:rPr>
        <w:t xml:space="preserve">«Про внесення зміни до статті 92 Закону України «Про лікарські засоби» щодо державної реєстрації вакцин або інших медичних імунобіологічних препаратів під зобов’язання», «Про збір та облік єдиного внеску на загальнообов'язкове державне соціальне страхування», «Про страхування», «Про банки та банківську діяльність», </w:t>
      </w:r>
      <w:bookmarkEnd w:id="1"/>
      <w:r w:rsidRPr="0047759B">
        <w:rPr>
          <w:rFonts w:ascii="Times New Roman" w:hAnsi="Times New Roman" w:cs="Times New Roman"/>
          <w:color w:val="000000"/>
          <w:sz w:val="28"/>
          <w:szCs w:val="28"/>
        </w:rPr>
        <w:t>«Про захист персональних даних»,</w:t>
      </w:r>
      <w:r w:rsidRPr="0047759B">
        <w:rPr>
          <w:rFonts w:ascii="Times New Roman" w:hAnsi="Times New Roman" w:cs="Times New Roman"/>
          <w:i/>
          <w:iCs/>
          <w:color w:val="000000"/>
          <w:sz w:val="28"/>
          <w:szCs w:val="28"/>
        </w:rPr>
        <w:t xml:space="preserve"> </w:t>
      </w:r>
      <w:r w:rsidRPr="0047759B">
        <w:rPr>
          <w:rFonts w:ascii="Times New Roman" w:hAnsi="Times New Roman" w:cs="Times New Roman"/>
          <w:color w:val="000000"/>
          <w:sz w:val="28"/>
          <w:szCs w:val="28"/>
        </w:rPr>
        <w:t>«Про державну допомогу сім'ям з дітьми», «Про державну соціальну допомогу малозабезпеченим сім’ям»,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«Про зайнятість населення», «Про загальнообов’язкове державне пенсійне страхування», «Про пенсійне забезпечення осіб, звільнених з військової служби, та деяких інших осіб», «Про пенсійне забезпечення», «Про пенсії за особливі заслуги перед Україною», «Про службу в органах місцевого самоврядування», «Про статус і соціальний захист громадян, які постраждали внаслідок Чорнобильської катастрофи», «Про наукову і науково-технічну діяльність», «Про державну підтримку засобів масової інформації та соціальний захист журналістів».</w:t>
      </w:r>
    </w:p>
    <w:p w:rsidR="004F249C" w:rsidRPr="0047759B" w:rsidRDefault="004F249C" w:rsidP="001C5A77">
      <w:pPr>
        <w:spacing w:after="0" w:line="240" w:lineRule="auto"/>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         Реалізація запропонованого проекту потребує внесення змін до таких законів України: Цивільного кодексу України  (Відомості Верховної Ради України (ВВР), 2003, №№ 40-44, ст.356); законів України: «Про захист населення від інфекційних хвороб» (Відомості Верховної Ради України (ВВР), 2000, № 29, ст. 228), «Основи законодавства України про загальнообов'язкове державне соціальне страхування» (Відомості Верховної Ради України (ВВР), 1998, № 23, ст.121), «Про  </w:t>
      </w:r>
      <w:r w:rsidRPr="0047759B">
        <w:rPr>
          <w:rFonts w:ascii="Times New Roman" w:hAnsi="Times New Roman" w:cs="Times New Roman"/>
          <w:color w:val="000000"/>
          <w:sz w:val="28"/>
          <w:szCs w:val="28"/>
        </w:rPr>
        <w:lastRenderedPageBreak/>
        <w:t>загальнообов’язкове державне соціальне страхування» (Відомості Верховної Ради України (ВВР), 1999, № 46-47, ст.403), «Про внесення зміни до статті 92 Закону України «Про лікарські засоби» щодо державної реєстрації вакцин або інших медичних імунобіологічних препаратів під зобов’язання» (від 19 березня 2021 р. № 1353-IX),  «Про збір та облік єдиного внеску на загальнообов'язкове державне соціальне страхування» (Відомості Верховної Ради України (ВВР), 2011, № 2-3, ст.11), «Про страхування» (Відомості Верховної Ради України (ВВР), 1996, № 18, ст. 78), «Про банки та банківську діяльність» (Відомості Верховної Ради України (ВВР), 2001, № 5-6, ст.30).</w:t>
      </w:r>
    </w:p>
    <w:p w:rsidR="004F249C" w:rsidRPr="0047759B" w:rsidRDefault="004F249C" w:rsidP="00673BBD">
      <w:pPr>
        <w:pStyle w:val="HTML"/>
        <w:ind w:firstLine="720"/>
        <w:jc w:val="both"/>
        <w:rPr>
          <w:rFonts w:ascii="Times New Roman" w:hAnsi="Times New Roman" w:cs="Times New Roman"/>
          <w:color w:val="000000"/>
          <w:sz w:val="28"/>
          <w:szCs w:val="28"/>
          <w:lang w:val="uk-UA"/>
        </w:rPr>
      </w:pPr>
    </w:p>
    <w:p w:rsidR="004F249C" w:rsidRPr="0047759B" w:rsidRDefault="004F249C" w:rsidP="0047759B">
      <w:pPr>
        <w:autoSpaceDE w:val="0"/>
        <w:autoSpaceDN w:val="0"/>
        <w:adjustRightInd w:val="0"/>
        <w:spacing w:line="240" w:lineRule="auto"/>
        <w:ind w:left="720"/>
        <w:rPr>
          <w:rFonts w:ascii="Times New Roman" w:hAnsi="Times New Roman" w:cs="Times New Roman"/>
          <w:b/>
          <w:color w:val="000000"/>
          <w:sz w:val="28"/>
          <w:szCs w:val="28"/>
        </w:rPr>
      </w:pPr>
      <w:r w:rsidRPr="0047759B">
        <w:rPr>
          <w:rFonts w:ascii="Times New Roman" w:hAnsi="Times New Roman" w:cs="Times New Roman"/>
          <w:b/>
          <w:color w:val="000000"/>
          <w:sz w:val="28"/>
          <w:szCs w:val="28"/>
        </w:rPr>
        <w:t>4. Фінансово-економічне обґрунтування</w:t>
      </w:r>
    </w:p>
    <w:p w:rsidR="004F249C" w:rsidRPr="0047759B" w:rsidRDefault="004F249C" w:rsidP="00DD3858">
      <w:pPr>
        <w:autoSpaceDE w:val="0"/>
        <w:autoSpaceDN w:val="0"/>
        <w:adjustRightInd w:val="0"/>
        <w:spacing w:after="0" w:line="240" w:lineRule="auto"/>
        <w:ind w:firstLine="720"/>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Всесвітня Організація Охорони Здоров’я зазначає, що на підставі проведених досліджень рівень ефективності вакцин (одержання повної імунної відповіді)  коливається в діапазоні від  82% (</w:t>
      </w:r>
      <w:r w:rsidRPr="0047759B">
        <w:rPr>
          <w:rFonts w:ascii="Times New Roman" w:hAnsi="Times New Roman" w:cs="Times New Roman"/>
          <w:color w:val="000000"/>
          <w:sz w:val="28"/>
          <w:szCs w:val="28"/>
          <w:lang w:val="en-GB"/>
        </w:rPr>
        <w:t>Oxford</w:t>
      </w:r>
      <w:r w:rsidRPr="0047759B">
        <w:rPr>
          <w:rFonts w:ascii="Times New Roman" w:hAnsi="Times New Roman" w:cs="Times New Roman"/>
          <w:color w:val="000000"/>
          <w:sz w:val="28"/>
          <w:szCs w:val="28"/>
        </w:rPr>
        <w:t xml:space="preserve"> Astr</w:t>
      </w:r>
      <w:r w:rsidRPr="0047759B">
        <w:rPr>
          <w:rFonts w:ascii="Times New Roman" w:hAnsi="Times New Roman" w:cs="Times New Roman"/>
          <w:color w:val="000000"/>
          <w:sz w:val="28"/>
          <w:szCs w:val="28"/>
          <w:lang w:val="en-GB"/>
        </w:rPr>
        <w:t>a</w:t>
      </w:r>
      <w:r w:rsidRPr="0047759B">
        <w:rPr>
          <w:rFonts w:ascii="Times New Roman" w:hAnsi="Times New Roman" w:cs="Times New Roman"/>
          <w:color w:val="000000"/>
          <w:sz w:val="28"/>
          <w:szCs w:val="28"/>
        </w:rPr>
        <w:t xml:space="preserve">Zeneca (CoviShield))  до 95% (Pfizer/ BioNtech (BNT162b2), </w:t>
      </w:r>
      <w:r w:rsidRPr="0047759B">
        <w:rPr>
          <w:rFonts w:ascii="Times New Roman" w:hAnsi="Times New Roman" w:cs="Times New Roman"/>
          <w:color w:val="000000"/>
          <w:sz w:val="28"/>
          <w:szCs w:val="28"/>
          <w:lang w:val="en-GB"/>
        </w:rPr>
        <w:t>Moderna</w:t>
      </w:r>
      <w:r w:rsidRPr="0047759B">
        <w:rPr>
          <w:rFonts w:ascii="Times New Roman" w:hAnsi="Times New Roman" w:cs="Times New Roman"/>
          <w:color w:val="000000"/>
          <w:sz w:val="28"/>
          <w:szCs w:val="28"/>
        </w:rPr>
        <w:t xml:space="preserve"> (</w:t>
      </w:r>
      <w:r w:rsidRPr="0047759B">
        <w:rPr>
          <w:rFonts w:ascii="Times New Roman" w:hAnsi="Times New Roman" w:cs="Times New Roman"/>
          <w:color w:val="000000"/>
          <w:sz w:val="28"/>
          <w:szCs w:val="28"/>
          <w:lang w:val="en-GB"/>
        </w:rPr>
        <w:t>mRNA</w:t>
      </w:r>
      <w:r w:rsidRPr="0047759B">
        <w:rPr>
          <w:rFonts w:ascii="Times New Roman" w:hAnsi="Times New Roman" w:cs="Times New Roman"/>
          <w:color w:val="000000"/>
          <w:sz w:val="28"/>
          <w:szCs w:val="28"/>
        </w:rPr>
        <w:t xml:space="preserve">-1273)). Отже, страховий ризик захворювання на Ковід-19 осіб, які пройшли повний курс щеплень, коливається від 5% до 18%. Однак, за свідченням ВООЗ станом на 1 квітня 2021 р. на Ковід-19 захворіли лише 0,09% від числа повністю вакцинованих осіб. </w:t>
      </w:r>
    </w:p>
    <w:p w:rsidR="004F249C" w:rsidRPr="0047759B" w:rsidRDefault="004F249C" w:rsidP="00DD3858">
      <w:pPr>
        <w:autoSpaceDE w:val="0"/>
        <w:autoSpaceDN w:val="0"/>
        <w:adjustRightInd w:val="0"/>
        <w:spacing w:after="0" w:line="240" w:lineRule="auto"/>
        <w:ind w:firstLine="720"/>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Станом на 1 травня 2021 р. у світі </w:t>
      </w:r>
      <w:r w:rsidRPr="0047759B">
        <w:rPr>
          <w:rFonts w:ascii="Times New Roman" w:hAnsi="Times New Roman" w:cs="Times New Roman"/>
          <w:color w:val="000000"/>
          <w:sz w:val="28"/>
          <w:szCs w:val="28"/>
          <w:lang w:val="ru-RU"/>
        </w:rPr>
        <w:t xml:space="preserve">не було доведено </w:t>
      </w:r>
      <w:r w:rsidRPr="0047759B">
        <w:rPr>
          <w:rFonts w:ascii="Times New Roman" w:hAnsi="Times New Roman" w:cs="Times New Roman"/>
          <w:color w:val="000000"/>
          <w:sz w:val="28"/>
          <w:szCs w:val="28"/>
        </w:rPr>
        <w:t xml:space="preserve">жодного прямого зв’язку між смертю вакцинованих осіб та їх щепленням проти Ковід-19 вакцинами, допущеними для використання в ЄС, США та Україні. Поодинокі випадки тромбозів були викликані загостренням хвороб, які пацієнти мали до такої вакцинації, однак їх кількість складає лише 0,3% від числа вакцинованих (82% з них віком після 65 років). Це майже в 7 разів нижче загального рівня летальності від Ковід-19 (поствакцинальних хвороб), який становить біля 2% в Україні, а з урахуванням вікової структури українського населення (15,32%, яким виповнилося 65 в 2020 р.)  -  0,08%.    </w:t>
      </w:r>
    </w:p>
    <w:p w:rsidR="004F249C" w:rsidRPr="0047759B" w:rsidRDefault="004F249C" w:rsidP="00DD3858">
      <w:pPr>
        <w:autoSpaceDE w:val="0"/>
        <w:autoSpaceDN w:val="0"/>
        <w:adjustRightInd w:val="0"/>
        <w:spacing w:after="0" w:line="240" w:lineRule="auto"/>
        <w:ind w:firstLine="720"/>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Зважаючи на те, що для досягнення колективного імунітету необхідно вакцинувати мінімум 50% дорослого населення України, яке станом на 1 січня 2021 року склало 41,8 млн. за оптимістичними даними Держкомстату </w:t>
      </w:r>
      <w:r w:rsidRPr="0047759B">
        <w:rPr>
          <w:rFonts w:ascii="Times New Roman" w:hAnsi="Times New Roman" w:cs="Times New Roman"/>
          <w:i/>
          <w:iCs/>
          <w:color w:val="000000"/>
          <w:sz w:val="28"/>
          <w:szCs w:val="28"/>
        </w:rPr>
        <w:t xml:space="preserve">(http://database.ukrcensus.gov.ua/Mult/Database/Population/databasetree_uk.asp), </w:t>
      </w:r>
      <w:r w:rsidRPr="0047759B">
        <w:rPr>
          <w:rFonts w:ascii="Times New Roman" w:hAnsi="Times New Roman" w:cs="Times New Roman"/>
          <w:color w:val="000000"/>
          <w:sz w:val="28"/>
          <w:szCs w:val="28"/>
        </w:rPr>
        <w:t xml:space="preserve">максимальні витрати Фонду на страхові виплати складуть  прямим рахунком: 20,9 млн. (кількість вакцинованих) х 0.08 (летальність) х 350 прожиткових мінімумів (2270х350 = 794.500 грн) = 1,461 млн. грн. Зрозуміло, що витрати Фонду напряму залежать від динаміки вакцинації та якості вакцин, забезпечених Урядом. Отже, при ефективній політиці Уряду щодо вакцинації, додаткові витрати Фонду на виплату страхових відшкодувань на користь вакцинованих осіб максимально складуть 4,6% від його бюджету в 31,7 млрд. грн, запланованого на 2021 рік.          </w:t>
      </w:r>
    </w:p>
    <w:p w:rsidR="004F249C" w:rsidRPr="0047759B" w:rsidRDefault="004F249C" w:rsidP="00DD3858">
      <w:pPr>
        <w:autoSpaceDE w:val="0"/>
        <w:autoSpaceDN w:val="0"/>
        <w:adjustRightInd w:val="0"/>
        <w:spacing w:after="0" w:line="240" w:lineRule="auto"/>
        <w:ind w:firstLine="720"/>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t xml:space="preserve">Однак, такі витрати Фонду є неспіврозмірно меншими відносно сукупних витрат державного та місцевих бюджетів, спрямованих на лікування заражених осіб та їх реабілітації. Згідно з даними Національної служби охорони здоров’я (НСЗУ) в 2021 році витрати на ліки в середньому на одного пацієнта оплачуються з розрахунку від близько 500 грн за один день лікування пацієнта у легкому стані до понад 5 тис. грн за лікування пацієнта в умовах інтенсивної терапії. </w:t>
      </w:r>
    </w:p>
    <w:p w:rsidR="004F249C" w:rsidRPr="0047759B" w:rsidRDefault="004F249C" w:rsidP="00DD3858">
      <w:pPr>
        <w:autoSpaceDE w:val="0"/>
        <w:autoSpaceDN w:val="0"/>
        <w:adjustRightInd w:val="0"/>
        <w:spacing w:after="0" w:line="240" w:lineRule="auto"/>
        <w:ind w:firstLine="720"/>
        <w:jc w:val="both"/>
        <w:rPr>
          <w:rFonts w:ascii="Times New Roman" w:hAnsi="Times New Roman" w:cs="Times New Roman"/>
          <w:color w:val="000000"/>
          <w:sz w:val="28"/>
          <w:szCs w:val="28"/>
        </w:rPr>
      </w:pPr>
      <w:r w:rsidRPr="0047759B">
        <w:rPr>
          <w:rFonts w:ascii="Times New Roman" w:hAnsi="Times New Roman" w:cs="Times New Roman"/>
          <w:color w:val="000000"/>
          <w:sz w:val="28"/>
          <w:szCs w:val="28"/>
        </w:rPr>
        <w:lastRenderedPageBreak/>
        <w:t xml:space="preserve">Тільки за квітень за допомогу пацієнтам з Ковід-19 та підозрою на нього НСЗУ виплатила 11,4 млрд грн. З річною апроксимацією НСЗУ витратить мінімальний бюджет в 137 млрд. грн. лише на боротьбу з Ковід-19. Отже, теоретичні видатки Фонду на виплату страхових відшкодувань на користь вакцинованих осіб згідно з цим Законом максимально становитимуть лише 0,8% від коштів, які надаються НСЗУ для лікування хворих на Ковід – 19. </w:t>
      </w:r>
    </w:p>
    <w:p w:rsidR="004F249C" w:rsidRPr="0047759B" w:rsidRDefault="004F249C" w:rsidP="00DD3858">
      <w:pPr>
        <w:autoSpaceDE w:val="0"/>
        <w:autoSpaceDN w:val="0"/>
        <w:adjustRightInd w:val="0"/>
        <w:spacing w:after="0" w:line="240" w:lineRule="auto"/>
        <w:ind w:firstLine="720"/>
        <w:jc w:val="both"/>
        <w:rPr>
          <w:rFonts w:ascii="Times New Roman" w:hAnsi="Times New Roman" w:cs="Times New Roman"/>
          <w:color w:val="000000"/>
          <w:sz w:val="28"/>
          <w:szCs w:val="28"/>
        </w:rPr>
      </w:pPr>
    </w:p>
    <w:p w:rsidR="004F249C" w:rsidRPr="0047759B" w:rsidRDefault="004F249C" w:rsidP="0047759B">
      <w:pPr>
        <w:autoSpaceDE w:val="0"/>
        <w:autoSpaceDN w:val="0"/>
        <w:adjustRightInd w:val="0"/>
        <w:spacing w:line="240" w:lineRule="auto"/>
        <w:ind w:firstLine="720"/>
        <w:jc w:val="both"/>
        <w:rPr>
          <w:rFonts w:ascii="Times New Roman" w:eastAsia="SimSun" w:hAnsi="Times New Roman" w:cs="Times New Roman"/>
          <w:b/>
          <w:color w:val="000000"/>
          <w:sz w:val="28"/>
          <w:szCs w:val="28"/>
          <w:lang w:eastAsia="zh-CN"/>
        </w:rPr>
      </w:pPr>
      <w:r w:rsidRPr="0047759B">
        <w:rPr>
          <w:rFonts w:ascii="Times New Roman" w:eastAsia="SimSun" w:hAnsi="Times New Roman" w:cs="Times New Roman"/>
          <w:b/>
          <w:color w:val="000000"/>
          <w:sz w:val="28"/>
          <w:szCs w:val="28"/>
          <w:lang w:eastAsia="zh-CN"/>
        </w:rPr>
        <w:t xml:space="preserve"> 5. Прогноз соціально-економічних, правових та інших наслідків прийняття Закону</w:t>
      </w:r>
    </w:p>
    <w:p w:rsidR="004F249C" w:rsidRPr="0047759B" w:rsidRDefault="004F249C" w:rsidP="00333BC6">
      <w:pPr>
        <w:spacing w:line="240" w:lineRule="auto"/>
        <w:ind w:firstLine="720"/>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Прийняття законопроекту запровадить соціальні стимули для збільшення числа вакцинованих осіб з метою досягнення колективного імунітету в Україні, що, у свою чергу, призведе до різкого зменшення навантаження на національну систему охорони здоров’я та рівня летальності населення, а також призведе до швидкого економічного відновлення найбільш постраждалих галузей (у сфері туризму, торгівлі, комунікаційної інфраструктури, освіти, культури тощо).    </w:t>
      </w:r>
    </w:p>
    <w:p w:rsidR="004F249C" w:rsidRPr="0047759B" w:rsidRDefault="004F249C" w:rsidP="00333BC6">
      <w:pPr>
        <w:spacing w:line="240" w:lineRule="auto"/>
        <w:ind w:firstLine="720"/>
        <w:jc w:val="both"/>
        <w:rPr>
          <w:rFonts w:ascii="Times New Roman" w:eastAsia="SimSun" w:hAnsi="Times New Roman" w:cs="Times New Roman"/>
          <w:color w:val="000000"/>
          <w:sz w:val="28"/>
          <w:szCs w:val="28"/>
          <w:lang w:eastAsia="zh-CN"/>
        </w:rPr>
      </w:pPr>
      <w:r w:rsidRPr="0047759B">
        <w:rPr>
          <w:rFonts w:ascii="Times New Roman" w:eastAsia="SimSun" w:hAnsi="Times New Roman" w:cs="Times New Roman"/>
          <w:color w:val="000000"/>
          <w:sz w:val="28"/>
          <w:szCs w:val="28"/>
          <w:lang w:eastAsia="zh-CN"/>
        </w:rPr>
        <w:t xml:space="preserve"> У результаті прийняття Закону НСЗУ зможе спрямувати зекономлені кошти на поліпшення якості медичних послуг, фінансування складних операцій, у тому числі за кордоном, проведення профілактичних щеплень, розбудови системи сімейних лікарів та дитячих клінік, а в разі запровадження системи персоніфікованого державного медичного страхування – також на розбудову її інфраструктури.    </w:t>
      </w:r>
    </w:p>
    <w:p w:rsidR="004F249C" w:rsidRPr="0047759B" w:rsidRDefault="004F249C" w:rsidP="00333BC6">
      <w:pPr>
        <w:spacing w:line="240" w:lineRule="auto"/>
        <w:ind w:firstLine="720"/>
        <w:jc w:val="both"/>
        <w:rPr>
          <w:rFonts w:ascii="Times New Roman" w:hAnsi="Times New Roman" w:cs="Times New Roman"/>
          <w:color w:val="000000"/>
          <w:sz w:val="28"/>
          <w:szCs w:val="28"/>
          <w:lang w:eastAsia="uk-UA"/>
        </w:rPr>
      </w:pPr>
      <w:r w:rsidRPr="0047759B">
        <w:rPr>
          <w:rFonts w:ascii="Times New Roman" w:eastAsia="SimSun" w:hAnsi="Times New Roman" w:cs="Times New Roman"/>
          <w:color w:val="000000"/>
          <w:sz w:val="28"/>
          <w:szCs w:val="28"/>
          <w:lang w:eastAsia="zh-CN"/>
        </w:rPr>
        <w:t xml:space="preserve"> </w:t>
      </w:r>
      <w:r w:rsidRPr="0047759B">
        <w:rPr>
          <w:rFonts w:ascii="Times New Roman" w:hAnsi="Times New Roman" w:cs="Times New Roman"/>
          <w:b/>
          <w:bCs/>
          <w:color w:val="000000"/>
          <w:sz w:val="28"/>
          <w:szCs w:val="28"/>
        </w:rPr>
        <w:t xml:space="preserve">                     </w:t>
      </w:r>
    </w:p>
    <w:tbl>
      <w:tblPr>
        <w:tblW w:w="0" w:type="auto"/>
        <w:tblInd w:w="-106" w:type="dxa"/>
        <w:tblLook w:val="00A0" w:firstRow="1" w:lastRow="0" w:firstColumn="1" w:lastColumn="0" w:noHBand="0" w:noVBand="0"/>
      </w:tblPr>
      <w:tblGrid>
        <w:gridCol w:w="4784"/>
        <w:gridCol w:w="4786"/>
      </w:tblGrid>
      <w:tr w:rsidR="004F249C" w:rsidRPr="0047759B">
        <w:tc>
          <w:tcPr>
            <w:tcW w:w="4784" w:type="dxa"/>
          </w:tcPr>
          <w:p w:rsidR="004F249C" w:rsidRPr="0047759B" w:rsidRDefault="004F249C" w:rsidP="007750AD">
            <w:pPr>
              <w:spacing w:after="0" w:line="240" w:lineRule="auto"/>
              <w:rPr>
                <w:rFonts w:ascii="Times New Roman" w:hAnsi="Times New Roman" w:cs="Times New Roman"/>
                <w:b/>
                <w:color w:val="000000"/>
                <w:sz w:val="28"/>
                <w:szCs w:val="28"/>
              </w:rPr>
            </w:pPr>
            <w:r w:rsidRPr="0047759B">
              <w:rPr>
                <w:rFonts w:ascii="Times New Roman" w:hAnsi="Times New Roman" w:cs="Times New Roman"/>
                <w:b/>
                <w:color w:val="000000"/>
                <w:sz w:val="28"/>
                <w:szCs w:val="28"/>
              </w:rPr>
              <w:t>Народні депутати України</w:t>
            </w:r>
          </w:p>
        </w:tc>
        <w:tc>
          <w:tcPr>
            <w:tcW w:w="4786" w:type="dxa"/>
          </w:tcPr>
          <w:p w:rsidR="004F249C" w:rsidRPr="0047759B" w:rsidRDefault="004F249C" w:rsidP="00A70A96">
            <w:pPr>
              <w:spacing w:after="0" w:line="240" w:lineRule="auto"/>
              <w:jc w:val="center"/>
              <w:rPr>
                <w:rFonts w:ascii="Times New Roman" w:hAnsi="Times New Roman" w:cs="Times New Roman"/>
                <w:b/>
                <w:bCs/>
                <w:color w:val="000000"/>
                <w:sz w:val="28"/>
                <w:szCs w:val="28"/>
              </w:rPr>
            </w:pPr>
          </w:p>
        </w:tc>
      </w:tr>
    </w:tbl>
    <w:p w:rsidR="004F249C" w:rsidRPr="0047759B" w:rsidRDefault="004F249C" w:rsidP="009D7F8C">
      <w:pPr>
        <w:spacing w:line="240" w:lineRule="auto"/>
        <w:rPr>
          <w:rFonts w:ascii="Times New Roman" w:hAnsi="Times New Roman" w:cs="Times New Roman"/>
          <w:b/>
          <w:bCs/>
          <w:color w:val="000000"/>
          <w:sz w:val="28"/>
          <w:szCs w:val="28"/>
        </w:rPr>
      </w:pPr>
    </w:p>
    <w:sectPr w:rsidR="004F249C" w:rsidRPr="0047759B" w:rsidSect="0040242A">
      <w:headerReference w:type="default" r:id="rId10"/>
      <w:pgSz w:w="11906" w:h="16838"/>
      <w:pgMar w:top="1134" w:right="850" w:bottom="1135" w:left="1260" w:header="709" w:footer="8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940" w:rsidRDefault="00F87940" w:rsidP="00DB6DAA">
      <w:pPr>
        <w:spacing w:after="0" w:line="240" w:lineRule="auto"/>
      </w:pPr>
      <w:r>
        <w:separator/>
      </w:r>
    </w:p>
  </w:endnote>
  <w:endnote w:type="continuationSeparator" w:id="0">
    <w:p w:rsidR="00F87940" w:rsidRDefault="00F87940" w:rsidP="00DB6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940" w:rsidRDefault="00F87940" w:rsidP="00DB6DAA">
      <w:pPr>
        <w:spacing w:after="0" w:line="240" w:lineRule="auto"/>
      </w:pPr>
      <w:r>
        <w:separator/>
      </w:r>
    </w:p>
  </w:footnote>
  <w:footnote w:type="continuationSeparator" w:id="0">
    <w:p w:rsidR="00F87940" w:rsidRDefault="00F87940" w:rsidP="00DB6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9C" w:rsidRDefault="004F249C" w:rsidP="008A1CBA">
    <w:pPr>
      <w:pStyle w:val="a3"/>
      <w:framePr w:wrap="auto" w:vAnchor="text" w:hAnchor="margin" w:xAlign="center" w:y="1"/>
      <w:rPr>
        <w:rStyle w:val="a7"/>
        <w:rFonts w:cs="Calibri"/>
      </w:rPr>
    </w:pPr>
    <w:r>
      <w:rPr>
        <w:rStyle w:val="a7"/>
        <w:rFonts w:cs="Calibri"/>
      </w:rPr>
      <w:fldChar w:fldCharType="begin"/>
    </w:r>
    <w:r>
      <w:rPr>
        <w:rStyle w:val="a7"/>
        <w:rFonts w:cs="Calibri"/>
      </w:rPr>
      <w:instrText xml:space="preserve">PAGE  </w:instrText>
    </w:r>
    <w:r>
      <w:rPr>
        <w:rStyle w:val="a7"/>
        <w:rFonts w:cs="Calibri"/>
      </w:rPr>
      <w:fldChar w:fldCharType="separate"/>
    </w:r>
    <w:r w:rsidR="001C549F">
      <w:rPr>
        <w:rStyle w:val="a7"/>
        <w:rFonts w:cs="Calibri"/>
        <w:noProof/>
      </w:rPr>
      <w:t>3</w:t>
    </w:r>
    <w:r>
      <w:rPr>
        <w:rStyle w:val="a7"/>
        <w:rFonts w:cs="Calibri"/>
      </w:rPr>
      <w:fldChar w:fldCharType="end"/>
    </w:r>
  </w:p>
  <w:p w:rsidR="004F249C" w:rsidRDefault="004F249C">
    <w:pPr>
      <w:pStyle w:val="a3"/>
      <w:jc w:val="center"/>
    </w:pPr>
  </w:p>
  <w:p w:rsidR="004F249C" w:rsidRDefault="004F249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F3D43"/>
    <w:multiLevelType w:val="hybridMultilevel"/>
    <w:tmpl w:val="FC7A6B16"/>
    <w:lvl w:ilvl="0" w:tplc="A72A90A8">
      <w:start w:val="3"/>
      <w:numFmt w:val="decimal"/>
      <w:lvlText w:val="%1."/>
      <w:lvlJc w:val="left"/>
      <w:pPr>
        <w:ind w:left="1069" w:hanging="360"/>
      </w:pPr>
      <w:rPr>
        <w:rFonts w:cs="Times New Roman"/>
        <w:b/>
        <w:bCs/>
        <w:color w:val="000000"/>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43E4526B"/>
    <w:multiLevelType w:val="hybridMultilevel"/>
    <w:tmpl w:val="9E14D792"/>
    <w:lvl w:ilvl="0" w:tplc="C5502122">
      <w:start w:val="2"/>
      <w:numFmt w:val="bullet"/>
      <w:lvlText w:val="-"/>
      <w:lvlJc w:val="left"/>
      <w:pPr>
        <w:ind w:left="1068" w:hanging="360"/>
      </w:pPr>
      <w:rPr>
        <w:rFonts w:ascii="Times New Roman" w:eastAsia="Times New Roman" w:hAnsi="Times New Roman" w:hint="default"/>
        <w:color w:val="000000"/>
      </w:rPr>
    </w:lvl>
    <w:lvl w:ilvl="1" w:tplc="04220003">
      <w:start w:val="1"/>
      <w:numFmt w:val="bullet"/>
      <w:lvlText w:val="o"/>
      <w:lvlJc w:val="left"/>
      <w:pPr>
        <w:ind w:left="1788" w:hanging="360"/>
      </w:pPr>
      <w:rPr>
        <w:rFonts w:ascii="Courier New" w:hAnsi="Courier New" w:hint="default"/>
      </w:rPr>
    </w:lvl>
    <w:lvl w:ilvl="2" w:tplc="04220005">
      <w:start w:val="1"/>
      <w:numFmt w:val="bullet"/>
      <w:lvlText w:val=""/>
      <w:lvlJc w:val="left"/>
      <w:pPr>
        <w:ind w:left="2508" w:hanging="360"/>
      </w:pPr>
      <w:rPr>
        <w:rFonts w:ascii="Wingdings" w:hAnsi="Wingdings" w:hint="default"/>
      </w:rPr>
    </w:lvl>
    <w:lvl w:ilvl="3" w:tplc="04220001">
      <w:start w:val="1"/>
      <w:numFmt w:val="bullet"/>
      <w:lvlText w:val=""/>
      <w:lvlJc w:val="left"/>
      <w:pPr>
        <w:ind w:left="3228" w:hanging="360"/>
      </w:pPr>
      <w:rPr>
        <w:rFonts w:ascii="Symbol" w:hAnsi="Symbol" w:hint="default"/>
      </w:rPr>
    </w:lvl>
    <w:lvl w:ilvl="4" w:tplc="04220003">
      <w:start w:val="1"/>
      <w:numFmt w:val="bullet"/>
      <w:lvlText w:val="o"/>
      <w:lvlJc w:val="left"/>
      <w:pPr>
        <w:ind w:left="3948" w:hanging="360"/>
      </w:pPr>
      <w:rPr>
        <w:rFonts w:ascii="Courier New" w:hAnsi="Courier New" w:hint="default"/>
      </w:rPr>
    </w:lvl>
    <w:lvl w:ilvl="5" w:tplc="04220005">
      <w:start w:val="1"/>
      <w:numFmt w:val="bullet"/>
      <w:lvlText w:val=""/>
      <w:lvlJc w:val="left"/>
      <w:pPr>
        <w:ind w:left="4668" w:hanging="360"/>
      </w:pPr>
      <w:rPr>
        <w:rFonts w:ascii="Wingdings" w:hAnsi="Wingdings" w:hint="default"/>
      </w:rPr>
    </w:lvl>
    <w:lvl w:ilvl="6" w:tplc="04220001">
      <w:start w:val="1"/>
      <w:numFmt w:val="bullet"/>
      <w:lvlText w:val=""/>
      <w:lvlJc w:val="left"/>
      <w:pPr>
        <w:ind w:left="5388" w:hanging="360"/>
      </w:pPr>
      <w:rPr>
        <w:rFonts w:ascii="Symbol" w:hAnsi="Symbol" w:hint="default"/>
      </w:rPr>
    </w:lvl>
    <w:lvl w:ilvl="7" w:tplc="04220003">
      <w:start w:val="1"/>
      <w:numFmt w:val="bullet"/>
      <w:lvlText w:val="o"/>
      <w:lvlJc w:val="left"/>
      <w:pPr>
        <w:ind w:left="6108" w:hanging="360"/>
      </w:pPr>
      <w:rPr>
        <w:rFonts w:ascii="Courier New" w:hAnsi="Courier New" w:hint="default"/>
      </w:rPr>
    </w:lvl>
    <w:lvl w:ilvl="8" w:tplc="04220005">
      <w:start w:val="1"/>
      <w:numFmt w:val="bullet"/>
      <w:lvlText w:val=""/>
      <w:lvlJc w:val="left"/>
      <w:pPr>
        <w:ind w:left="6828" w:hanging="360"/>
      </w:pPr>
      <w:rPr>
        <w:rFonts w:ascii="Wingdings" w:hAnsi="Wingdings" w:hint="default"/>
      </w:rPr>
    </w:lvl>
  </w:abstractNum>
  <w:abstractNum w:abstractNumId="2" w15:restartNumberingAfterBreak="0">
    <w:nsid w:val="67591A20"/>
    <w:multiLevelType w:val="hybridMultilevel"/>
    <w:tmpl w:val="7D5472C4"/>
    <w:lvl w:ilvl="0" w:tplc="F4EEF130">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3" w15:restartNumberingAfterBreak="0">
    <w:nsid w:val="6C832D83"/>
    <w:multiLevelType w:val="hybridMultilevel"/>
    <w:tmpl w:val="C21EA2BE"/>
    <w:lvl w:ilvl="0" w:tplc="A3C8C082">
      <w:start w:val="3"/>
      <w:numFmt w:val="decimal"/>
      <w:lvlText w:val="%1."/>
      <w:lvlJc w:val="left"/>
      <w:pPr>
        <w:ind w:left="1080" w:hanging="360"/>
      </w:pPr>
      <w:rPr>
        <w:rFonts w:cs="Times New Roman" w:hint="default"/>
        <w:b/>
        <w:bCs/>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4" w15:restartNumberingAfterBreak="0">
    <w:nsid w:val="78D319CB"/>
    <w:multiLevelType w:val="hybridMultilevel"/>
    <w:tmpl w:val="5654429C"/>
    <w:lvl w:ilvl="0" w:tplc="AD7C0530">
      <w:start w:val="1"/>
      <w:numFmt w:val="bullet"/>
      <w:lvlText w:val="-"/>
      <w:lvlJc w:val="left"/>
      <w:pPr>
        <w:ind w:left="1068" w:hanging="360"/>
      </w:pPr>
      <w:rPr>
        <w:rFonts w:ascii="Times New Roman" w:eastAsia="SimSun" w:hAnsi="Times New Roman" w:hint="default"/>
      </w:rPr>
    </w:lvl>
    <w:lvl w:ilvl="1" w:tplc="04220003">
      <w:start w:val="1"/>
      <w:numFmt w:val="bullet"/>
      <w:lvlText w:val="o"/>
      <w:lvlJc w:val="left"/>
      <w:pPr>
        <w:ind w:left="1788" w:hanging="360"/>
      </w:pPr>
      <w:rPr>
        <w:rFonts w:ascii="Courier New" w:hAnsi="Courier New" w:hint="default"/>
      </w:rPr>
    </w:lvl>
    <w:lvl w:ilvl="2" w:tplc="04220005">
      <w:start w:val="1"/>
      <w:numFmt w:val="bullet"/>
      <w:lvlText w:val=""/>
      <w:lvlJc w:val="left"/>
      <w:pPr>
        <w:ind w:left="2508" w:hanging="360"/>
      </w:pPr>
      <w:rPr>
        <w:rFonts w:ascii="Wingdings" w:hAnsi="Wingdings" w:hint="default"/>
      </w:rPr>
    </w:lvl>
    <w:lvl w:ilvl="3" w:tplc="04220001">
      <w:start w:val="1"/>
      <w:numFmt w:val="bullet"/>
      <w:lvlText w:val=""/>
      <w:lvlJc w:val="left"/>
      <w:pPr>
        <w:ind w:left="3228" w:hanging="360"/>
      </w:pPr>
      <w:rPr>
        <w:rFonts w:ascii="Symbol" w:hAnsi="Symbol" w:hint="default"/>
      </w:rPr>
    </w:lvl>
    <w:lvl w:ilvl="4" w:tplc="04220003">
      <w:start w:val="1"/>
      <w:numFmt w:val="bullet"/>
      <w:lvlText w:val="o"/>
      <w:lvlJc w:val="left"/>
      <w:pPr>
        <w:ind w:left="3948" w:hanging="360"/>
      </w:pPr>
      <w:rPr>
        <w:rFonts w:ascii="Courier New" w:hAnsi="Courier New" w:hint="default"/>
      </w:rPr>
    </w:lvl>
    <w:lvl w:ilvl="5" w:tplc="04220005">
      <w:start w:val="1"/>
      <w:numFmt w:val="bullet"/>
      <w:lvlText w:val=""/>
      <w:lvlJc w:val="left"/>
      <w:pPr>
        <w:ind w:left="4668" w:hanging="360"/>
      </w:pPr>
      <w:rPr>
        <w:rFonts w:ascii="Wingdings" w:hAnsi="Wingdings" w:hint="default"/>
      </w:rPr>
    </w:lvl>
    <w:lvl w:ilvl="6" w:tplc="04220001">
      <w:start w:val="1"/>
      <w:numFmt w:val="bullet"/>
      <w:lvlText w:val=""/>
      <w:lvlJc w:val="left"/>
      <w:pPr>
        <w:ind w:left="5388" w:hanging="360"/>
      </w:pPr>
      <w:rPr>
        <w:rFonts w:ascii="Symbol" w:hAnsi="Symbol" w:hint="default"/>
      </w:rPr>
    </w:lvl>
    <w:lvl w:ilvl="7" w:tplc="04220003">
      <w:start w:val="1"/>
      <w:numFmt w:val="bullet"/>
      <w:lvlText w:val="o"/>
      <w:lvlJc w:val="left"/>
      <w:pPr>
        <w:ind w:left="6108" w:hanging="360"/>
      </w:pPr>
      <w:rPr>
        <w:rFonts w:ascii="Courier New" w:hAnsi="Courier New" w:hint="default"/>
      </w:rPr>
    </w:lvl>
    <w:lvl w:ilvl="8" w:tplc="04220005">
      <w:start w:val="1"/>
      <w:numFmt w:val="bullet"/>
      <w:lvlText w:val=""/>
      <w:lvlJc w:val="left"/>
      <w:pPr>
        <w:ind w:left="6828" w:hanging="360"/>
      </w:pPr>
      <w:rPr>
        <w:rFonts w:ascii="Wingdings" w:hAnsi="Wingdings" w:hint="default"/>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0F9"/>
    <w:rsid w:val="0000323B"/>
    <w:rsid w:val="00005754"/>
    <w:rsid w:val="00005B67"/>
    <w:rsid w:val="0000664C"/>
    <w:rsid w:val="000103CA"/>
    <w:rsid w:val="00013EF9"/>
    <w:rsid w:val="000173DC"/>
    <w:rsid w:val="000253A9"/>
    <w:rsid w:val="0002795D"/>
    <w:rsid w:val="0003056C"/>
    <w:rsid w:val="00041D42"/>
    <w:rsid w:val="0004790B"/>
    <w:rsid w:val="000610F9"/>
    <w:rsid w:val="000666C3"/>
    <w:rsid w:val="000675D9"/>
    <w:rsid w:val="00083CC3"/>
    <w:rsid w:val="000A2265"/>
    <w:rsid w:val="000A54B4"/>
    <w:rsid w:val="000B08EF"/>
    <w:rsid w:val="000B2A96"/>
    <w:rsid w:val="000E41F0"/>
    <w:rsid w:val="000E44DD"/>
    <w:rsid w:val="000E4F25"/>
    <w:rsid w:val="000E6AAA"/>
    <w:rsid w:val="000F2795"/>
    <w:rsid w:val="000F5BC9"/>
    <w:rsid w:val="001263E8"/>
    <w:rsid w:val="001418E0"/>
    <w:rsid w:val="00153C57"/>
    <w:rsid w:val="0016413B"/>
    <w:rsid w:val="0017431D"/>
    <w:rsid w:val="001C549F"/>
    <w:rsid w:val="001C5A77"/>
    <w:rsid w:val="001C74F0"/>
    <w:rsid w:val="001D0DA1"/>
    <w:rsid w:val="001D4DED"/>
    <w:rsid w:val="001D6EA7"/>
    <w:rsid w:val="001E3D69"/>
    <w:rsid w:val="002007AC"/>
    <w:rsid w:val="00201FDC"/>
    <w:rsid w:val="00203538"/>
    <w:rsid w:val="0023156C"/>
    <w:rsid w:val="002419CC"/>
    <w:rsid w:val="0024271B"/>
    <w:rsid w:val="0024608F"/>
    <w:rsid w:val="00253ED1"/>
    <w:rsid w:val="00256CB5"/>
    <w:rsid w:val="00260E00"/>
    <w:rsid w:val="00261EA7"/>
    <w:rsid w:val="002703FE"/>
    <w:rsid w:val="002719C7"/>
    <w:rsid w:val="0027781B"/>
    <w:rsid w:val="00287176"/>
    <w:rsid w:val="002A0883"/>
    <w:rsid w:val="002A0A63"/>
    <w:rsid w:val="002A1B13"/>
    <w:rsid w:val="002B6D68"/>
    <w:rsid w:val="002B73B0"/>
    <w:rsid w:val="002C093C"/>
    <w:rsid w:val="002C58B0"/>
    <w:rsid w:val="002D4DF5"/>
    <w:rsid w:val="002F1821"/>
    <w:rsid w:val="002F2A98"/>
    <w:rsid w:val="002F450E"/>
    <w:rsid w:val="003146F8"/>
    <w:rsid w:val="00315F12"/>
    <w:rsid w:val="00333BC6"/>
    <w:rsid w:val="00343E74"/>
    <w:rsid w:val="00353C02"/>
    <w:rsid w:val="00354F60"/>
    <w:rsid w:val="00371F34"/>
    <w:rsid w:val="00375679"/>
    <w:rsid w:val="00376552"/>
    <w:rsid w:val="00380198"/>
    <w:rsid w:val="003867A3"/>
    <w:rsid w:val="00386A52"/>
    <w:rsid w:val="00395F75"/>
    <w:rsid w:val="003A166C"/>
    <w:rsid w:val="003C19AB"/>
    <w:rsid w:val="003D084A"/>
    <w:rsid w:val="003D1068"/>
    <w:rsid w:val="003D4C99"/>
    <w:rsid w:val="003D630C"/>
    <w:rsid w:val="003E37C7"/>
    <w:rsid w:val="003E5582"/>
    <w:rsid w:val="003F1992"/>
    <w:rsid w:val="0040242A"/>
    <w:rsid w:val="00403802"/>
    <w:rsid w:val="004146E5"/>
    <w:rsid w:val="00414D73"/>
    <w:rsid w:val="004156B9"/>
    <w:rsid w:val="00424658"/>
    <w:rsid w:val="00427244"/>
    <w:rsid w:val="00450AEE"/>
    <w:rsid w:val="00461E43"/>
    <w:rsid w:val="0047759B"/>
    <w:rsid w:val="00483FC4"/>
    <w:rsid w:val="00487260"/>
    <w:rsid w:val="004B2F97"/>
    <w:rsid w:val="004C37BD"/>
    <w:rsid w:val="004C3E99"/>
    <w:rsid w:val="004C704B"/>
    <w:rsid w:val="004D2E6E"/>
    <w:rsid w:val="004E39CB"/>
    <w:rsid w:val="004E6B07"/>
    <w:rsid w:val="004F249C"/>
    <w:rsid w:val="004F4A31"/>
    <w:rsid w:val="00502533"/>
    <w:rsid w:val="00507A85"/>
    <w:rsid w:val="005240CC"/>
    <w:rsid w:val="0054071D"/>
    <w:rsid w:val="00543958"/>
    <w:rsid w:val="0054787F"/>
    <w:rsid w:val="0055140A"/>
    <w:rsid w:val="00562B62"/>
    <w:rsid w:val="00564740"/>
    <w:rsid w:val="0058046F"/>
    <w:rsid w:val="0058193C"/>
    <w:rsid w:val="00590B2F"/>
    <w:rsid w:val="005A166E"/>
    <w:rsid w:val="005C6F4D"/>
    <w:rsid w:val="005D6F1B"/>
    <w:rsid w:val="005E411F"/>
    <w:rsid w:val="005F3395"/>
    <w:rsid w:val="006043A9"/>
    <w:rsid w:val="00612B7B"/>
    <w:rsid w:val="00633268"/>
    <w:rsid w:val="00647D02"/>
    <w:rsid w:val="00673BBD"/>
    <w:rsid w:val="00676F40"/>
    <w:rsid w:val="006953DE"/>
    <w:rsid w:val="0069542F"/>
    <w:rsid w:val="006B11CF"/>
    <w:rsid w:val="006C2774"/>
    <w:rsid w:val="006E02A2"/>
    <w:rsid w:val="006F58C8"/>
    <w:rsid w:val="006F5C18"/>
    <w:rsid w:val="00714D9A"/>
    <w:rsid w:val="00722874"/>
    <w:rsid w:val="00733F8F"/>
    <w:rsid w:val="0073551A"/>
    <w:rsid w:val="007367CE"/>
    <w:rsid w:val="007470A2"/>
    <w:rsid w:val="007476BC"/>
    <w:rsid w:val="00751F4C"/>
    <w:rsid w:val="0075709F"/>
    <w:rsid w:val="00763A43"/>
    <w:rsid w:val="00766977"/>
    <w:rsid w:val="007750AD"/>
    <w:rsid w:val="007A4047"/>
    <w:rsid w:val="007B67B5"/>
    <w:rsid w:val="007C3852"/>
    <w:rsid w:val="007C73B6"/>
    <w:rsid w:val="007D6002"/>
    <w:rsid w:val="007E23AE"/>
    <w:rsid w:val="007E6F00"/>
    <w:rsid w:val="007F0C2C"/>
    <w:rsid w:val="00803238"/>
    <w:rsid w:val="00810CC5"/>
    <w:rsid w:val="00811E0F"/>
    <w:rsid w:val="00815A74"/>
    <w:rsid w:val="00820E0D"/>
    <w:rsid w:val="00823109"/>
    <w:rsid w:val="00830067"/>
    <w:rsid w:val="008501A1"/>
    <w:rsid w:val="008538D4"/>
    <w:rsid w:val="008605FE"/>
    <w:rsid w:val="008634B7"/>
    <w:rsid w:val="008755E5"/>
    <w:rsid w:val="00877F82"/>
    <w:rsid w:val="00883718"/>
    <w:rsid w:val="008861B4"/>
    <w:rsid w:val="008A1CBA"/>
    <w:rsid w:val="008A3D39"/>
    <w:rsid w:val="008B2A79"/>
    <w:rsid w:val="008B458B"/>
    <w:rsid w:val="008B6A53"/>
    <w:rsid w:val="008C0799"/>
    <w:rsid w:val="008C0D19"/>
    <w:rsid w:val="008C1D4A"/>
    <w:rsid w:val="008C1FB7"/>
    <w:rsid w:val="008C48B1"/>
    <w:rsid w:val="008C4A89"/>
    <w:rsid w:val="008C4FFC"/>
    <w:rsid w:val="008D1034"/>
    <w:rsid w:val="008D4A9B"/>
    <w:rsid w:val="008E4B3B"/>
    <w:rsid w:val="008E5246"/>
    <w:rsid w:val="00910B3C"/>
    <w:rsid w:val="009262F0"/>
    <w:rsid w:val="00944169"/>
    <w:rsid w:val="00954C21"/>
    <w:rsid w:val="00962D8D"/>
    <w:rsid w:val="00970F87"/>
    <w:rsid w:val="00980945"/>
    <w:rsid w:val="0099107F"/>
    <w:rsid w:val="009A7D11"/>
    <w:rsid w:val="009B2035"/>
    <w:rsid w:val="009B4029"/>
    <w:rsid w:val="009C240D"/>
    <w:rsid w:val="009C7146"/>
    <w:rsid w:val="009D6726"/>
    <w:rsid w:val="009D7F8C"/>
    <w:rsid w:val="009E1650"/>
    <w:rsid w:val="009E6367"/>
    <w:rsid w:val="009F1FEF"/>
    <w:rsid w:val="009F4BEE"/>
    <w:rsid w:val="00A34C34"/>
    <w:rsid w:val="00A446A5"/>
    <w:rsid w:val="00A44BE7"/>
    <w:rsid w:val="00A52A33"/>
    <w:rsid w:val="00A5534E"/>
    <w:rsid w:val="00A669E9"/>
    <w:rsid w:val="00A70A96"/>
    <w:rsid w:val="00A80ADB"/>
    <w:rsid w:val="00A84D0E"/>
    <w:rsid w:val="00A87D73"/>
    <w:rsid w:val="00A90BBF"/>
    <w:rsid w:val="00A96E60"/>
    <w:rsid w:val="00AA59DC"/>
    <w:rsid w:val="00AB1078"/>
    <w:rsid w:val="00AB3DA7"/>
    <w:rsid w:val="00AB455F"/>
    <w:rsid w:val="00AD4E39"/>
    <w:rsid w:val="00AF25A5"/>
    <w:rsid w:val="00AF2C96"/>
    <w:rsid w:val="00AF2DE9"/>
    <w:rsid w:val="00B12BE6"/>
    <w:rsid w:val="00B22DC5"/>
    <w:rsid w:val="00B24470"/>
    <w:rsid w:val="00B26953"/>
    <w:rsid w:val="00B274B6"/>
    <w:rsid w:val="00B50705"/>
    <w:rsid w:val="00B53426"/>
    <w:rsid w:val="00B92201"/>
    <w:rsid w:val="00B92205"/>
    <w:rsid w:val="00B93A7A"/>
    <w:rsid w:val="00BB613A"/>
    <w:rsid w:val="00BC066C"/>
    <w:rsid w:val="00BC3F1D"/>
    <w:rsid w:val="00BD7136"/>
    <w:rsid w:val="00BE329D"/>
    <w:rsid w:val="00BF149A"/>
    <w:rsid w:val="00BF3B3D"/>
    <w:rsid w:val="00BF437B"/>
    <w:rsid w:val="00BF4854"/>
    <w:rsid w:val="00C12F37"/>
    <w:rsid w:val="00C34193"/>
    <w:rsid w:val="00C36F1F"/>
    <w:rsid w:val="00C43227"/>
    <w:rsid w:val="00C50183"/>
    <w:rsid w:val="00C51BF4"/>
    <w:rsid w:val="00C64AB2"/>
    <w:rsid w:val="00C85B8F"/>
    <w:rsid w:val="00C95219"/>
    <w:rsid w:val="00C9742C"/>
    <w:rsid w:val="00CA4DA4"/>
    <w:rsid w:val="00CC617A"/>
    <w:rsid w:val="00CC6C2C"/>
    <w:rsid w:val="00CD0600"/>
    <w:rsid w:val="00CD57D3"/>
    <w:rsid w:val="00CE1B39"/>
    <w:rsid w:val="00CE5EF6"/>
    <w:rsid w:val="00D05ACA"/>
    <w:rsid w:val="00D143B3"/>
    <w:rsid w:val="00D314B9"/>
    <w:rsid w:val="00D320D7"/>
    <w:rsid w:val="00D333B5"/>
    <w:rsid w:val="00D33DCD"/>
    <w:rsid w:val="00D36729"/>
    <w:rsid w:val="00D47363"/>
    <w:rsid w:val="00D504E7"/>
    <w:rsid w:val="00D7664B"/>
    <w:rsid w:val="00D77FBA"/>
    <w:rsid w:val="00DB2027"/>
    <w:rsid w:val="00DB6DAA"/>
    <w:rsid w:val="00DB71EC"/>
    <w:rsid w:val="00DC70D8"/>
    <w:rsid w:val="00DD3858"/>
    <w:rsid w:val="00DD4B41"/>
    <w:rsid w:val="00DD51BF"/>
    <w:rsid w:val="00DD7C0B"/>
    <w:rsid w:val="00DF0698"/>
    <w:rsid w:val="00DF1C55"/>
    <w:rsid w:val="00E07FAC"/>
    <w:rsid w:val="00E21DF3"/>
    <w:rsid w:val="00E23926"/>
    <w:rsid w:val="00E31EB6"/>
    <w:rsid w:val="00E32971"/>
    <w:rsid w:val="00E334D1"/>
    <w:rsid w:val="00E34023"/>
    <w:rsid w:val="00E352D4"/>
    <w:rsid w:val="00E43CAC"/>
    <w:rsid w:val="00E514DB"/>
    <w:rsid w:val="00E557F1"/>
    <w:rsid w:val="00E60B69"/>
    <w:rsid w:val="00E61E9D"/>
    <w:rsid w:val="00E63D2E"/>
    <w:rsid w:val="00E66E55"/>
    <w:rsid w:val="00E67D52"/>
    <w:rsid w:val="00E702AE"/>
    <w:rsid w:val="00E71FE2"/>
    <w:rsid w:val="00E72809"/>
    <w:rsid w:val="00E74631"/>
    <w:rsid w:val="00E77817"/>
    <w:rsid w:val="00E801EA"/>
    <w:rsid w:val="00E83328"/>
    <w:rsid w:val="00E841F0"/>
    <w:rsid w:val="00E84A2B"/>
    <w:rsid w:val="00EA641A"/>
    <w:rsid w:val="00EB7346"/>
    <w:rsid w:val="00EB78E5"/>
    <w:rsid w:val="00EB7C60"/>
    <w:rsid w:val="00EC007A"/>
    <w:rsid w:val="00ED490D"/>
    <w:rsid w:val="00EE6D51"/>
    <w:rsid w:val="00EF2BCF"/>
    <w:rsid w:val="00EF2D41"/>
    <w:rsid w:val="00EF53F8"/>
    <w:rsid w:val="00F010B2"/>
    <w:rsid w:val="00F02F50"/>
    <w:rsid w:val="00F16631"/>
    <w:rsid w:val="00F26345"/>
    <w:rsid w:val="00F324AE"/>
    <w:rsid w:val="00F41F5F"/>
    <w:rsid w:val="00F47C2B"/>
    <w:rsid w:val="00F632A1"/>
    <w:rsid w:val="00F82B9F"/>
    <w:rsid w:val="00F84994"/>
    <w:rsid w:val="00F87940"/>
    <w:rsid w:val="00FA7F10"/>
    <w:rsid w:val="00FB0D50"/>
    <w:rsid w:val="00FB13F7"/>
    <w:rsid w:val="00FC0546"/>
    <w:rsid w:val="00FC0F6A"/>
    <w:rsid w:val="00FC572E"/>
    <w:rsid w:val="00FE1175"/>
    <w:rsid w:val="00FE368F"/>
    <w:rsid w:val="00FE3CC7"/>
    <w:rsid w:val="00FE5F03"/>
    <w:rsid w:val="00FF50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F137803-E835-460A-836D-2FC62F7E1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3EF9"/>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B6DAA"/>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DB6DAA"/>
    <w:rPr>
      <w:rFonts w:cs="Times New Roman"/>
    </w:rPr>
  </w:style>
  <w:style w:type="paragraph" w:styleId="HTML">
    <w:name w:val="HTML Preformatted"/>
    <w:basedOn w:val="a"/>
    <w:link w:val="HTML0"/>
    <w:uiPriority w:val="99"/>
    <w:rsid w:val="006F5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locked/>
    <w:rsid w:val="006F58C8"/>
    <w:rPr>
      <w:rFonts w:ascii="Courier New" w:hAnsi="Courier New" w:cs="Courier New"/>
      <w:lang w:val="ru-RU" w:eastAsia="ru-RU"/>
    </w:rPr>
  </w:style>
  <w:style w:type="paragraph" w:styleId="a5">
    <w:name w:val="footer"/>
    <w:basedOn w:val="a"/>
    <w:link w:val="a6"/>
    <w:uiPriority w:val="99"/>
    <w:rsid w:val="00DB6DAA"/>
    <w:pPr>
      <w:tabs>
        <w:tab w:val="center" w:pos="4819"/>
        <w:tab w:val="right" w:pos="9639"/>
      </w:tabs>
      <w:spacing w:after="0" w:line="240" w:lineRule="auto"/>
    </w:pPr>
  </w:style>
  <w:style w:type="character" w:customStyle="1" w:styleId="a6">
    <w:name w:val="Нижній колонтитул Знак"/>
    <w:basedOn w:val="a0"/>
    <w:link w:val="a5"/>
    <w:uiPriority w:val="99"/>
    <w:locked/>
    <w:rsid w:val="00DB6DAA"/>
    <w:rPr>
      <w:rFonts w:cs="Times New Roman"/>
    </w:rPr>
  </w:style>
  <w:style w:type="character" w:styleId="a7">
    <w:name w:val="page number"/>
    <w:basedOn w:val="a0"/>
    <w:uiPriority w:val="99"/>
    <w:rsid w:val="00E32971"/>
    <w:rPr>
      <w:rFonts w:cs="Times New Roman"/>
    </w:rPr>
  </w:style>
  <w:style w:type="table" w:styleId="a8">
    <w:name w:val="Table Grid"/>
    <w:basedOn w:val="a1"/>
    <w:uiPriority w:val="99"/>
    <w:locked/>
    <w:rsid w:val="00954C21"/>
    <w:rPr>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Balloon Text"/>
    <w:basedOn w:val="a"/>
    <w:link w:val="aa"/>
    <w:uiPriority w:val="99"/>
    <w:semiHidden/>
    <w:rsid w:val="00B93A7A"/>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B93A7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2604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AA87E1-C858-45D8-8DD9-072E0C34EE0C}">
  <ds:schemaRefs>
    <ds:schemaRef ds:uri="http://schemas.microsoft.com/sharepoint/v3/contenttype/forms"/>
  </ds:schemaRefs>
</ds:datastoreItem>
</file>

<file path=customXml/itemProps2.xml><?xml version="1.0" encoding="utf-8"?>
<ds:datastoreItem xmlns:ds="http://schemas.openxmlformats.org/officeDocument/2006/customXml" ds:itemID="{57E98C37-724C-4D8D-97D1-2B449DE5E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A43B21-D139-4456-84AB-D28F560542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8308</Words>
  <Characters>4736</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2021-05-13T08:31:00Z</dcterms:created>
  <dcterms:modified xsi:type="dcterms:W3CDTF">2021-05-13T08:31:00Z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