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416E" w:rsidRPr="00F43F98" w:rsidRDefault="00C0416E" w:rsidP="00C0416E">
      <w:pPr>
        <w:spacing w:line="276" w:lineRule="auto"/>
        <w:ind w:left="1451"/>
        <w:jc w:val="center"/>
        <w:rPr>
          <w:rFonts w:ascii="Times New Roman" w:hAnsi="Times New Roman"/>
          <w:i/>
          <w:sz w:val="28"/>
          <w:szCs w:val="28"/>
        </w:rPr>
      </w:pPr>
      <w:bookmarkStart w:id="0" w:name="_GoBack"/>
      <w:bookmarkEnd w:id="0"/>
      <w:r w:rsidRPr="00F43F98">
        <w:rPr>
          <w:rFonts w:ascii="Times New Roman" w:hAnsi="Times New Roman"/>
          <w:i/>
          <w:sz w:val="28"/>
          <w:szCs w:val="28"/>
        </w:rPr>
        <w:t xml:space="preserve">                  </w:t>
      </w:r>
    </w:p>
    <w:p w:rsidR="00C0416E" w:rsidRPr="00F43F98" w:rsidRDefault="00C0416E" w:rsidP="002D437C">
      <w:pPr>
        <w:tabs>
          <w:tab w:val="left" w:pos="1080"/>
        </w:tabs>
        <w:spacing w:line="276" w:lineRule="auto"/>
        <w:ind w:firstLine="4536"/>
        <w:jc w:val="both"/>
        <w:rPr>
          <w:rFonts w:ascii="Times New Roman" w:hAnsi="Times New Roman"/>
          <w:sz w:val="28"/>
          <w:szCs w:val="28"/>
        </w:rPr>
      </w:pPr>
      <w:r w:rsidRPr="00F43F98">
        <w:rPr>
          <w:rFonts w:ascii="Times New Roman" w:hAnsi="Times New Roman"/>
          <w:sz w:val="28"/>
          <w:szCs w:val="28"/>
        </w:rPr>
        <w:t>ПРОЕКТ</w:t>
      </w:r>
    </w:p>
    <w:p w:rsidR="00C0416E" w:rsidRPr="00F43F98" w:rsidRDefault="00C0416E" w:rsidP="002D437C">
      <w:pPr>
        <w:tabs>
          <w:tab w:val="left" w:pos="1080"/>
        </w:tabs>
        <w:spacing w:line="276" w:lineRule="auto"/>
        <w:ind w:firstLine="4536"/>
        <w:jc w:val="both"/>
        <w:rPr>
          <w:rFonts w:ascii="Times New Roman" w:hAnsi="Times New Roman"/>
          <w:sz w:val="28"/>
          <w:szCs w:val="28"/>
        </w:rPr>
      </w:pPr>
      <w:r w:rsidRPr="00F43F98">
        <w:rPr>
          <w:rFonts w:ascii="Times New Roman" w:hAnsi="Times New Roman"/>
          <w:sz w:val="28"/>
          <w:szCs w:val="28"/>
        </w:rPr>
        <w:t>вноситься народним</w:t>
      </w:r>
      <w:r w:rsidR="002D437C">
        <w:rPr>
          <w:rFonts w:ascii="Times New Roman" w:hAnsi="Times New Roman"/>
          <w:sz w:val="28"/>
          <w:szCs w:val="28"/>
        </w:rPr>
        <w:t xml:space="preserve">и депутатами </w:t>
      </w:r>
      <w:r w:rsidRPr="00F43F98">
        <w:rPr>
          <w:rFonts w:ascii="Times New Roman" w:hAnsi="Times New Roman"/>
          <w:sz w:val="28"/>
          <w:szCs w:val="28"/>
        </w:rPr>
        <w:t xml:space="preserve"> України</w:t>
      </w:r>
    </w:p>
    <w:p w:rsidR="00C0416E" w:rsidRPr="00F43F98" w:rsidRDefault="00C0416E" w:rsidP="00C0416E">
      <w:pPr>
        <w:spacing w:line="276" w:lineRule="auto"/>
        <w:jc w:val="center"/>
        <w:rPr>
          <w:rFonts w:ascii="Times New Roman" w:hAnsi="Times New Roman"/>
          <w:sz w:val="28"/>
          <w:szCs w:val="28"/>
        </w:rPr>
      </w:pPr>
    </w:p>
    <w:p w:rsidR="00E17BDA" w:rsidRPr="00F43F98" w:rsidRDefault="00E17BDA" w:rsidP="00C0416E">
      <w:pPr>
        <w:spacing w:before="100" w:beforeAutospacing="1" w:after="100" w:afterAutospacing="1"/>
        <w:rPr>
          <w:rFonts w:ascii="Times New Roman" w:hAnsi="Times New Roman"/>
          <w:bCs/>
          <w:sz w:val="28"/>
          <w:szCs w:val="28"/>
        </w:rPr>
      </w:pPr>
    </w:p>
    <w:p w:rsidR="00E47784" w:rsidRDefault="00E47784" w:rsidP="005A5F9B">
      <w:pPr>
        <w:spacing w:before="100" w:beforeAutospacing="1" w:after="100" w:afterAutospacing="1"/>
        <w:ind w:firstLine="720"/>
        <w:jc w:val="center"/>
        <w:rPr>
          <w:rFonts w:ascii="Times New Roman" w:hAnsi="Times New Roman"/>
          <w:bCs/>
          <w:sz w:val="28"/>
          <w:szCs w:val="28"/>
        </w:rPr>
      </w:pPr>
    </w:p>
    <w:p w:rsidR="00F43F98" w:rsidRPr="00F43F98" w:rsidRDefault="00F43F98" w:rsidP="005A5F9B">
      <w:pPr>
        <w:spacing w:before="100" w:beforeAutospacing="1" w:after="100" w:afterAutospacing="1"/>
        <w:ind w:firstLine="720"/>
        <w:jc w:val="center"/>
        <w:rPr>
          <w:rFonts w:ascii="Times New Roman" w:hAnsi="Times New Roman"/>
          <w:bCs/>
          <w:sz w:val="28"/>
          <w:szCs w:val="28"/>
        </w:rPr>
      </w:pPr>
    </w:p>
    <w:p w:rsidR="006C112F" w:rsidRPr="00F43F98" w:rsidRDefault="006C112F" w:rsidP="00F43F98">
      <w:pPr>
        <w:spacing w:before="100" w:beforeAutospacing="1" w:after="100" w:afterAutospacing="1"/>
        <w:jc w:val="center"/>
        <w:rPr>
          <w:rFonts w:ascii="Times New Roman" w:hAnsi="Times New Roman"/>
          <w:b/>
          <w:bCs/>
          <w:sz w:val="28"/>
          <w:szCs w:val="28"/>
        </w:rPr>
      </w:pPr>
      <w:r w:rsidRPr="00F43F98">
        <w:rPr>
          <w:rFonts w:ascii="Times New Roman" w:hAnsi="Times New Roman"/>
          <w:b/>
          <w:bCs/>
          <w:sz w:val="28"/>
          <w:szCs w:val="28"/>
        </w:rPr>
        <w:t>ЗАКОН УКРАЇНИ</w:t>
      </w:r>
    </w:p>
    <w:p w:rsidR="00F43F98" w:rsidRDefault="00C0416E" w:rsidP="00F43F98">
      <w:pPr>
        <w:pStyle w:val="a3"/>
        <w:spacing w:before="100" w:beforeAutospacing="1" w:after="100" w:afterAutospacing="1"/>
        <w:jc w:val="center"/>
        <w:rPr>
          <w:rFonts w:ascii="Times New Roman" w:hAnsi="Times New Roman"/>
          <w:b/>
          <w:color w:val="000000" w:themeColor="text1"/>
          <w:sz w:val="28"/>
          <w:szCs w:val="28"/>
        </w:rPr>
      </w:pPr>
      <w:r w:rsidRPr="00F43F98">
        <w:rPr>
          <w:rFonts w:ascii="Times New Roman" w:hAnsi="Times New Roman"/>
          <w:bCs/>
          <w:sz w:val="28"/>
          <w:szCs w:val="28"/>
        </w:rPr>
        <w:t>«</w:t>
      </w:r>
      <w:r w:rsidR="00F43F98" w:rsidRPr="00F43F98">
        <w:rPr>
          <w:rFonts w:ascii="Times New Roman" w:hAnsi="Times New Roman"/>
          <w:b/>
          <w:color w:val="000000" w:themeColor="text1"/>
          <w:sz w:val="28"/>
          <w:szCs w:val="28"/>
        </w:rPr>
        <w:t>Про внесення змін до деяких законодавчих актів України щодо діяльності Антимонопольного комітету України</w:t>
      </w:r>
      <w:r w:rsidR="00F43F98">
        <w:rPr>
          <w:rFonts w:ascii="Times New Roman" w:hAnsi="Times New Roman"/>
          <w:b/>
          <w:color w:val="000000" w:themeColor="text1"/>
          <w:sz w:val="28"/>
          <w:szCs w:val="28"/>
        </w:rPr>
        <w:t>»</w:t>
      </w:r>
    </w:p>
    <w:p w:rsidR="00F43F98" w:rsidRPr="00F43F98" w:rsidRDefault="00F43F98" w:rsidP="00F43F98">
      <w:pPr>
        <w:pStyle w:val="a3"/>
        <w:spacing w:before="100" w:beforeAutospacing="1" w:after="100" w:afterAutospacing="1"/>
        <w:jc w:val="center"/>
        <w:rPr>
          <w:rFonts w:ascii="Times New Roman" w:hAnsi="Times New Roman"/>
          <w:b/>
          <w:color w:val="000000" w:themeColor="text1"/>
          <w:sz w:val="28"/>
          <w:szCs w:val="28"/>
        </w:rPr>
      </w:pPr>
    </w:p>
    <w:p w:rsidR="00F43F98" w:rsidRPr="00F43F98" w:rsidRDefault="00F43F98" w:rsidP="00F43F98">
      <w:pPr>
        <w:pStyle w:val="a3"/>
        <w:spacing w:before="100" w:beforeAutospacing="1" w:after="100" w:afterAutospacing="1"/>
        <w:rPr>
          <w:rFonts w:ascii="Times New Roman" w:hAnsi="Times New Roman"/>
          <w:b/>
          <w:color w:val="000000" w:themeColor="text1"/>
          <w:sz w:val="28"/>
          <w:szCs w:val="28"/>
        </w:rPr>
      </w:pPr>
      <w:r w:rsidRPr="00F43F98">
        <w:rPr>
          <w:rFonts w:ascii="Times New Roman" w:hAnsi="Times New Roman"/>
          <w:b/>
          <w:color w:val="000000" w:themeColor="text1"/>
          <w:sz w:val="28"/>
          <w:szCs w:val="28"/>
        </w:rPr>
        <w:t>Верховна Рада України постановляє:</w:t>
      </w:r>
    </w:p>
    <w:p w:rsidR="00F43F98" w:rsidRPr="00F43F98" w:rsidRDefault="00F43F98" w:rsidP="00F43F98">
      <w:pPr>
        <w:pStyle w:val="a3"/>
        <w:spacing w:before="100" w:beforeAutospacing="1" w:after="100" w:afterAutospacing="1"/>
        <w:rPr>
          <w:rFonts w:ascii="Times New Roman" w:hAnsi="Times New Roman"/>
          <w:b/>
          <w:color w:val="000000" w:themeColor="text1"/>
          <w:sz w:val="28"/>
          <w:szCs w:val="28"/>
        </w:rPr>
      </w:pPr>
      <w:r w:rsidRPr="00F43F98">
        <w:rPr>
          <w:rFonts w:ascii="Times New Roman" w:hAnsi="Times New Roman"/>
          <w:b/>
          <w:color w:val="000000" w:themeColor="text1"/>
          <w:sz w:val="28"/>
          <w:szCs w:val="28"/>
        </w:rPr>
        <w:t>I. Внести зміни до таких законів України: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 xml:space="preserve">1. У Законі України «Про Антимонопольний комітет України» (Відомості Верховної  Ради України, 1993, № 50, ст.472 із наступними змінами): </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1) частину першу статті 1 після слів «захисту конкуренції у підприємницькій діяльності,» доповнити словами «при наданні державної допомоги суб’єктам господарювання»;</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2) статтю 2 після частини першої доповнити новими частинами такого змісту:</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«Антимонопольний комітет України щорічно у березні наступного за звітним року, подає Верховній Раді України звіт про свою діяльність.</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Звіт повинен містити  оцінку стану захисту економічної конкуренції, наявності антиконкурентних та монополістичних загроз економічному розвитку країни, шляхи їх подолання та пріоритети діяльності Антимонопольного комітету України.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Верховна Рада України також заслуховує Голову Антимонопольного комітету України з питань, що відносяться до компетенції Антимонопольного комітету України як з власної ініціативи, так і за зверненням Голови Антимонопольного комітету України.»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3) в статті 3:</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в абзаці першому слово «конкурентної» замінити словом «конкуренційної»;</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в пунктах 1, 2, 4 частини першої слова «законодавства про захист економічної конкуренції» замінити словами «конкуренційного законодавства»;</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lastRenderedPageBreak/>
        <w:t>пункт 3 частини першої після слів «сприяння розвитку» доповнити словами «та адвокатування»;</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в пункті 5 частини першої слово «конкурентного» замінити словом «конкуренційного»;</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 xml:space="preserve"> 4) в статті 4:</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назву статті викласти в новій редакції: «Стаття 4. Принципи діяльності Антимонопольного комітету України»;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в абзаці першому статті слово «будує» замінити словом «здійснює»;</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після абзацу першого доповнити новими абзацами: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 верховенства права;</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 правової  та процесуальної  визначеності;»;</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 xml:space="preserve">5) частину першу статті 5 після слів «"Про державну допомогу суб’єктам господарювання",» доповнити словами ««Про публічні закупівлі»,»; </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6) у статті 7:</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 xml:space="preserve">в статті слова «законодавства про захист економічної конкуренції» замінити словами «конкуренційного законодавства»; </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пункт 4 частини першої викласти в новій редакції:</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«4) перевіряти суб’єкти господарювання, об’єднання під час проведення розслідувань у справах про порушення конкуренційного законодавства. Перевіряти органи влади, органи місцевого самоврядування, органи адміністративно-господарського управління та контролю щодо дотримання ними вимог конкуренційного законодавства;»;</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 xml:space="preserve">пункт 7 частини першої викласти в новій редакції: </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«7) у випадках та порядку, передбачених законом, мати безперешкодний доступ до приміщень, підприємств, установ, організацій, до місць зберігання інформації, до хмарних сховищ, систем баз даних суб’єкта господарювання та/або інформації від надавача послуг  інтернет та/або мобільного зв’язку незалежно від їх місцезнаходження, що перебувають у володінні, та/або користуванні, та/або розпорядженні суб’єктів господарювання, об’єднань, органів влади, органів місцевого самоврядування, органів адміністративно-господарського управління та контролю, інших осіб, проводити огляд службових приміщень та транспортних засобів цих осіб. Доступ органів Антимонопольного комітету України до місць зберігання інформації у цих осіб, проведення огляду службових приміщень та транспортних засобів цих визначається судово-конкуренційним наказом та Господарським процесуальним кодексом України;»;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lastRenderedPageBreak/>
        <w:t>в пункті 15 частини першої слово «цими» замінити словом «господарськими»;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частину першу доповнити новим пунктом 18 такого змісту:</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«18) викликати для надання пояснень у заявах, справах про порушення конкуренційного законодавства посадових осіб, працівників суб'єктів господарювання, об'єднань, органів влади, органів місцевого самоврядування, органів адміністративно-господарського управління та контролю, інших юридичних осіб, їх структурних підрозділів, філій, представництв;»</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у зв’язку з цим, пункти 17-1-18 частини першої вважати пунктами 19-20 відповідно;</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в пункті 18 частини першої слова «законодавством про захист економічної конкуренції та  Законом України "Про публічні закупівлі"» замінити словами «передбачені конкуренційним законодавством»;</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частину четверту доповнити словами «крім юрисдикції та повноважень господарських судів у спорах, зокрема повноважень господарських судів щодо дослідження ринку, визначення меж товарного ринку, а також становища, в тому числі монопольного (домінуючого), суб’єктів господарювання на товарному ринку, вчинення антиконкурентних узгоджених дій, визначення розміру штрафу, відшкодуванням шкоди, завданої порушеннями конкуренційного законодавства, визнанням дій суб’єктів господарювання, органів влади, органів місцевого самоврядування, органів адміністративно-господарського управління та контролю порушеннями конкуренційного законодавства»;</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частину п’яту викласти в новій редакції:</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«У сфері державної допомоги суб’єктам господарювання Антимонопольний комітет України має повноваження, визначені Законом України «Про державну допомогу суб’єктам господарювання».»;</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доповнити новою частиною такого змісту:</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«У сфері публічних закупівель Антимонопольний комітет України має повноваження, визначені Законом України «Про публічні закупівлі».»</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7) в статті 9:</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 xml:space="preserve">частину четверту викласти в новій редакції: </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«Голова Антимонопольного комітету України може бути звільнений з посади відповідно до частини другої статті 18 цього Закону. Припинення повноважень Голови Комітету не тягне за собою складання повноважень державними уповноваженими Антимонопольного комітету України.»;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доповнити новою частиною такого змісту:</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lastRenderedPageBreak/>
        <w:t>«Голова Антимонопольного комітету України не рідше одного разу на рік звітує перед Верховною Радою України про діяльність Антимонопольного комітету України.»;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8) в статті 11:</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абзац четвертий викласти в новій редакції:</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«Державним уповноваженим може бути призначено громадянина (громадянку) України, який вільно володіє державною мовою, досяг тридцяти років, має вищу, юридичну чи економічну освіту, стаж роботи за фахом не менше п'яти років протягом останніх десяти років. У складі Антимонопольного комітету України повинно бути не менше п’яти  державних уповноважених з юридичною освітою та не менше двох державних уповноважених з економічною освітою.»;</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9) в статті 12-1:</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в частині першій слова «уповноважений із складу постійно діючої адміністративної колегії» замінити словами «Антимонопольного комітету України»;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частину третю та четверту викласти в новій редакції:</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 xml:space="preserve">«Адміністративна колегія територіального відділення Антимонопольного комітету України утворюється Головою Антимонопольного комітету України у складі не менше трьох осіб.  </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Державний уповноважений Антимонопольного комітету України очолює адміністративну колегію територіального відділення Антимонопольного комітету України та координує її діяльність у справах про порушення конкуренційного законодавства.  До складу адміністративної колегії територіального відділення входять голова територіального відділення Антимонопольного комітету України та його заступник. За згодою Голови Антимонопольного комітету України до складу адміністративної колегії територіального відділення Антимонопольного комітету України можуть входити посадові особи Антимонопольного комітету України. За згодою державного уповноваженого Антимонопольного комітету України до складу адміністративної колегії територіального відділення Антимонопольного комітету України можуть входити також інші посадові особи  відповідного територіального відділення Антимонопольного комітету України.»;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в частині п’ятій слова «законодавства про захист економічної конкуренції» замінити словами «конкуренційного законодавства»;</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в частині дев’ятій слова «більшості від їх встановленого складу» замінити словами «більшості усіх її членів»;</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в частині одинадцятій слова «адміністративної колегії Антимонопольного комітету України, адміністративної колегії територіального відділення Антимонопольного комітету України» виключити;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lastRenderedPageBreak/>
        <w:t>в частині тринадцятій слова «законодавства про захист економічної конкуренції» замінити словами «конкуренційного законодавства»;</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10) в статті 13:</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частину першу доповнити новими пунктами 1-2 такого змісту:</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«1) розгляд заяв і справ, прийняття рішень у справах про  порушення конкуренційного законодавства у вигляді антиконкурентних узгоджених дій суб’єктів господарювання, антиконкурентних дій органів влади, крім органів місцевого самоврядування, органів місцевої виконавчої влади та органів адміністративно-господарського управління та контролю;</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2) прийняття рішення про примусовий поділ суб’єкта господарювання;»</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у зв’язку з цим, пункти 1-12 вважати пунктами 3-14 відповідно;</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в абзаці четвертому, сьомому, восьмому частини першої слова «законодавства про захист економічної конкуренції» замінити словами «конкуренційного законодавства»;</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частину першу доповнити новим пунктом такого змісту:</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«15) прийняття рішення за результатами розгляду пропозицій державного уповноваженого, голови територіального відділення на рішення відповідно Голови Антимонопольного комітету України, державного уповноваженого про відмову в початку розгляду справи.»;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в частині другій слова «конкурентної політики» замінити словами «конкуренційної політики»;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11) в статті 14:</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в пункті 5 частини першої слова «законодавства про захист економічної конкуренції» замінити словами «конкуренційного законодавства»;</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пункт 5 доповнити словами «та банківську таємницю, яка перебуває у володінні та/або користуванні, та/або розпорядженні особи незалежно від місця знаходження цієї інформації»;</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в пункті 5 частини п’ятої слова «законодавства про захист економічної конкуренції» замінити словами «конкуренційного законодавства»;</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пункт 5 частини п’ятої доповнити словами «яка перебуває у володінні та/або користуванні, та/або розпорядженні особи незалежно від місця знаходження цієї інформації»;</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12) в статті 15:</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lastRenderedPageBreak/>
        <w:t>в пунктах 1, 4, 7 частини другої слова «законодавства про захист економічної конкуренції» замінити словами «конкуренційного законодавства»;</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пункти 2-3 частини другої викласти в новій редакції:</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«2) перевіряти суб’єкти господарювання, об’єднання під час проведення розслідувань у справах про порушення конкуренційного законодавства суб’єктами господарювання. Перевіряти органи влади, органи місцевого самоврядування, органи адміністративно-господарського управління та контролю щодо дотримання ними вимог конкуренційного законодавства;</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3) у випадках та порядку, передбачених судово-конкуренційним наказом та Господарським процесуальним кодексом України, мати безперешкодний доступ до приміщень підприємств, установ та організацій, до місць зберігання інформації, що перебуває у володінні, та/або користуванні, та/або розпорядженні су</w:t>
      </w:r>
      <w:r>
        <w:rPr>
          <w:rFonts w:ascii="Times New Roman" w:hAnsi="Times New Roman"/>
          <w:color w:val="000000" w:themeColor="text1"/>
          <w:sz w:val="28"/>
          <w:szCs w:val="28"/>
        </w:rPr>
        <w:t>б’єктів господарювання, об’єдна</w:t>
      </w:r>
      <w:r w:rsidRPr="00F43F98">
        <w:rPr>
          <w:rFonts w:ascii="Times New Roman" w:hAnsi="Times New Roman"/>
          <w:color w:val="000000" w:themeColor="text1"/>
          <w:sz w:val="28"/>
          <w:szCs w:val="28"/>
        </w:rPr>
        <w:t>нь, органів влади, органів місцевого самоврядування, органів адміністративно-господарського управління та контролю, проводити огляд приміщень та інших володінь цих осіб»</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13) в статті 16:</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в пункті 1 частини першої слова «законодавства про захист економічної конкуренції» замінити словами «конкуренційного законодавства»;</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 xml:space="preserve">пункт 1 частини першої після слів «приймати розпорядження про початок розгляду справи» доповнити словами «за погодженням з Головою Антимонопольного комітету України, яке надається Головою Антимонопольного комітету України не пізніше, ніж у десятиденний термін»; </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пункт 1 частини першої доповнити новим реченням такого змісту:</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«Якщо Голова Антимонопольного комітету України своїм вмотивованим рішенням не погоджує розпорядження державного уповноваженого Антимонопольного комітету України про початок розгляду справи, державний уповноважений може внести на розгляд Антимонопольного комітету України як вищого колегіального органу пропозиції щодо початку розгляду справи в п’ятиденний строк з дня відмови в погодженні цього розпорядження. Ці документи додаються до матеріалів відповідного провадження»;</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пункти 4-6 частини першої викласти в новій редакції:</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 xml:space="preserve"> «4) перевіряти суб’єкти господарювання, об’єднання під час проведення розслідувань у справах про порушення суб’єктами господарювання конкуренційного законодавства. Перевіряти органи влади, органи місцевого самоврядування, органи адміністративно-господарського управління та контролю щодо дотримання ними вимог конкуренційного законодавства;</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 xml:space="preserve">5) у випадках та порядку, передбачених судово-конкуренційним наказом та Господарським процесуальним кодексом України, мати безперешкодний доступ до </w:t>
      </w:r>
      <w:r w:rsidRPr="00F43F98">
        <w:rPr>
          <w:rFonts w:ascii="Times New Roman" w:hAnsi="Times New Roman"/>
          <w:color w:val="000000" w:themeColor="text1"/>
          <w:sz w:val="28"/>
          <w:szCs w:val="28"/>
        </w:rPr>
        <w:lastRenderedPageBreak/>
        <w:t>приміщень підприємств, установ та організацій, до місць зберігання інформації, що перебуває у володінні, та/або користуванні, та/або розпорядженні суб’єктів господарювання, об’єднань, органів влади, органів місцевого самоврядування, органів адміністративно-господарського управління та контролю проводити огляд приміщень та інших володінь цих осіб, за умови пред’явлення  службового документу та посвідчення, що підтверджують проведення перевірки чи розслідування. Особливості порядку доступу органів Антимонопольного комітету України до місця зберігання інформації цих осіб, проведення огляду службових приміщень та транспортних засобів цих осіб визначається нормативно-правовим актом Антимонопольного комітету України;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6) при розгляді заяв і справ про порушення конкуренційного законодавства, проведенні перевірки та в інших передбачених законом випадках вимагати від суб'єктів господарювання, об'єднань, органів влади, органів місцевого самоврядування, органів адміністративно-господарського управління та контролю, їх посадових осіб і працівників, інших фізичних та юридичних осіб інформацію, в тому числі з обмеженим доступом та банківську таємницю, яка перебуває у володінні та/або користуванні, та/або розпорядженні особи незалежно від місця знаходження цієї інформації;»</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14) в статті 17:</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в пункті 1 частини першої слова «проводити, організовувати розслідування» замінити словами «за погодженням з державним уповноваженим Антимонопольного комітету України проводити, організовувати розслідування»;</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в пунктах 1, 6, 14-16, 20 частини першої слова «законодавства про захист економічної конкуренції» замінити словами «конкуренційного законодавства»;</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пункт 1 частини першої доповнити новими реченнями такого змісту:</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«Якщо державний уповноважений Антимонопольного комітету України у тридцятиденний строк з дня одержання відповідного подання про погодження відповідного розпорядження голови територіального відділення Антимонопольного комітету України своїм вмотивованим рішенням не погоджує це розпорядження,  голова територіального відділення Антимонопольного комітету України може внести на розгляд Антимонопольного комітету України як вищого колегіального органу пропозиції щодо початку розгляду справи в п’ятиденний строк з дня відмови державним уповноваженим Антимонопольного комітету України в погодженні цього розпорядження. Ці документи додаються до матеріалів відповідного провадження»;</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пункти 3-5 частини першої викласти в новій редакції:</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«3) перевіряти суб’єкти господарювання, об’єднання під час проведення розслідувань у справах про порушення конкуренційного законодавства суб’єктами господарювання. Перевіряти органи влади, органи місцевого самоврядування, органи адміністративно-господарського управління та контролю щодо дотримання ними вимог конкуренційного законодавства;</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lastRenderedPageBreak/>
        <w:t>4) у випадках та порядку, передбачених судово-конкуренційним наказом та Господарським процесуальним кодексом України, мати безперешкодний доступ до приміщень підприємств, установ та організацій, до місць зберігання інформації, що перебуває у володінні, та/або користуванні, та/або розпорядженні суб’єктів господарювання, об’єднань, органів влади, органів місцевого самоврядування, органів адміністративно-господарського управління та контролю, проводити огляд приміщень та інших володінь цих осіб, за умови пред’явлення  службового документу та посвідчення, що підтверджують проведення перевірки чи розслідування. Особливості порядку доступу органів Антимонопольного комітету України до місць зберігання інформації цих осіб, проведення огляду службових приміщень та транспортних засобів цих осіб визначається нормативно-правовим актом Антимонопольного комітету України;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5) при розгляді заяв і справ про порушення конкуренційного законодавства, проведенні перевірки та в інших передбачених законом випадках вимагати від суб'єктів господарювання, об'єднань, органів влади, органів місцевого самоврядування, органів адміністративно-господарського управління та контролю, їх посадових осіб і працівників, інших фізичних та юридичних осіб інформацію, в тому числі з обмеженим доступом, яка перебуває у володінні, та/або користуванні, та/або розпорядженні особи незалежно від місця знаходження цієї інформації;»;</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пункти 8-9 частини першої виключити;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пункт 10 частини першої викласти в новій редакції:</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«8)</w:t>
      </w:r>
      <w:r w:rsidRPr="00F43F98">
        <w:rPr>
          <w:rFonts w:ascii="Times New Roman" w:hAnsi="Times New Roman"/>
          <w:color w:val="000000" w:themeColor="text1"/>
          <w:sz w:val="28"/>
          <w:szCs w:val="28"/>
        </w:rPr>
        <w:tab/>
        <w:t>залучати поліцейських, працівників митних та інших правоохоронних органів до забезпечення проведення розгляду справи про порушення конкуренційного законодавства, зокрема в разі проведення розслідування, в тому числі збирання доказів»;</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в пункті 16 частини першої слово «суду» замінити словами «господарського суду»;</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в частині четвертій слова «територіального відділення» виключити;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15) в статті 22-1:</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частину першу після слів «в тому числі з обмеженим доступом та банківську таємницю» доповнити словами «податкову звітність незалежно від її місцезнаходження, яка перебуває у володінні, та/або користуванні, та/або розпорядженні особи»;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в частинах першій-третій слова «законодавством про захист економічної конкуренції» замінити словами «конкуренційним законодавством»</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 xml:space="preserve">доповнити новою частиною третьою такого змісту: </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 xml:space="preserve">«Строк підготовки документів, предметів чи інших носіїв інформації, пояснень, іншої інформації не може бути меншим десяти робочих днів та </w:t>
      </w:r>
      <w:r w:rsidRPr="00F43F98">
        <w:rPr>
          <w:rFonts w:ascii="Times New Roman" w:hAnsi="Times New Roman"/>
          <w:color w:val="000000" w:themeColor="text1"/>
          <w:sz w:val="28"/>
          <w:szCs w:val="28"/>
        </w:rPr>
        <w:lastRenderedPageBreak/>
        <w:t xml:space="preserve">визначається органом Антимонопольного комітету України, такий строк може бути продовжений.»; </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доповнити статтю новою частиною такого змісту:</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«Якщо інформація, яку вимагає надати орган Антимонопольного комітету України у зв’язку із дослідженням товарного ринку, що проводиться поза межами розгляду заяв і справ про порушення конкуренційного законодавства, вже надавалася протягом дванадцяти місяців, що передують дню отримання такої вимоги, будь-якому органу Антимонопольного комітету України і не зазнала змін, особа, від якої вимагається така інформація, має право не надавати її повторно, повідомивши про це орган Антимонопольного комітету України, який вимагає надати інформацію, у письмовому вигляді із зазначенням реквізитів листа, яким було надіслано інформацію, що вимагається.</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Органи Антимонопольного комітету України з метою виконання завдань, передбачених конкуренційним законодавством, отримують безпосередній доступ до автоматизованих реєстрів, баз даних, інших систем збирання, зберігання, обробки та пошуку інформації, відомостей, держателем (адміністратором) яких є державні органи або органи місцевого самоврядування  шляхом надання ідентифікаторів доступу. Обробка такої інформації здійснюється органами Антимонопольного комітету України із дотриманням законодавства про захист персональних даних та забезпеченням таємниці, що охороняється законом.</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Доступ до автоматизованих реєстрів, баз даних, інших систем збирання, зберігання, обробки та пошуку інформації, відомостей, держателем (адміністратором) яких є державні органи або органи місцевого самоврядування, надається органам Антимонопольного комітету України на безоплатній основі на підставі договору, укладеного з адміністратором (держателем) відповідних систем, реєстрів, баз даних.»;</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16) в статті 23-1:</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назву статті викласти в новій редакції: «Слухання у справах про надання дозволу на узгоджені дії, концентрацію, про порушення конкуренційного законодавства»;</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в статті слова «законодавства про захист економічної конкуренції» замінити словами «конкуренційного законодавства»;</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частину другу викласти в новій редакції:</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«Слухання проводиться за клопотанням сторін у справі та учасників концентрації або узгоджених дій, а також за власною ініціативою органу Антимонопольного комітету України»;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після частини п’ятої доповнити новими частинами шостою – дев’ятою такого змісту:</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lastRenderedPageBreak/>
        <w:t xml:space="preserve">«За результатами слухання протягом семи робочих днів з дня проведення слухання складається протокол, в якому, зокрема,  відображаються пояснення учасників слухань та питання, що розглядалися. </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 xml:space="preserve">Процес слухання фіксується за допомогою технічних засобів. Аудіо чи відеозапис додається до протоколу. </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Особи, які беруть участь у справі, мають право ознайомитися з протоколом слухань та одержати його копію у семиденний строк з дня проведення слухання.</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Дані, одержані в процесі слухань, можуть бути доказами у заявах,  справах про надання дозволу на узгоджені дії, концентрацію та порушення конкуренційного законодавства.»;</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частину сьому викласти в новій редакції:</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«Порядок проведення слухання у справі визначається нормативно-правовим актом Антимонопольного комітету України відповідно до цього Закону та інших актів конкуренційного законодавства»;</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17) в статті 25:</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в статті слова «законодавства про захист економічної конкуренції» замінити словами «конкуренційного законодавства»;</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доповнити абзацом шостим такого змісту:</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«надання судово-конкуренційного наказу на перевірку суб’єкта господарювання,  об’єднання у розслідуваннях органу Антимонопольного комітету України щодо антиконкурентних узгоджених дій суб’єктів господарювання, зловживання монопольним (домінуючим) становищем на ринку, вилучення оригіналів документів у суб’єкта господарювання;»;</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абзац сьомий виключити;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2. У  Законі України «Про захист економічної конкуренції» (Відомості Верховної Ради України, 2001 р., № 12, ст. 64, із наступними змінами):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1) у статті 1:</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доповнити новими визначеннями: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«адвокатування конкуренції – напрямок конкуренційної політики, який полягає у діяльності органів законодавчої, виконавчої влади, місцевого самоврядування, місцевої виконавчої влади, територіальних громад, громадських організацій, спрямований на підтримку, просування, розвиток та захист добросовісної конкуренції на товарних ринках України;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lastRenderedPageBreak/>
        <w:t>комплаєнс-програма – запровадження комплексу дій з управління суб’єктом господарювання з метою дотримання вимог конкуренційного законодавства, припинення та/або недопущення його порушення;</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конкуренційна політика – державна політика у сфері розвитку, захисту економічної конкуренції та обмеження монополізму в господарській діяльності; здійснення заходів щодо розвитку та адвокатування  конкуренції; забезпечення нейтральності у конкуренції, – яка здійснюється органами законодавчої та виконавчої влади, органами місцевого самоврядування, органами адміністративно-господарського управління та контролю, органами місцевої виконавчої влади, територіальними громадами, а у сфері захисту економічної конкуренції – Антимонопольним комітетом України;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 xml:space="preserve">лист-повідомлення – лист органу Антимонопольного комітету України, який підтверджує першість звернення відповідного суб’єкта господарювання до Антимонопольного комітету України про звільнення від відповідальності згідно з частиною дев’ятою статті 6 Закону України «Про захист економічної конкуренції». Форма листа-повідомлення затверджується Антимонопольним комітетом України; </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нейтральність у конкуренції – недопущення надання органами влади переваг певним суб’єктам господарювання у процесі конкуренції між ними;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попередньо визначений розмір штрафу – обґрунтований розрахунок розміру штрафу за порушення конкуренційного законодавства, який орган Антимонопольного комітету України повинен визначити у разі незастосування дій щодо врегулювання справи у випадках, передбачених статтею 46-1 цього Закону при прийнятті рішення у справі по суті або що міститься в поданні з попередніми висновками у справі про порушення конкуренційного законодавства;»;</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абзац четвертий викласти в новій редакції:</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«інформація – відомості в будь-якій формі й вигляді та збережені на будь-яких носіях, у тому числі листування, книги, помітки, ілюстрації (карти, діаграми, органіграми, малюнки, схеми тощо), фотографії, голограми, кіно-, відео-, мікрофільми, звукові записи, бази даних комп’ютерних систем або повне чи часткове відтворення їх елементів, файли, електронні листи і повідомлення, метадані про електронні документи (ім’я автора, дата створення чи зміни електронного документа тощо), пояснення осіб та будь-які інші публічно оголошені чи документовані відомості незалежно від їх місцезнаходження, які перебувають у володінні, та/або користуванні, та/або розпорядженні особи;»;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в першому реченні абзацу п’ятого слова «заміщенню посади керівника, заступника керівника спостережної ради, правління, іншого наглядового чи виконавчого органу суб’єкта господарювання особою, яка вже обіймає одну чи кілька із зазначених посад в інших суб’єктах господарювання; обійманню більше половини посад членів спостережної ради, правління, інших наглядових чи виконавчих органів суб’єкта господарювання особами, які вже обіймають одну чи кілька із зазначених посад в іншому суб’єкті господарювання» виключити;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lastRenderedPageBreak/>
        <w:t>2) в статті 3:</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назву статті викласти в новій редакції:</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«Стаття 3. Конкуренційне законодавство»;</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в частині першій слова «Законодавство про захист економічної конкуренції» замінити словами «Конкуренційне законодавство»;</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частину першу після слів ««Про захист від недобросовісної конкуренції»» доповнити словами ««Про державну допомогу суб’єктам господарювання»»;</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3) в статті 4:</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назву статті викласти в новій редакції: «Стаття 4. Конкуренційна політика»;</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доповнити частиною першою такого змісту:</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«1. Конкуренційна політика у сфері розвитку економічної конкуренції та обмеження монополізму в господарській діяльності, здійснення заходів щодо демонополізації економіки, фінансової, матеріально-технічної, інформаційної, консультативної та іншої підтримки суб’єктів господарювання, які сприяють розвитку конкуренції, реалізується Верховною Радою України, Кабінетом Міністрів України, іншими органами державної влади, органами місцевого самоврядування та органами адміністративно-господарського управління та контролю.»</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4) в статті 6:</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частину п’яту викласти в новій редакції:</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«5. Учасник антиконкурентних узгоджених дій, яким вчинено разом з іншими суб’єктами господарювання та/або органами державної влади антиконкурентні узгоджені дії, передбачені статтею 6 цього Закону, звільняється від відповідальності, передбаченої статтею 52 цього Закону, якщо він раніше за інших учасників цих дій добровільно повідомив Антимонопольний комітет України про такі антиконкурентні узгоджені дії, звернувшись із заявою про отримання листа-повідомлення від Антимонопольного комітету України або заявою про звільнення від відповідальності.»;</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доповнити новими частинами такого змісту:</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«6. Учасника антиконкурентних узгоджених дій (надалі: Учасник антиконкурентних узгоджених дій), зазначеного у частині п’ятій цієї статті, не може бути звільнено від відповідальності, якщо:</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1) на момент подання ним заяви про отримання листа-повідомлення та/або заяви про звільнення від відповідальності інший Учасник антиконкурентних узгоджених дій та/або об’єднання вже подали заяву про отримання листа-</w:t>
      </w:r>
      <w:r w:rsidRPr="00F43F98">
        <w:rPr>
          <w:rFonts w:ascii="Times New Roman" w:hAnsi="Times New Roman"/>
          <w:color w:val="000000" w:themeColor="text1"/>
          <w:sz w:val="28"/>
          <w:szCs w:val="28"/>
        </w:rPr>
        <w:lastRenderedPageBreak/>
        <w:t>повідомлення та/або заяви у про звільнення від відповідальності щодо того самого порушення до Антимонопольного комітету України;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2)</w:t>
      </w:r>
      <w:r w:rsidRPr="00F43F98">
        <w:rPr>
          <w:rFonts w:ascii="Times New Roman" w:hAnsi="Times New Roman"/>
          <w:color w:val="000000" w:themeColor="text1"/>
          <w:sz w:val="28"/>
          <w:szCs w:val="28"/>
        </w:rPr>
        <w:tab/>
        <w:t>він був ініціатором цих антиконкурентних узгоджених дій та/або примушував інших учасників цих дій до їх вчинення;</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3)</w:t>
      </w:r>
      <w:r w:rsidRPr="00F43F98">
        <w:rPr>
          <w:rFonts w:ascii="Times New Roman" w:hAnsi="Times New Roman"/>
          <w:color w:val="000000" w:themeColor="text1"/>
          <w:sz w:val="28"/>
          <w:szCs w:val="28"/>
        </w:rPr>
        <w:tab/>
        <w:t>він не припинив антиконкурентних узгоджених дій, про які повідомив, за виключенням випадку, якщо подальша участь Учасника антиконкурентних узгоджених дій у антиконкурентних узгоджених діях погоджена з Антимонопольним комітетом України у письмовому вигляді та зумовлена необхідністю отримання інформації, яка має суттєве значення для прийняття рішення у справі;</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 xml:space="preserve"> 4) він не дотримувався порядку, встановленого частиною десятою цієї статті Закону.</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 xml:space="preserve"> 7. Заява про звільнення від відповідальності подається у письмовій формі та повинна містити інформацію, яка має суттєве значення для прийняття рішення у справі.</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8. Інформацією, яка має суттєве значення для прийняття рішення у справі, вважається інформація, обсягу та змісту якої, залежно від обставин справи, достатньо для доведення факту антиконкурентних узгоджених дій та встановлення учасників таких антиконкурентних узгоджених дій.</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Інформацією, яка має суттєве значення для прийняття рішення у справі, зокрема є:</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1)</w:t>
      </w:r>
      <w:r w:rsidRPr="00F43F98">
        <w:rPr>
          <w:rFonts w:ascii="Times New Roman" w:hAnsi="Times New Roman"/>
          <w:color w:val="000000" w:themeColor="text1"/>
          <w:sz w:val="28"/>
          <w:szCs w:val="28"/>
        </w:rPr>
        <w:tab/>
        <w:t>повне найменування заявника, прізвище, ім’я, по батькові, місцезнаходження/місце проживання повноважного представника Учасника антиконкурентних узгоджених дій та всіх відомих учасників антиконкурентних узгоджених дій;</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2)</w:t>
      </w:r>
      <w:r w:rsidRPr="00F43F98">
        <w:rPr>
          <w:rFonts w:ascii="Times New Roman" w:hAnsi="Times New Roman"/>
          <w:color w:val="000000" w:themeColor="text1"/>
          <w:sz w:val="28"/>
          <w:szCs w:val="28"/>
        </w:rPr>
        <w:tab/>
        <w:t>детальний опис антиконкурентних узгоджених дій, зокрема щодо:</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а) мети антиконкурентних узгоджених дій;</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б) змісту антиконкурентних узгоджених дій;</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в) найменування та переліку товарів, щодо яких поведінка є (була) узгодженою;</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г) географічних меж поширення антиконкурентних узгоджених дій;</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д) тривалості антиконкурентних узгоджених дій;</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е) обсягу ринку, охопленого антиконкурентними узгодженими діями;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 xml:space="preserve">є) конкретних дат, місця та форми здійснення контактів між учасниками антиконкурентних узгоджених дій, під час яких відбувалося узгодження </w:t>
      </w:r>
      <w:r w:rsidRPr="00F43F98">
        <w:rPr>
          <w:rFonts w:ascii="Times New Roman" w:hAnsi="Times New Roman"/>
          <w:color w:val="000000" w:themeColor="text1"/>
          <w:sz w:val="28"/>
          <w:szCs w:val="28"/>
        </w:rPr>
        <w:lastRenderedPageBreak/>
        <w:t>антиконкурентної  поведінки між суб’єктами господарювання та/або органами державної влади;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ж) описання механізму підтримання і контролю узгодженої конкурентної поведінки, включаючи описання ролі учасників антиконкурентних узгоджених дій в такому механізмі;</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з) документів чи іншої інформації, які можуть свідчити про такі зустрічі та/або узгодження антиконкурентної поведінки між конкурентами;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3) прізвища, імена, по батькові, контактні дані (телефони, електронні адреси тощо) та місця проживання посадових осіб суб'єктів господарювання та/або органу державної влади – Учасника антиконкурентних узгоджених дій та інших Учасників антиконкурентних узгоджених дій, які вступали в контакти щодо узгодження антиконкурентних дій;</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4)</w:t>
      </w:r>
      <w:r w:rsidRPr="00F43F98">
        <w:rPr>
          <w:rFonts w:ascii="Times New Roman" w:hAnsi="Times New Roman"/>
          <w:color w:val="000000" w:themeColor="text1"/>
          <w:sz w:val="28"/>
          <w:szCs w:val="28"/>
        </w:rPr>
        <w:tab/>
        <w:t>паперові документи або документи в електронному вигляді (у тому числі повідомлення електронною поштою), листи, нотатки, записи (у тому числі аудіо- або відеозаписи), угоди та інша інформація, яка відома Учаснику антиконкурентних узгоджених дій, перебуває у його розпорядженні та може бути доказами, які підтверджують погоджену антиконкурентну поведінку.</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 xml:space="preserve"> 9. У разі недостатності в Учасника антиконкурентних узгоджених дій інформації, необхідної для одержання звільнення від відповідальності на час подання заяви про звільнення від відповідальності, така особа може подати заяву про надання йому Антимонопольним комітетом України листа-повідомлення, який підтверджує першість звернення такого Учасника антиконкурентних узгоджених дій до Антимонопольного комітету України про звільнення від відповідальності.</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Заява про надання листа-повідомлення повинна містити інформацію про:</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1)</w:t>
      </w:r>
      <w:r w:rsidRPr="00F43F98">
        <w:rPr>
          <w:rFonts w:ascii="Times New Roman" w:hAnsi="Times New Roman"/>
          <w:color w:val="000000" w:themeColor="text1"/>
          <w:sz w:val="28"/>
          <w:szCs w:val="28"/>
        </w:rPr>
        <w:tab/>
        <w:t>мету антиконкурентних узгоджених дій;</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2)</w:t>
      </w:r>
      <w:r w:rsidRPr="00F43F98">
        <w:rPr>
          <w:rFonts w:ascii="Times New Roman" w:hAnsi="Times New Roman"/>
          <w:color w:val="000000" w:themeColor="text1"/>
          <w:sz w:val="28"/>
          <w:szCs w:val="28"/>
        </w:rPr>
        <w:tab/>
        <w:t>повне найменування/прізвище, ім’я, по батькові, місцезнаходження/місце проживання Учасника антиконкурентних узгоджених дій;</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3)</w:t>
      </w:r>
      <w:r w:rsidRPr="00F43F98">
        <w:rPr>
          <w:rFonts w:ascii="Times New Roman" w:hAnsi="Times New Roman"/>
          <w:color w:val="000000" w:themeColor="text1"/>
          <w:sz w:val="28"/>
          <w:szCs w:val="28"/>
        </w:rPr>
        <w:tab/>
        <w:t>всіх відомих учасників антиконкурентних узгоджених дій;</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4)</w:t>
      </w:r>
      <w:r w:rsidRPr="00F43F98">
        <w:rPr>
          <w:rFonts w:ascii="Times New Roman" w:hAnsi="Times New Roman"/>
          <w:color w:val="000000" w:themeColor="text1"/>
          <w:sz w:val="28"/>
          <w:szCs w:val="28"/>
        </w:rPr>
        <w:tab/>
        <w:t>товари (послуги), щодо яких узгоджується антиконкурентна поведінка;</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5)</w:t>
      </w:r>
      <w:r w:rsidRPr="00F43F98">
        <w:rPr>
          <w:rFonts w:ascii="Times New Roman" w:hAnsi="Times New Roman"/>
          <w:color w:val="000000" w:themeColor="text1"/>
          <w:sz w:val="28"/>
          <w:szCs w:val="28"/>
        </w:rPr>
        <w:tab/>
        <w:t>географічні межі поширення антиконкурентних узгоджених дій;</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6)</w:t>
      </w:r>
      <w:r w:rsidRPr="00F43F98">
        <w:rPr>
          <w:rFonts w:ascii="Times New Roman" w:hAnsi="Times New Roman"/>
          <w:color w:val="000000" w:themeColor="text1"/>
          <w:sz w:val="28"/>
          <w:szCs w:val="28"/>
        </w:rPr>
        <w:tab/>
        <w:t>тривалість антиконкурентних узгоджених дій.</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 xml:space="preserve"> 10. Заява про отримання листа-повідомлення або заява про звільнення від відповідальності вручаються Учасником антиконкурентних узгоджених дій або його представником державному уповноваженому Антимонопольного комітету України, відповідальному за прийняття заяв про звільнення від відповідальності.</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lastRenderedPageBreak/>
        <w:t>Дата та час одержання такої заяви фіксуються у протоколі відповідним державним уповноваженим Антимонопольного комітету України. Копія протоколу  надається Учаснику антиконкурентних узгоджених дій або його представнику в день вручення учасником антиконкурентних узгоджених дій заяви про звільнення від відповідальності державному уповноваженому Антимонопольного комітету України.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Інформація про контактні номери телефонів цього державного уповноваженого Антимонопольного комітету України Антимонопольного комітету України розміщується на офіційному веб-сайті Антимонопольного комітету України.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 xml:space="preserve"> 11. На підставі поданої заяви про отримання  листа-повідомлення відповідний державний уповноважений Антимонопольного комітету України протягом 5 робочих днів з моменту її одержання приймає рішення про:</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1) надання Учаснику антиконкурентних узгоджених дій листа-повідомлення, у якому зазначається строк, який не повинен перевищувати 30 днів, протягом якого Учасник антиконкурентних узгоджених дій повинен надати інформацію, яка має суттєве значення для прийняття рішення у справі, в тому числі інформацію, надання якої було узгоджено відповідно до частини восьмої цієї статті (за умови такого узгодження). Додаткова інформація до заяви про отримання листа-повідомлення, надана Учасником антиконкурентних узгоджених дій в межах встановленого строку, вважається поданою в день отримання Антимонопольним комітетом України заяви про отримання листа-повідомлення;</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2) обґрунтовану відмову Учаснику антиконкурентних узгоджених дій у наданні листа-повідомлення у випадку, якщо на момент отримання такої заяви наявні обставини, передбачені частиною шостою цієї статті, або надана Учасником антиконкурентних узгоджених дій інформація не відповідає вимогам частини восьмої цієї статті.</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12. Учасник антиконкурентних узгоджених дій, який має намір подати заяву про звільнення від відповідальності або заяву про отримання  листа-повідомлення, з метою забезпечення передбачуваності щодо достатності наявної у нього інформації для видачі листа-повідомлення або звільнення від відповідальності, може через свого представника ініціювати проведення консультацій відповідно до нормативно-правового акту Антимонопольного комітету України з державним уповноваженим Антимонопольного комітету України визначеним у частині десятій цієї статті. При цьому будь-які ідентифікуючі такого Учасника антиконкурентних узгоджених дій дані, в тому числі про обставини порушення та докази можуть не розголошуватися  та можуть бути представлені з використанням вигаданих назв.</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 xml:space="preserve">13. Після отримання заяви про звільнення від відповідальності або додаткової інформації до заяви про отримання листа-повідомлення у визначені цим листом-повідомленням строки та за відсутності підстав для прийняття рішення про відмову у розгляді заяви про звільнення від відповідальності орган Антимонопольного </w:t>
      </w:r>
      <w:r w:rsidRPr="00F43F98">
        <w:rPr>
          <w:rFonts w:ascii="Times New Roman" w:hAnsi="Times New Roman"/>
          <w:color w:val="000000" w:themeColor="text1"/>
          <w:sz w:val="28"/>
          <w:szCs w:val="28"/>
        </w:rPr>
        <w:lastRenderedPageBreak/>
        <w:t>комітету України в десятиденний строк  з дня отримання такої заяви або інформації приймає рішення про:</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1) надання умовного звільнення від відповідальності – якщо заява про звільнення від відповідальності або додаткова інформація до заяви про надання листа-повідомлення містять інформацію, яка має суттєве значення для прийняття рішення у справі відповідно до частини восьмої або пункту першого частини одинадцятої цієї статті Закону, із зазначенням передбачених частиною чотирнадцятою цієї статті Закону обов'язків особи, за умови виконання яких таке звільнення забезпечується;</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2) вмотивовану відмову Учаснику антиконкурентних узгоджених дій у наданні умовного звільнення у випадку, якщо:</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1)</w:t>
      </w:r>
      <w:r w:rsidRPr="00F43F98">
        <w:rPr>
          <w:rFonts w:ascii="Times New Roman" w:hAnsi="Times New Roman"/>
          <w:color w:val="000000" w:themeColor="text1"/>
          <w:sz w:val="28"/>
          <w:szCs w:val="28"/>
        </w:rPr>
        <w:tab/>
        <w:t>на момент отримання заяви про звільнення від відповідальності наявні обставини, передбачені частиною шостою цієї статті, або надана Учасником антиконкурентних узгоджених дій інформація не відповідає вимогам частини восьмої цієї статті Закону;</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2)</w:t>
      </w:r>
      <w:r w:rsidRPr="00F43F98">
        <w:rPr>
          <w:rFonts w:ascii="Times New Roman" w:hAnsi="Times New Roman"/>
          <w:color w:val="000000" w:themeColor="text1"/>
          <w:sz w:val="28"/>
          <w:szCs w:val="28"/>
        </w:rPr>
        <w:tab/>
        <w:t>надана Учасником антиконкурентних узгоджених дій додаткова інформація відповідно до листа-повідомлення, з урахуванням попередньо наданої ним інформації, не відповідає вимогам частини восьмої цієї статті Закону.</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14. Учасник антиконкурентних узгоджених дій, який подав заяву про отримання листа-повідомлення або заяву про звільнення від відповідальності зобов'язаний співпрацювати з Антимонопольним комітетом України з моменту подання заяви до моменту прийняття рішення у справі, зокрема:</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1)</w:t>
      </w:r>
      <w:r w:rsidRPr="00F43F98">
        <w:rPr>
          <w:rFonts w:ascii="Times New Roman" w:hAnsi="Times New Roman"/>
          <w:color w:val="000000" w:themeColor="text1"/>
          <w:sz w:val="28"/>
          <w:szCs w:val="28"/>
        </w:rPr>
        <w:tab/>
        <w:t>надавати в визначені строки наявну інформацію та інші докази щодо вчинення заявлених антиконкурентних узгоджених дій, які перебувають у розпорядженні цього суб’єкта господарювання;</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2)</w:t>
      </w:r>
      <w:r w:rsidRPr="00F43F98">
        <w:rPr>
          <w:rFonts w:ascii="Times New Roman" w:hAnsi="Times New Roman"/>
          <w:color w:val="000000" w:themeColor="text1"/>
          <w:sz w:val="28"/>
          <w:szCs w:val="28"/>
        </w:rPr>
        <w:tab/>
        <w:t xml:space="preserve">надавати на вимогу Антимонопольного комітету України наявну у </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нього інформацію, яка може сприяти з'ясуванню обставин, які мають значення для справи;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3)</w:t>
      </w:r>
      <w:r w:rsidRPr="00F43F98">
        <w:rPr>
          <w:rFonts w:ascii="Times New Roman" w:hAnsi="Times New Roman"/>
          <w:color w:val="000000" w:themeColor="text1"/>
          <w:sz w:val="28"/>
          <w:szCs w:val="28"/>
        </w:rPr>
        <w:tab/>
        <w:t>забезпечити можливість отримання Антимонопольним комітетом</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України пояснень у службових та посадових осіб, які працюють в Учасника антиконкурентних узгоджених дій на момент отримання пояснень, а також у разі можливості – службових та посадових осіб, які вже не працюють в Учасника антиконкурентних узгоджених дій;</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4)</w:t>
      </w:r>
      <w:r w:rsidRPr="00F43F98">
        <w:rPr>
          <w:rFonts w:ascii="Times New Roman" w:hAnsi="Times New Roman"/>
          <w:color w:val="000000" w:themeColor="text1"/>
          <w:sz w:val="28"/>
          <w:szCs w:val="28"/>
        </w:rPr>
        <w:tab/>
        <w:t xml:space="preserve">не знищувати, не фальсифікувати та не приховувати інформацію </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або докази, що стосуються заявлених антиконкурентних узгоджених дій;</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5)</w:t>
      </w:r>
      <w:r w:rsidRPr="00F43F98">
        <w:rPr>
          <w:rFonts w:ascii="Times New Roman" w:hAnsi="Times New Roman"/>
          <w:color w:val="000000" w:themeColor="text1"/>
          <w:sz w:val="28"/>
          <w:szCs w:val="28"/>
        </w:rPr>
        <w:tab/>
        <w:t xml:space="preserve">припинити участь у антиконкурентних узгоджених діях за  </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lastRenderedPageBreak/>
        <w:t>виключенням випадку, якщо подальша участь Учасника антиконкурентних узгоджених дій в антиконкурентних узгоджених діях погоджена з Антимонопольним комітетом України у письмовому вигляді та зумовлена необхідністю отримання інформації, яка має суттєве значення для прийняття рішення у справі;</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6)</w:t>
      </w:r>
      <w:r w:rsidRPr="00F43F98">
        <w:rPr>
          <w:rFonts w:ascii="Times New Roman" w:hAnsi="Times New Roman"/>
          <w:color w:val="000000" w:themeColor="text1"/>
          <w:sz w:val="28"/>
          <w:szCs w:val="28"/>
        </w:rPr>
        <w:tab/>
        <w:t xml:space="preserve">не розголошувати третім особам інформацію про підготовку та про </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подання заяви до Антимонопольного комітету України та її зміст.</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 xml:space="preserve">15. У випадку прийняття органом Антимонопольного комітету України рішення про відмову у наданні листа-повідомлення, відмову у наданні умовного звільнення від відповідальності Учасник антиконкурентних узгоджених дій може відкликати заяву, надану ним інформацію до неї та заяву про звільнення від відповідальності або розпочати дії щодо врегулювання справи у справах про порушення конкуренційного законодавства, передбаченого статтею 46-1 цього. </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Відкликання таких заяв не перешкоджає реалізації Антимонопольним комітетом України повноважень, передбачених конкуренційним законодавством. Інформація, що міститься у відкликанні заявником заяві про звільнення від відповідальності, надалі не може розглядатися органами Антимонопольного комітету України як доказ у цій справі про порушення конкуренційного законодавства.</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 xml:space="preserve"> 16. Учасник антиконкурентних узгоджених дій, якому надано умовне звільнення від відповідальності, звільняється від відповідальності у випадку дотримання вимог, передбачених частиною чотирнадцятою цієї статті, про що органом Антимонопольного комітету України зазначається у рішенні, прийнятому за результатами розгляду справи.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 xml:space="preserve"> 17. У випадку, якщо участь у антиконкурентних узгоджених діях брали інші юридичні та/або фізичні особи – суб'єкти господарювання, пов'язані відносинами контролю із Учасником антиконкурентних узгоджених дій, звільнення надається всім таким суб’єктам господарювання.</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 xml:space="preserve"> 18. У випадку, якщо відповідний Учасник антиконкурентних узгоджених дій не дотримується вимог, передбачених частиною чотирнадцятою цієї статті Закону, він не підлягає звільненню від відповідальності за антиконкурентні узгоджені дії.</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 xml:space="preserve"> 19. Учасник антиконкурентних узгоджених дій, якого звільнено від відповідальності, відшкодовує збитки, завдану таким порушенням іншим особам у розмірі завданої шкоди відповідно до частини четвертої статті 55-1 цього Закону.»</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5) в статті 22:</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в частині першій слова «монополізації товарних ринків, зловживання монопольним (домінуючим) становищем, обмеження конкуренції» замінити словами «суттєвого обмеження конкуренції, яке може бути наслідком набуття або посилення монопольного (домінуючого) становища»;</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lastRenderedPageBreak/>
        <w:t>абзац 3 частини другої після слів «частинами суб’єктів господарювання» доповнити словами «чи активами, що належать державі Україна або органам місцевого самоврядування в Україні»;</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абзац 4 частини другої після слів «власність іншим способом активів» доповнити словом «зокрема»;</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абзац 4 частини другої після слів «підрозділу суб’єкта господарювання» доповнити словами «земельної ділянки сільськогосподарського призначення»;</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абзац 5 частини другої викласти в новій редакції:</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«б) укладення договорів, угод та/або придбання чи набуття інших прав, що дозволяють визначати умови господарської діяльності, зокрема, давати обов'язкові до виконання розпорядження або виконувати функції відповідного органу управління суб'єкта господарювання та/або забезпечити вирішальний вплив на формування такого органу управління, на результати голосувань чи прийняття рішень органами суб’єкта господарювання;»;</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в абзаці 6 частини другої слова «протягом тривалого періоду буде самостійно здійснювати господарську діяльність, але при цьому таке створення не призводить до координації конкурентної поведінки між суб’єктами господарювання, що створили цей суб’єкт господарювання, або між ними та новоствореним суб’єктом господарювання» замінити словами «буде самостійно здійснювати господарську діяльність протягом тривалого періоду»;</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в абзаці 2 частини третьої слова «метою чи внаслідок створення якого здійснюється координація конкурентної поведінки між суб’єктами господарювання, що створили зазначений суб’єкт господарювання, або між ними та новоствореним суб’єктом господарювання» замінити словами «двома і більше суб’єктами господарювання, який протягом тривалого періоду не буде самостійним при здійсненні господарської діяльності»;</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6) в статті 23:</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в абзаці п’ятому частини першої слова «У разі коли одним із засновників є орган виконавчої влади, орган місцевого самоврядування, орган адміністративно-господарського управління та контролю, учасником концентрації вважається також суб’єкт господарювання, активи (майно), частки (акції, паї) якого вносяться до статутного капіталу новостворюваного суб’єкта господарювання» виключити;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в абзаці шостому частини першої слова «що дає підстави визнати відповідну групу осіб згідно із статтею 1 цього Закону єдиним суб’єктом господарювання» виключити;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доповнити новою частиною такого змісту:</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 xml:space="preserve">«У разі коли активи, що належать, зокрема на праві власності, управління або господарського відання, органу виконавчої влади, органу місцевого </w:t>
      </w:r>
      <w:r w:rsidRPr="00F43F98">
        <w:rPr>
          <w:rFonts w:ascii="Times New Roman" w:hAnsi="Times New Roman"/>
          <w:color w:val="000000" w:themeColor="text1"/>
          <w:sz w:val="28"/>
          <w:szCs w:val="28"/>
        </w:rPr>
        <w:lastRenderedPageBreak/>
        <w:t>самоврядування, органу адміністративно-господарського управління та контролю є об’єктом злиття, приєднання, набуття контролю суб’єктом господарювання чи вносяться до статутного капіталу новостворюваного суб’єкта господарювання, учасником концентрації також вважається суб’єкт господарювання, який належить до сфери управління такого органу та активи якого є об’єктом концентрації, а за відсутності такого суб’єкта господарювання – сам орган, активи якого є об’єктом концентрації.»</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7) в статті 24:</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в абзаці четвертому частини першої слова «у випадках, передбачених частиною другою статті 22 цього Закону та іншими нормативно-правовими актами» виключити;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частину другу викласти в новій редакції:</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«2. Для цілей розрахунку показників, зазначених у частині першій цієї статті:</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 xml:space="preserve">вартісними показниками учасника концентрації є сукупна вартість активів станом на останній день останнього фінансового року або сукупний обсяг реалізації товарів суб’єкта господарювання за останній фінансовий рік; </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еквіваленти сум в євро у національній валюті України визначаються за офіційним валютним курсом, установленим Національним банком України, що діяв в останній день фінансового року.</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При розрахунку обсягів реалізації товарів учасників концентрації використовується сума доходу (виручки) від реалізації продукції (товарів, робіт, послуг) за вирахуванням суми податку на додану вартість, акцизного податку, інших податків або зборів, базою для оподаткування в яких є оборот, за останній фінансовий звітний рік, що передував поданню заяви.»;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доповнити новою частиною третьою такого змісту:</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«3. При розрахунку вартісних показників учасників концентрації не враховуються вартісні показники суб’єктів господарювання та частин суб'єктів господарювання (незалежно від наявності у таких частин статусу юридичної особи), відносини контролю з якими припиняються внаслідок концентрації.</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При розрахунку обсягів реалізації товарів учасників концентрації не враховуються кошти, отримані від реалізації товарів між особами, що входять до складу суб'єкта господарювання, якщо такий облік ведеться, за винятком коштів, отриманих від реалізації товарів суб’єктам господарювання та частинам суб'єктів господарювання (незалежно від наявності у таких частин статусу юридичної особи), відносини контролю з якими припиняються внаслідок концентрації.»;</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в частині третій друге речення виключити;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lastRenderedPageBreak/>
        <w:t>частину п’яту доповнити новим реченням такого змісту: «Здійснення такої концентрації без дозволу може бути підставою визнання  недійсними   правочинів,   за   якими   відбулася   концентрація.»;</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8) частину першу статті 25 доповнити словами: «яке може бути наслідком набуття або посилення монопольного (домінуючого) становища»;</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9) в статті 26:</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в абзаці першому частини третьої слово «заявника» замінити словами «суб'єкта господарювання, який є учасником запланованої концентрації, узгоджених дій»;</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в абзаці першому частини третьої слова «у тому числі для розгляду за спрощеною процедурою, а також протягом строку, встановленого частиною другою цієї статті, щодо виправлення можливих недоліків у поданій заяві» замінити словами «зокрема для виправлення можливих недоліків у поданій заяві, а також розгляду заяви за спрощеною процедурою»;</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10) в статті 27:</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частину першу доповнити новим п’ятим абзацом такого змісту:</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«жоден з учасників концентрації не здійснює діяльності на тому самому товарному або географічному ринку, або»;</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шостий-сьомий абзац частини першої викласти в новій редакції:</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«сукупна частка учасників концентрації на одному і тому самому товарному ринку не перевищує 20 відсотків, та при цьому частки або сукупні частки учасників концентрації не перевищують 20 відсотків на товарних ринках, на яких реалізується продукція (товари, роботи, послуги), без придбання або реалізації якої господарська діяльність будь-якого іншого учасника концентрації, є неможливою.»;</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11) в статті 30:</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перше речення частини першої замінити новими реченнями такого змісту: «Якщо за результатами розгляду заяви про узгоджені дії, концентрацію органами Антимонопольного комітету України виявлено підстави для заборони узгоджених дій, концентрації  або за результатами розгляду зави про концентрацію органами Антимонопольного комітету України виявлено ознаки монополізації чи суттєвого обмеження конкуренції на всьому ринку чи в значній його частині, що виникли унаслідок концентрації, органи Антимонопольного комітету України розпочинають розгляд справи про узгоджені дії чи концентрацію про що приймається розпорядження. Про прийняття такого розпорядження письмово повідомляється особа, яка подала заяву, або учасник концентрації, якщо відповідну заяву  про надання дозволу на концентрацію не було подану до Антимонопольного комітету України»;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lastRenderedPageBreak/>
        <w:t>частину третю після першого речення доповнити новим реченням такого змісту: «Цей строк може бути продовжено на один місяць, якщо учасники концентрації нададуть пропозиції щодо зобов’язань відповідно до частини другої статті 31 цього Закону.»;</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12) в статті 31:</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частину другу доповнити новим абзацом другим такого змісту:</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«Після встановлення органами Антимонопольного комітету України підстав для заборони концентрації або узгоджених дій учасникам концентрації або узгоджених дій надається можливість ознайомитися з матеріалами справи.»;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абзац перший частини четвертої викласти в новій редакції:</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«4. Заявнику або учаснику концентрації, якщо відповідна заява не була подана до Антимонопольного комітету України, надсилається рішення, крім інформації з обмеженим доступом, а також визначеної відповідним державним уповноваженим, головою відділення інформації, розголошення якої може завдати шкоди інтересам інших осіб.»;</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13) в статті 34:</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другий абзац частини другої викласти в новій редакції:</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 xml:space="preserve">«із заяв про надання дозволу на концентрацію – у розмірі 2500 неоподатковуваних мінімумів доходів громадян; </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якщо заява про надання дозволу на концентрацію підлягає розгляду за спрощеною процедурою – у розмірі 2500 неоподатковуваних мінімумів доходів громадян;</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в разі сплати суми збору відповідно до абзацу четвертого цієї частини за надання попередніх висновків з цих питань - у розмірі 1500 неоподатковуваних мінімумів доходів громадян;»;</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в абзаці третьому частини другої цифри «600» та «280» замінити цифрами «1500» та «1000» відповідно;</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в абзаці четвертому частини другої цифри «320» замінити цифрами «750»;</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14) в статті 35:</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абзац другий частини другої викласти в новій редакції: «збирають, аналізують і оцінюють документи, висновки експертів, пояснення осіб, іншу інформацію, що є доказами у справі, та приймають рішення у справі в межах своїх повноважень;»;</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абзац третій частини другої після слів «осіб за їх клопотанням» доповнити словами «клопотанням осіб, які беруть участь у справі»;</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lastRenderedPageBreak/>
        <w:t>частину другу доповнити новими абзацами такого змісту:</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«роблять висновки щодо кожної обставини справи (доказу), зібраної інформації;</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роблять висновки щодо поведінки та впливу осіб на ринок товарів, щодо здатності осіб визначати умови обороту товару, попит та пропозицію;</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оцінюють та роблять висновки щодо конкуренції на ринку товару, здатності осіб впливати на умови конкуренції на ринку товару, а також визначають ступінь впливу осіб, які беруть участь у справі на конкуренцію, інтереси інших суб’єктів господарювання чи споживачів;</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встановлюють наявність причинно-наслідкового зв’язку між поведінкою осіб, ринком товару та порушенням законодавства про захист економічної конкуренції;</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встановлюють наявність вини в діях осіб, які беруть участь у справі, щодо дій які визнаються порушенням законодавства про захист економічної конкуренції;</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приймають рішення у справі в межах своїх повноважень.»;</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15) доповнити статтею 35-1 такого змісту:</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«Стаття 35-1. Завдання та порядок розгляду справ про порушення законодавства про захист економічної конкуренції</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1.</w:t>
      </w:r>
      <w:r w:rsidRPr="00F43F98">
        <w:rPr>
          <w:rFonts w:ascii="Times New Roman" w:hAnsi="Times New Roman"/>
          <w:color w:val="000000" w:themeColor="text1"/>
          <w:sz w:val="28"/>
          <w:szCs w:val="28"/>
        </w:rPr>
        <w:tab/>
        <w:t>Завданнями розгляду справ про порушення законодавства про захист економічної конкуренції є всебічне, повне та об'єктивне з'ясування у розумні строки всіх фактичних обставин справи та прийняття виваженого, обґрунтованого і справедливого рішення у справі, спрямованого на захист і розвиток конкуренції у підприємницькій діяльності, дотримання загальних принципів господарювання та пріоритету прав споживачів.</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2.</w:t>
      </w:r>
      <w:r w:rsidRPr="00F43F98">
        <w:rPr>
          <w:rFonts w:ascii="Times New Roman" w:hAnsi="Times New Roman"/>
          <w:color w:val="000000" w:themeColor="text1"/>
          <w:sz w:val="28"/>
          <w:szCs w:val="28"/>
        </w:rPr>
        <w:tab/>
        <w:t>Розгляд справи про порушення законодавства про захист економічної конкуренції здійснюються в порядку, передбаченому Законами України "Про Антимонопольний комітет України", "Про захист економічної конкуренції" та "Про захист від недобросовісної конкуренції".</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3.</w:t>
      </w:r>
      <w:r w:rsidRPr="00F43F98">
        <w:rPr>
          <w:rFonts w:ascii="Times New Roman" w:hAnsi="Times New Roman"/>
          <w:color w:val="000000" w:themeColor="text1"/>
          <w:sz w:val="28"/>
          <w:szCs w:val="28"/>
        </w:rPr>
        <w:tab/>
        <w:t>Розгляд справ про порушення законодавства про захист економічної конкуренції повинно здійснюватися із дотриманням принципів верховенства права та правової держави. Дотримання законних інтересів, прав та свобод осіб, зокрема осіб, що беруть участь у справах про такі порушення гарантується державою, та забезпечується органами Антимонопольного комітету України та судовою владою»;</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16) статтю 36 викласти в новій редакції:</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«Стаття 36. Підстави для початку розгляду справи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lastRenderedPageBreak/>
        <w:t>1. У разі наявності даних про ознаки порушення конкуренційного законодавства, зокрема наслідки такого порушення, органи Антимонопольного комітету України починають розгляд справи.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2. Джерелами, з яких органи Антимонопольного комітету України одержують дані про ознаки порушення конкуренційного законодавства, є:</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1) заяви осіб, які відповідають вимогам, установленим у частині четвертій цієї статті;</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2) подання органів державної влади, органів місцевого самоврядування;</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3) повідомлення посадових і службових осіб підприємств, установ та організацій;</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4) відомості, виявлені органом Антимонопольного комітету України, головою його територіального відділення, зокрема які містяться у депутатських зверненнях або запитах, повідомленнях засобів масової інформації, зверненнях об’єднання громадян;</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5) інформація від Учасника антиконкурентних узгоджених дій, яким вчинено разом з іншими суб’єктами господарювання та/або органами влади антиконкурентні узгоджені дії, і який раніше за інших учасників цих дій добровільно повідомив Антимонопольний комітет України про такі антиконкурентні узгоджені дії.</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3. Особами, які мають право подавати заяву про ознаки порушення конкуренційного законодавства, є суб’єкти господарювання, об’єднання, установи, організації, громадяни, які можуть підтвердити, що дії чи бездіяльність особи, в діях якої вбачається порушення конкуренційного законодавства, можуть безпосередньо ущемляти їх права та інтереси.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Заява подається до Антимонопольного комітету України, його територіального відділення.</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Порядок подання та розгляду заяв встановлюється Антимонопольним комітетом України.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4. У разі подання заяви про ознаки порушення конкуренційного законодавства особою, зазначеною у частині четвертій цієї статті, розгляд справи про таке порушення починається за заявою.</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У разі отримання даних про ознаки порушення конкуренційного законодавства із джерел, передбачених пунктами другим - четвертим частини другої цієї статті, розгляд справи про таке порушення починається за власною ініціативою органів Антимонопольного комітету України.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 xml:space="preserve">Особа, яка подала заяву про ознаки порушення конкуренційного законодавства, має право подати разом із заявою клопотання про початок розгляду </w:t>
      </w:r>
      <w:r w:rsidRPr="00F43F98">
        <w:rPr>
          <w:rFonts w:ascii="Times New Roman" w:hAnsi="Times New Roman"/>
          <w:color w:val="000000" w:themeColor="text1"/>
          <w:sz w:val="28"/>
          <w:szCs w:val="28"/>
        </w:rPr>
        <w:lastRenderedPageBreak/>
        <w:t>справи про таке порушення за власною ініціативою органів Антимонопольного комітету України у зв’язку з можливістю настання негативних для неї наслідків, пов’язаних з поданням заяви. У такому разі розслідування за заявою, розгляд справи починаються за власною ініціативою органів Антимонопольного комітету України.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5. Органи Антимонопольного комітету України мають право не починати розгляд справи, якщо дії чи бездіяльність, що містять ознаки порушення конкуренційного законодавства, відчутно не впливають на конкуренцію. Під час вирішення цього питання органи Антимонопольного комітету України враховують, зокрема, тяжкість, тривалість та масштаб порушення, можливість припинення порушення та усунення його наслідків без розгляду справи, співвідношення обсягу необхідного розслідування та наслідків порушення.</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Про відмову в розгляді справи особі, яка подала заяву про ознаки порушення конкуренційного законодавства, з підстав, наведених у цій статті, орган Антимонопольного комітету України приймає відповідне розпорядження, яке протягом трьох робочих днів з дня його прийняття надсилається такій особі.»;</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17) статтю 37 викласти в новій редакції:</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«Стаття 37. Початок розгляду справи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1. При надходженні до органів Антимонопольного комітету України заяви або подання про порушення законодавства про захист економічної конкуренції, органи Антимонопольного комітету України зобов’язані встановити: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 xml:space="preserve"> наявність ознак порушення законодавства про захист економічної конкуренції, в тому числі наслідків такого порушення, у діях особи, щодо якої подано заяву чи подання;</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дії особи, щодо якої подано заяву чи подання, які містять ознаки порушення законодавства про захист економічної конкуренції;</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наявність або відсутність інших підстав та умов визначених законодавством про захист економічної конкуренції для прийняття розпорядження про розгляд справи або розпорядження про відмову в розгляді справи.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 xml:space="preserve">2. При виявлені органами Антимонопольного комітету України ознак порушення законодавства про захист економічної конкуренції, в тому числі наслідків такого порушення, наявності в діях особи, щодо якої подано заяву чи подання, ознак порушення законодавства про захист економічної конкуренції,  відсутності умов та підстав передбачених законодавством про захист економічної конкуренції для відмови у розгляді справи за результатом розгляду заяви або подання про порушення законодавства про захист економічної конкуренції, а також іншої інформації отриманої органами Антимонопольного комітету України в результаті реалізації своїх повноважень, орган Антимонопольного комітету України зобов’язаний прийняти розпорядження про розгляд справи та призначити посадову особу органу Антимонопольного комітету України відповідальну за </w:t>
      </w:r>
      <w:r w:rsidRPr="00F43F98">
        <w:rPr>
          <w:rFonts w:ascii="Times New Roman" w:hAnsi="Times New Roman"/>
          <w:color w:val="000000" w:themeColor="text1"/>
          <w:sz w:val="28"/>
          <w:szCs w:val="28"/>
        </w:rPr>
        <w:lastRenderedPageBreak/>
        <w:t>розгляд справи протягом 45 календарних днів з дати надходження відповідної заяви або подання.</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3. Про початок розгляду справи орган Антимонопольного комітету України, голова його територіального відділення приймають відповідне розпорядження.</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4. Розпорядження про початок розгляду справи надсилається відповідачу, заявнику та третім особам протягом трьох робочих днів з дня його прийняття. У такий самий строк заявнику надсилається повідомлення про початок розгляду справи.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 xml:space="preserve">5. У випадках проведення перевірки суб’єкта господарювання, об’єднання, органів влади, органів місцевого самоврядування, органів адміністративно-господарського управління і контролю; розслідуваннях щодо порушень конкуренційного законодавства, розпорядження про початок розгляду справи може бути надіслано відповідній особі протягом трьох робочих днів з дня початку проведення перевірки. </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6. У разі, коли відповідача визначено після початку розгляду справи, орган Антимонопольного комітету України, голова його територіального відділення приймають розпорядження про залучення відповідної особи до участі у справі як відповідача, яке протягом трьох робочих днів з дня його прийняття разом з розпорядженням про початок розгляду справи надсилається відповідачу.</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7. Державний уповноважений Антимонопольного комітету України, голова територіального відділення Антимонопольного комітету України, член органу Антимонопольного комітету України, уповноваженого на прийняття рішення у справі, працівник відповідного структурного підрозділу Антимонопольного комітету України, його територіального відділення, який здійснює розслідування у справі, експерт, перекладач зобов'язаний заявити самовідвід у разі наявності або виникнення обставин, що можуть викликати сумнів у його неупередженості, зокрема, у зв'язку з наявністю обставин передбачених Законом України "Про запобігання корупції" та потенційного порушення принципів і обов’язків передбачених Законом України  «Про державну службу».»</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18) в статті 38:</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частину першу після слів «Органи Антимонопольного комітету України» доповнити словами «за поданням посадової особи органу Антимонопольного комітету України відповідальної за розгляд справи»;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частину другу виключити;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19) статтю 39 викласти в новій редакції:</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«Стаття 39. Особи, які беруть участь у справі</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1. Особами, які беруть участь у справі, є заявник (у разі, коли справу розпочато за відповідною заявою), відповідач, треті особи.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lastRenderedPageBreak/>
        <w:t>2. Заявником є особа, за заявою якої розпочато розгляд справи.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Якщо особа подала відповідну заяву після початку розгляду справи, орган Антимонопольного комітету України, голова його територіального відділення приймають розпорядження про залучення такої особи до участі у справі на правах заявника та надсилають їй повідомлення про це протягом трьох робочих днів з дня прийняття розпорядження.</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3. Відповідачем є особа, щодо якої здійснюється розгляд справи.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У разі, коли під час розгляду справи буде встановлено, що як відповідач у справі повинна бути залучена інша особа, орган Антимонопольного комітету України, голова його територіального відділення приймають розпорядження про заміну відповідача або про залучення до участі у справі співвідповідача. Зазначене розпорядження надсилається протягом трьох робочих днів з дня його прийняття відповідачу (співвідповідачу).</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4.</w:t>
      </w:r>
      <w:r w:rsidRPr="00F43F98">
        <w:rPr>
          <w:rFonts w:ascii="Times New Roman" w:hAnsi="Times New Roman"/>
          <w:color w:val="000000" w:themeColor="text1"/>
          <w:sz w:val="28"/>
          <w:szCs w:val="28"/>
        </w:rPr>
        <w:tab/>
        <w:t>Третьою особою є особа, якій можуть бути відомі обставини, що мають значення для справи про порушення законодавства про захист економічної конкуренції.</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Про залучення третьої особи до участі у справі приймається розпорядження за клопотанням заявника, відповідача, або з власної ініціативи органів Антимонопольного комітету України, яке протягом трьох днів з дня його прийняття надсилається цій особі та особам, які беруть участь у справі»;</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20) статтю 40 викласти в новій редакції:</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«Стаття 40. Права і обов’язки осіб, які беруть (брали)  участь у справі</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1. Особа, яка бере участь у справі, має право:</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знати, про дії відповідача, які містять ознаки передбаченого законом порушення законодавства про захист економічної конкуренції, в тому числі наслідки такого порушення,  а також кваліфікуючі ознаки порушення про захист економічної конкуренції передбачені законами, які є підставою для розгляду справи;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користуватись послугами перекладача;</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бути поінформованою про дату, час і місце розгляду справи, про всі рішення, розпорядження, що приймаються у справі та стосуються її інтересів;</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отримувати копію попередніх висновків, складених за результатами розгляду справи, та висловлювати щодо них власні міркування до прийняття рішення у справі;</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ознайомлюватися з матеріалами справи;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lastRenderedPageBreak/>
        <w:t>робити виписки, знімати копії (фотокопії) з матеріалів справи, крім інформації з обмеженим доступом, зокрема комерційної таємниці, конфіденційної інформації, а також інформації, розголошення якої може завдати шкоди іншим особам, які беруть (брали) участь у справі або перешкодити подальшому розгляду справи.  Така інформація може бути надана для ознайомлення за згодою її власника або за рішенням органу Антимонопольного комітету України, а у разі відмови органом Антимонопольного комітету України – за рішенням господарського суду;</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бути заслуханою в установленому конкуренційним законодавством порядку органами Антимонопольного комітету України до прийняття рішення у справі, зокрема під час розгляду справи;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подавати докази та доводити їх достовірність (об’єктивність), подавати клопотання, усні та письмові пояснення, доводи, міркування та заперечення до прийняття рішення у справі;</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одержувати копії рішень, прийнятих за результатами розгляду справи, витяги з них (крім інформації з обмеженим доступом, а також інформації, розголошення якої може завдати шкоди іншим особам, які беруть (брали) участь у справі), протоколи;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ставити питання перед експертами та особам, які беруть участь у справі;</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ставити питання до органів Антимонопольного комітету України та отримувати обґрунтовані відповіді;</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подавати заперечення на дії чи бездіяльність посадових осіб органів Антимонопольного комітету України до Антимонопольного комітету України;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оскаржувати в судовому порядку дії чи бездіяльність органів Антимонопольного комітету України, посадових осіб органів Антимонопольного комітету України, розпорядження, рішення, протоколи та інші рішення і акти Антимонопольного комітету України;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користуватися іншими правами, наданими їй конкуренційним законодавством.</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2. Документи, до яких особам, які беруть участь у справі, надано доступ, можуть бути використані ними лише для забезпечення реалізації прав, наданих їм конкуренційним законодавством.</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Особи, які беруть участь у справі, мають право замовити та отримати в Антимонопольному комітеті України, його територіальному відділенні додаткові примірники завірених копій рішень, витягів з них на умовах, установлених статтею 34 цього Закону.</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 xml:space="preserve">3. Рішення органу Антимонопольного комітету України про  надання особі, яка бере участь у справі про порушення конкуренційного законодавства дозволу на ознайомлення з інформацією з обмеженим доступом або відмову у наданні  такого </w:t>
      </w:r>
      <w:r w:rsidRPr="00F43F98">
        <w:rPr>
          <w:rFonts w:ascii="Times New Roman" w:hAnsi="Times New Roman"/>
          <w:color w:val="000000" w:themeColor="text1"/>
          <w:sz w:val="28"/>
          <w:szCs w:val="28"/>
        </w:rPr>
        <w:lastRenderedPageBreak/>
        <w:t xml:space="preserve">дозволу у випадку, передбаченому абзацом третім частини першої цієї статті Закону може бути оскаржене особою, яка бере (брала) участь у справі до господарського суду протягом семи робочих днів з дня прийняття цього рішення органом Антимонопольного комітету України.  </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4. Особи, які беруть участь у справі, зобов’язані добросовісно користуватися належними їм правами та неухильно виконувати обов’язки, встановлені конкуренційним законодавством.»</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21) в статті 41:</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назву статті викласти в новій редакції: «Стаття 41. Докази у справі»;</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частину першу викласти в новій редакції:</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 xml:space="preserve">«1. Доказами у справі є будь-які фактичні дані, на підставі яких встановлюються обставини, які мають значення для справи, зокрема дають можливість установити наявність чи відсутність порушення конкуренційного законодавства. </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 xml:space="preserve">Ці дані встановлюються такими засобами: </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письмовими доказами;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речовими доказами;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висновками експертів;»;</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доповнити новими частинами 2-4 такого змісту:</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 xml:space="preserve">«2. Докази мають право подавати особи, які беруть участь у справі, а також будь-які інші особи. </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3. Обов’язок доказування обставин, які мають значення для справи, покладається на органи Антимонопольного комітету України.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4. Під час розгляду справи орган Антимонопольного комітету України, голова його територіального відділення, уповноважені ними посадові особи Антимонопольного комітету України, його територіального відділення збирають докази шляхом вчинення дій, передбачених конкуренційним законодавством.</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За межами території України збір доказів здійснюється з урахуванням умов та у порядку, що передбачені міжнародними договорами, згода на обов’язковість яких надана Верховною Радою України. Іноземці та особи без громадянства, підприємства, установи та організації, утворені відповідно до законодавства інших держав, мають право подавати докази за власною ініціативою або на письмовий запит органів Антимонопольного комітету України.»;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22) доповнити новою статтею 41-1 такого змісту:</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lastRenderedPageBreak/>
        <w:t>«Стаття 41-1. Письмові і речові докази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1. Письмовими доказами є документи на паперовому носії, електронні, інші види документів або витяги з них, що містять відомості про обставини, які мають значення для справи. Письмовими доказами можуть бути, зокрема, акти, нотатки, листування, телеграми, телефонограми, ілюстрації (карти, діаграми, органіграми, рисунки, схеми тощо), протоколи з відповідними додатками, складені органом Антимонопольного комітету України, головою його територіального відділення, уповноваженими ними посадовими особами Антимонопольного комітету України, його територіального відділення, бази даних комп’ютерних систем або повне чи часткове відтворення їх елементів, а також файли, електронні листи і повідомлення, метадані про електронні документи (прізвище та ініціали автора, дата створення чи зміни електронного документа тощо), що зберігаються на електронних носіях.</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Документи подаються у вигляді засвідченої належним чином копії.</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2. Речовими доказами є предмети матеріального світу, властивості, наявність чи місце виявлення яких свідчать про обставини, що мають значення для справи, а також магнітні, електронні та інші матеріальні носії інформації, що містять аудіовізуальну інформацію про такі обставини.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3. Під час здійснення дій, пов’язаних із розглядом справи, орган Антимонопольного комітету України, голова його територіального відділення, уповноважені ними посадові особи Антимонопольного комітету України, його територіального відділення, мають право застосовувати фото- і кінозйомку, аудіо- чи відеозапис, інші технічні чи програмно-технічні засоби.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 xml:space="preserve">4. Одержані у результаті застосування технічних засобів матеріали додаються до відповідного протоколу, форма та вимоги до змісту якого затверджується Антимонопольним комітетом України. </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5. Шкода, завдана внаслідок пошкодження чи втрати письмових або речових доказів з вини органів Антимонопольного комітету України, відшкодовується у порядку, встановленому законом.»;</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23) доповнити новою статтею 41-2 такого змісту:</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«Стаття 41-2. Вимога про подання інформації</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1. У випадках, передбачених конкуренційним законодавством, державний уповноважений Антимонопольного комітету України, голова територіального відділення мають право вимагати від суб’єктів господарювання, об’єднань, органів влади, органів місцевого самоврядування, органів адміністративно-господарського управління та контролю, інших юридичних та фізичних осіб, інформацію, зокрема з обмеженим доступом, яка перебуває у володінні та/або користуванні, та/або розпорядженні особи та незалежно від місця знаходження цієї інформації.</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2. Державний уповноважений має право вимагати від відповідних суб’єктів господарювання, об’єднань інформацію, що становить банківську таємницю.</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lastRenderedPageBreak/>
        <w:t>У разі витребування інформації, що становить банківську таємницю, вимога державного уповноваженого Антимонопольного комітету України скріплюється гербовою печаткою з найменуванням Антимонопольного комітету України. Зазначена вимога надсилається (вручається) за місцезнаходженням юридичної особи.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3. У вимозі про подання інформації зазначаються посада, прізвище та ініціали державного уповноваженого Антимонопольного комітету України, голови його територіального відділення, які вимагають подання інформації, мета та правові підстави для витребування інформації, строк та порядок її подання (не може становити менше 20 днів з дати отримання вимоги, а при великих обсягах – не менше 30 днів з дати отримання вимоги, і не більше 90 днів), а також попередження про обов’язковість подання інформації та відповідальність за неподання чи подання в неповному обсязі в установлений строк або подання недостовірної інформації.</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4. Вимога про подання інформації надсилається рекомендованим поштовим відправленням або вручається під розписку.</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5. У разі, коли за місцезнаходженням юридичної особи чи останнім відомим місцем проживання фізичної особи неможливо вручити вимогу про подання інформації, вона вважається такою, що вручена адресатові через десять днів з дня її оприлюднення на офіційному веб-сайті Антимонопольного комітету України або опублікування в офіційному друкованому виданні Кабінету Міністрів України чи відповідному друкованому засобі масової інформації місцевої сфери розповсюдження, визначеному Кабінетом Міністрів України, в якому розміщуються оголошення про виклик до господарського суду осіб, місце фактичного проживання (перебування) яких невідоме.</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6. Відповідь на вимогу про подання інформації підписується особою, яка відповідно до установчих документів чи закону виступає від імені відповідної юридичної особи. Відповідь на вимогу, адресовану фізичній особі, підписує така особа.</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У разі, коли відповідь на вимогу про надання інформації підписується представником, до неї додається документ (договір, доручення чи довіреність), що підтверджує повноваження представника представляти інтереси відповідної особи у відносинах з органами Антимонопольного комітету України.»;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24) доповнити новою статтею 41-3 такого змісту:</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«Стаття 41-3. Залучення спеціалістів</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1. Спеціалістом є особа, яка володіє спеціальними знаннями та навичками і залучена за її згодою за ініціативою органу Антимонопольного комітету України, голови його територіального відділення, уповноваженими ними посадовими особами Антимонопольного комітету України, його територіального відділення або за письмовим клопотанням осіб, які беруть участь у справі, для надання консультацій, технічної та іншої спеціальної допомоги під час розгляду справи.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lastRenderedPageBreak/>
        <w:t>2. Спеціаліст зобов’язаний давати пояснення з приводу спеціальних питань, що виникають під час розгляду справи.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3. Спеціаліст має право звертатися із запитаннями до органів Антимонопольного комітету України та осіб, які беруть участь у справі, робити заяви, пов’язані з предметом консультацій та іншої спеціальної допомоги.»;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25) в статті 42:</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в назві статті та по тексту слова «законодавства про захист економічної конкуренції» замінити словами «конкуренційного законодавства»;</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в абзаці третьому частини першої слова і цифри «пунктами 13-16» замінити словами і цифрами «пунктами 13-25»;</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26) статтю 43 викласти в новій редакції:</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«Стаття 43. Забезпечення проведення експертизи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1. Для роз’яснення питань, що виникають під час розгляду справи і потребують спеціальних знань, орган Антимонопольного комітету України за власною ініціативою або клопотанням особи, яка бере участь у справі, має право призначати експертизу.</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Проведення експертизи доручається особам, що відповідають вимогам Законів України "Про судову експертизу" та/або "Про наукову і науково-технічну експертизу".</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Особа не може залучатися як експерт, якщо вона:</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1) є особою, яка бере участь у справі;</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2) пов’язана з особами, які беруть участь у справі, підлеглістю чи підконтрольністю;</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3) є членом сім’ї або близьким родичем (чоловік, дружина, батько, мати, вітчим, мачуха, син, дочка, пасинок, падчерка, брат, сестра, дід, баба, внук, внучка, усиновлювач чи усиновлений, опікун чи піклувальник, член сім’ї або близький родич цих осіб) особи, яка бере участь у справі.</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Під час призначення експертизи та визначення переліку питань, що слід поставити експерту (експертам), орган Антимонопольного комітету України враховує пропозиції осіб, які беруть участь у справі. Відхилення пропозицій осіб, які беруть участь у справі, орган Антимонопольного комітету України повинен вмотивувати.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 xml:space="preserve">2. Експертиза призначається органом Антимонопольного комітету України, про що приймається розпорядження, в якому зазначаються підстави для проведення експертизи; прізвище, ім’я та по батькові експерта або найменування експертної установи; питання, з яких необхідно подати висновки експертів; </w:t>
      </w:r>
      <w:r w:rsidRPr="00F43F98">
        <w:rPr>
          <w:rFonts w:ascii="Times New Roman" w:hAnsi="Times New Roman"/>
          <w:color w:val="000000" w:themeColor="text1"/>
          <w:sz w:val="28"/>
          <w:szCs w:val="28"/>
        </w:rPr>
        <w:lastRenderedPageBreak/>
        <w:t>об’єкти, що підлягають дослідженню; перелік матеріалів, що передаються для дослідження.</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Розпорядження про призначення експертизи надсилається протягом трьох робочих днів з дня його прийняття особі, яка бере участь у справі та подала клопотання про призначення експертизи.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3. Експерт має право:</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1) знайомитися з матеріалами справи, що стосуються предмета дослідження;</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2) подавати клопотання про надання йому відповідних роз’яснень щодо поставлених питань, а також додаткових матеріалів, необхідних для подання висновку;</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3) включати до висновку свої думки щодо виявлених під час проведення експертизи обставин, які мають значення для справи і з приводу яких йому не поставлені питання;</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4) поставити з відома органу Антимонопольного комітету України, що призначив експертизу, питання, що стосуються предмета дослідження, особам, які беруть участь у справі;</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5) відмовитися від подання висновку, якщо поданих йому матеріалів недостатньо для виконання покладених на нього обов’язків;</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6) на оплату за виконану роботу та компенсацію витрат, пов’язаних з проведенням експертизи.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4. Експерт зобов’язаний:</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1) провести повне дослідження і подати обґрунтований та об’єктивний письмовий висновок щодо поставлених йому питань, а в разі потреби роз’яснити висновок;</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2) невідкладно повідомити органу Антимонопольного комітету України, що призначив експертизу, про неможливість її проведення за поставленими питаннями внаслідок відсутності в нього необхідних знань або без залучення інших експертів у разі виникнення сумніву щодо змісту та обсягу доручення, недостатньої кількості поданих йому матеріалів;</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3) одержати згоду органу Антимонопольного комітету України, що призначив експертизу, на проведення досліджень, пов’язаних з повним або частковим знищенням об’єкта експертизи чи зміною його властивостей;</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4) не розголошувати відомості, що стали йому відомі у зв’язку з проведенням експертизи, та не повідомляти будь-кому, крім органу Антимонопольного комітету України, що призначив експертизу, про її результати;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lastRenderedPageBreak/>
        <w:t>5) у разі прийняття розпорядження про припинення проведення експертизи негайно повернути матеріали справи та інші носії інформації, що використовувалися для проведення експертизи.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5. Експерт подає свій висновок у письмовій формі. Висновок експерта повинен містити докладний опис проведених досліджень, зроблені за їх результатами висновки і обґрунтовані відповіді на поставлені питання.</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6. Якщо орган Антимонопольного комітету України, що призначив експертизу, визнав висновок експерта неповним або неясним, він має право призначити додаткову експертизу, проведення якої доручається тому самому або іншому експерту (експертам).</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Повторна експертиза призначається, якщо висновок експерта визнаний органом Антимонопольного комітету України необґрунтованим або таким, що суперечить іншим матеріалам справи, чи викликає сумніви в його правильності. Проведення повторної експертизи доручається органом Антимонопольного комітету України іншому експерту (експертам).</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7. Витрати, пов’язані з проведенням експертизи, відшкодовуються особою, щодо якої прийнято рішення про визнання порушення конкуренційного законодавства. У разі відмови у відшкодуванні зазначених витрат особа, яка їх зазнала, може звернутися до господарського суду із заявою про їх відшкодування.»;</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27) доповнити новою статтею 43-1 такого змісту:</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«Стаття 43-1. Консультації у заявах, справах про порушення конкуренційного законодавства</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1.</w:t>
      </w:r>
      <w:r w:rsidRPr="00F43F98">
        <w:rPr>
          <w:rFonts w:ascii="Times New Roman" w:hAnsi="Times New Roman"/>
          <w:color w:val="000000" w:themeColor="text1"/>
          <w:sz w:val="28"/>
          <w:szCs w:val="28"/>
        </w:rPr>
        <w:tab/>
        <w:t xml:space="preserve">Органи Антимонопольного комітету України з власної ініціативи або за клопотанням заінтересованих осіб можуть проводити консультації з цими особами з питань, що стосуються дослідження або розслідування заяв, справ про порушення конкуренційного законодавства або дій, що можуть містити ознаки порушень конкуренційного законодавства. Вимоги до форми та змісту клопотання затверджуються Антимонопольним комітетом України. </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2.</w:t>
      </w:r>
      <w:r w:rsidRPr="00F43F98">
        <w:rPr>
          <w:rFonts w:ascii="Times New Roman" w:hAnsi="Times New Roman"/>
          <w:color w:val="000000" w:themeColor="text1"/>
          <w:sz w:val="28"/>
          <w:szCs w:val="28"/>
        </w:rPr>
        <w:tab/>
        <w:t>За результатами консультацій складається протокол, вимоги до форми та змісту якого затверджуються Антимонопольним комітетом України. У протоколі проведення консультації повинні бути зазначені особи, які приймали у ній участь, час її початку та закінчення, питання, які розглядалися, основний зміст обговорень, зауважень, пояснень та доводів, наданих учасниками зустрічі та, результати проведення консультації</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3. Особи, які брали участь у проведенні консультацій, мають право у п’ятиденний строк ознайомитися з протоколом консультацій та у цей же строк надати на нього зауваження та пропозиції.»;</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28) статтю 44 викласти в новій редакції:</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lastRenderedPageBreak/>
        <w:t>«Стаття 44. Проведення перевірки. Вилучення доказів</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 xml:space="preserve">1. У дослідженнях, розслідуваннях щодо порушень конкуренційного законодавства, справах про порушення, передбачених пунктами першим, другим статті 50 цього Закону розпорядження про проведення перевірки суб’єкта господарювання, об’єднання, інших  осіб, пов’язаних з ними відносинами контролю, що дає підстави для визнання відповідної групи осіб згідно із статтею 1 цього Закону єдиним суб’єктом господарювання приймає Голова Антимонопольного комітету України за поданням відповідного органу Антимонопольного комітету України та  наказом господарського суду.  </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2. Перевірка органу влади, органу місцевого самоврядування, органу адміністративно-господарського управління та контролю проводиться у випадках, передбачених конкуренційним законодавством, на підставі розпорядження Голови Антимонопольного комітету України, заступника Голови Антимонопольного комітету України, державного уповноваженого Антимонопольного комітету України, голови його територіального відділення.</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3. Розпорядження про проведення перевірки повинне містити: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номер, дату і місце його прийняття;</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посаду, прізвище та ініціали особи, що приймає розпорядження;</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опис дій (бездіяльності), які містять ознаки порушення законодавства про захист економічної конкуренції;</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номер справи, в якій поповодиться перевірка та копію розпорядження про її початок;</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найменування суб’єкта господарювання, об’єднання, органу влади чи органу адміністративно-господарського управління та контролю – особи, яка бере участь у справі, що підлягає перевірці;</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дані про склад комісії з проведення перевірки з числа посадових осіб Антимонопольного комітету України, його територіального відділення (не менш як три особи);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перелік питань, який підлягає з’ясуванню в ході проведення перевірки;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перелік витребуваних до огляду та копіювання за допомогою технічних засобів документів, предметів та інших носіїв інформації із зазначенням їх назви, кількості та інших необхідних ознак;</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час та дати початку і закінчення перевірки;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адреса місця проведення перевірки;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інформацію про права та обов’язки членів комісії та особи, яка бере участь у справі;</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lastRenderedPageBreak/>
        <w:t>попередження про установлену законом відповідальність за створення перешкод у проведенні перевірки.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Засвідчена копія розпорядження про проведення перевірки має бути надана особі, яка бере участь у справі і щодо якої проводиться перевірка, не менше ніж за десять календарних днів до дати початку перевірки, а також надана в перший день проведення перевірки.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4. Перевірки, передбачені частинами першою та другою цієї статті Закону, здійснюється комісією з числа посадових осіб Антимонопольного комітету України, його територіального відділення у складі не менше трьох осіб.</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5. Члени цієї комісії з проведення перевірки мають право:</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1) безперешкодного доступу до приміщень (офісів, кабінетів, підсобних та складських приміщень, підприємств, установ, організацій тощо), транспортних засобів чи інших володінь, які перебувають у власності або користуванні суб’єкта, який перевіряється, а також місць проживання та володіння особи за умови пред’явлення службового посвідчення та належним чином засвідченої копії розпорядження про проведення та судово-конкуренційного наказу;</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2) вимагати пред’явлення посвідчення чи іншого документа, що посвідчує особу та дає змогу визначити її посадову належність;</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 xml:space="preserve">3) вимагати видачі та вилучати документи, предмети, інші носії інформації або їх копії (витяги з них) незалежно від їх місцезнаходження, які перебувають у володінні, та/або користуванні, та/або розпорядженні особи, а також можуть підтвердити порушення конкуренційного законодавства; </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4) вимагати від керівника, посадових осіб та інших працівників суб’єкта, який перевіряється, усних або письмових пояснень щодо фактів, документів (зокрема змісту приміток, кодів тощо), що стосуються мети перевірки;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5) застосовувати фото- і кінозйомку, аудіо- чи відеозапис, інші технічні чи програмно-технічні засоби;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6) складати в установленому законом порядку протоколи про адміністративні правопорушення;</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7) залучати поліцейських для здійснення у разі потреби заходів, передбачених законом, для усунення перешкод у проведенні перевірки;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6. Члени комісії на підставі розпорядження про проведення перевірки, прийнятого відповідно до частини першої цієї статті, крім прав, передбачених частиною четвертою цієї статті, мають право:</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 xml:space="preserve">1) мати безперешкодний доступ до: </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 xml:space="preserve">- приміщень підприємств, установ, організацій, місць зберігання інформації, що перебуває у володінні, та/або користуванні, та/або розпорядженні суб’єкта </w:t>
      </w:r>
      <w:r w:rsidRPr="00F43F98">
        <w:rPr>
          <w:rFonts w:ascii="Times New Roman" w:hAnsi="Times New Roman"/>
          <w:color w:val="000000" w:themeColor="text1"/>
          <w:sz w:val="28"/>
          <w:szCs w:val="28"/>
        </w:rPr>
        <w:lastRenderedPageBreak/>
        <w:t>господарювання, об’єднання (комп’ютерів, засобів електронної комунікації та зберігання інформації, серверів, сейфів, робочих місць працівників тощо) незалежно від їх місцезнаходження, одержувати копії такої інформації;</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2) вилучати оригінали з метою створення їх копії та долучення до матеріалів справи або засвідчені належним чином копії документів, що можуть підтвердити або спростувати відповідне порушення конкуренційного законодавства;</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3) з метою запобігання знищенню, переміщенню або підміні документів, предметів чи інших носіїв інформації:</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у разі відсутності або відмови керівника, уповноваженої посадової особи суб’єкта, що перевіряється, надати доступ до приміщень, систем комунікацій або інших місць, що містять або можуть містити відповідну інформацію, відкривати такі замкнені приміщення та місця зберігання інформації, вилучати відповідні документи та виготовлювати копії документів (у тому числі електронних) та копії відповідних електронних носіїв;</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забороняти особам, що перебувають у приміщенні під час проведення перевірки, а також особам, які під час проведення такої перевірки увійшли в приміщення, переміщувати документи, предмети та інші носії інформації з місць їх зберігання, працювати на комп’ютері до закінчення перевірки у приміщенні яке містить або може містити відповідні носії інформації. Така заборона не повинна створювати перешкоди для здійснення господарської діяльності;</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 xml:space="preserve">4) залучати спеціалістів для надання допомоги, необхідної, зокрема, для відкриття замкнених приміщень та місць зберігання інформації, виготовлення копій документів (у тому числі електронних) та копій відповідних  електронних носіїв. </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7. Члени комісії з проведення перевірки зобов’язані шанобливо ставитися до осіб, присутніх під час проведення перевірки, роз’яснити їх права та обов’язки, пред’явити перед початком проведення перевірки та під час перевірки іншим присутнім особам на їх вимогу службове посвідчення та засвідчену копію розпорядження про проведення перевірки, копію судово-конкуренційного наказу.</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8. Керівник та посадові особи і працівники суб’єкта, який перевіряється, власник, зобов’язані сприяти проведенню перевірки, зокрема виконувати законні вимоги членів комісії співпрацювати з членами комісії (у тому числі проводити їх до місць зберігання інформації, надати схеми та опис систем комунікації, паролі доступу до серверів, робочих станцій та ноутбуків, відкрити замкнені приміщення та місця зберігання інформації або надати відповідні коди та ключі).</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Керівник суб’єкта, який перевіряється, зобов’язаний надавати пояснення особисто або визначити з числа працівників чи інших уповноважених для цього осіб. Уповноваження осіб надавати пояснення не обмежує членів комісії у праві вимагати пояснення від інших посадових осіб та працівників суб’єкта, який перевіряється.</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lastRenderedPageBreak/>
        <w:t>Керівник суб’єкта, який перевіряється, або визначена ним з числа працівників уповноважена особа, особи, що надають йому правову допомогу, власник, або уповноважена особа місця проживання чи іншого володіння особи, яке перевіряється, мають право бути присутніми під час перевірки, не заважаючи її проведенню, заявляти голові комісії про порушення комісією порядку проведення перевірки, визначеного цією статтею та вносити в протокол перевірки доповнення та зауваження. Відсутність зазначених осіб у приміщеннях чи інших територіях, які перебувають у власності або користуванні суб’єкта, який перевіряється, не є перешкодою для проведення в них перевірки та здійснення дій, передбачених цією статтею Закону.</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9. Відомості про хід проведення перевірки фіксуються у протоколі, в якому зазначаються, зокрема:</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1) найменування особи, яка бере участь у справі і щодо якої проводиться перевірка;</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2) дата, час початку проведення перевірки (визначаються з часу входу до приміщень чи інших володінь, які перебувають у власності або користуванні особи, яка бере участь у справі, та представлення членів комісії), а також дата, час закінчення проведення перевірки;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3) номер та дата розпорядження, на підставі якого проводиться перевірка;</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6) відомості про дату та час надання, пред’явлення копії розпорядження про проведення перевірки із зазначення посади, прізвища, ім’я та по батькові уповноваженого представника особи, яка бере участь у справі або інформацію про відмову особи надати такі відомості;</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7) перелік питань, який підлягав з’ясуванню в ході проведення перевірки;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8) перелік витребуваних та одержаних комісією з перевірки документів, предметів та інших носіїв інформації із зазначенням їх назви, кількості та інших необхідних ознак;</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9) інші юридично значимі дії членів комісії з перевірки та працівників, уповноважених осіб об'єкта перевірки.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У разі наявності окремої думки чи позиції члена комісії до тексту протоколу, про це робиться відмітка в протоколі та викладаються обставини щодо яких існує окрема думка чи позиція.</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Протокол та кожна його сторінка підписуються головою комісії, керівником суб’єкта, який перевіряється (особою, що його заміщує). У разі відсутності керівника суб’єкта, який перевіряється (особи, що його заміщує), протокол та кожна його сторінка підписуються іншою уповноваженою особою суб’єкта, який перевіряється.</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lastRenderedPageBreak/>
        <w:t>Керівник суб’єкта, який перевіряється (особа, що його заміщує чи уповноважена особа), мають право подати пояснення і зауваження стосовно змісту протоколу, які додаються до протоколу або вносяться до нього перед підписами осіб, викласти (повідомити) мотиви своєї відмови від підписання протоколу або його окремих сторінок, одержати копію протоколу, засвідчену підписом голови комісії. Про виправлення, зміни та доповнення, внесені до протоколу, робиться запис у протоколі перед його підписанням.</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Про відмову особи підписати протокол або окремі його сторінки, а також про мотиви такої відмови (чи про неповідомлення мотивів) робиться запис у протоколі.</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Антимонопольний комітет України, його територіальне відділення протягом одного робочого дня з моменту надходження клопотання суб’єкта, який перевіряється, надає довідку про перелік вилучених під час проведення перевірки документів, предметів та інших носіїв інформації.</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Вилучені під час проведення перевірки документи, предмети та інші носії інформації повертаються суб’єкту, який перевіряється протягом 10 днів з дати вилучення.</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 xml:space="preserve">10. Вилучення доказів проводиться у робочий час незалежно від їх місцезнаходження, в тому числі в службових приміщеннях та транспортних засобах, що належать особі, яка бере участь у справі, на робочих місцях працівників на підставі розпорядження державного уповноваженого чи голови територіального відділення Антимонопольного комітету України. </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 xml:space="preserve">Про вилучення доказів складається протокол, в якому зазначаються дата його складання, прізвище та посада особи, яка провела вилучення, перелік вилучених предметів, документів, інших носіїв інформації чи майна. Протокол підписується двома уповноваженими працівниками Антимонопольного комітету України, його територіальних відділень, які провели вилучення. Протокол також підписують особи, які були присутніми при вилученні. </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 xml:space="preserve">У разі відмови осіб від підписання протоколу в ньому робиться запис про це. Особа має право подати пояснення і зауваження стосовно змісту протоколу, які додаються до протоколу, а також викласти мотиви своєї відмови від його підписання. </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Копія протоколу про вилучення, накладення арешту надається особі, яка бере участь у справі, документи, предмети, інші носії інформації у якого були вилучені, арештовані, або вручається представнику особи, яка бере участь у справі.</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11. Перевірка у разі потреби проводиться із залученням поліцейських, працівників митних та інших правоохоронних органів.</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 xml:space="preserve">Порядок залучення працівників Національної поліції та інших правоохоронних органів для проведення таких перевірок встановлюється Антимонопольним комітетом України та центральним органом виконавчої влади, </w:t>
      </w:r>
      <w:r w:rsidRPr="00F43F98">
        <w:rPr>
          <w:rFonts w:ascii="Times New Roman" w:hAnsi="Times New Roman"/>
          <w:color w:val="000000" w:themeColor="text1"/>
          <w:sz w:val="28"/>
          <w:szCs w:val="28"/>
        </w:rPr>
        <w:lastRenderedPageBreak/>
        <w:t>який забезпечує формування державної політики у сфері охорони громадського порядку, забезпечення громадської безпеки.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12. Розпорядження, рішення та вимоги органів Антимонопольного комітету України, а також дії чи бездіяльність посадових осіб Антимонопольного комітету України як під час проведення перевірки, передбаченої статтею 44 цього Закону, так і під час здійснення інших повноважень органів та посадових осіб Антимонопольного комітету України, можуть бути оскаржені до Антимонопольного комітету України або до господарського суду у десятиденний строк з дня, коли про них стало відомо або повинно було стати відомо особам, права та охоронювані законом інтереси яких вони порушують.»</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29) в частині першій статті 46 слова «законодавства про захист економічної конкуренції» замінити словами «конкуренційного законодавства, крім порушень, передбачених пунктами четвертим, дванадцятим, тринадцятим – шістнадцятим, дев’ятнадцятим, двадцять першим – двадцять п’ятим статті 50 цього Закону»;</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30) доповнити статтями 46-1, 46-2 такого змісту:</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 xml:space="preserve">«Стаття 46-1. Врегулювання справ про порушення конкуренційного законодавства </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1. Врегулювання справи може застосовуватись у  справах про порушення конкуренційного законодавства, крім заяв, справ про порушення конкуренційного законодавства щодо суб’єкта господарювання, який органом Антимонопольного комітету України звільняється від відповідальності відповідно до частини шістнадцятої статті 6 цього Закону,  та/або суб’єкта господарювання, якому органом Антимонопольного комітету України зменшується розмір штрафу відповідно до частини першої статті 52-2 цього Закону.</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 xml:space="preserve">2. Врегулювання справи здійснюється як за ініціативою відповідача, так і органів Антимонопольного комітету України. </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3. Врегулювання справи може бути розпочато до прийняття рішення у справі органом Антимонопольного комітету України.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4. З метою врегулювання справи орган Антимонопольного комітету України в справі про порушення конкуренційного законодавства повідомляє відповідачу про обсяг порушення, яке є предметом врегулювання, зокрема про діяння, які можуть бути кваліфіковані як порушення, товари (товарні ринки) та географічні межі товарних ринків, що охоплені порушенням, тривалість (період) порушення, попередньо визначений  розмір штрафу, який може бути накладений у разі незастосування процедури врегулювання справи.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 xml:space="preserve">5. У разі досягнення між відповідачем та органом Антимонопольного комітету України згоди щодо визначення істотних умов врегулювання справи, зокрема, вказаних у пункті другому частини сьомої цієї статті Закону, орган Антимонопольного комітету України протягом п’ятнадцяти днів надсилає </w:t>
      </w:r>
      <w:r w:rsidRPr="00F43F98">
        <w:rPr>
          <w:rFonts w:ascii="Times New Roman" w:hAnsi="Times New Roman"/>
          <w:color w:val="000000" w:themeColor="text1"/>
          <w:sz w:val="28"/>
          <w:szCs w:val="28"/>
        </w:rPr>
        <w:lastRenderedPageBreak/>
        <w:t>відповідачу проект домовленості про врегулювання справи із зазначенням умов, щодо яких досягнуто згоди з відповідачем.</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6. Відповідач протягом двадцяти днів з дня надіслання йому проекту домовленості про врегулювання справи підписує її та надсилає органу Антимонопольного комітету України. У разі необхідності відповідач та орган Антимонопольного комітету України у вказаний строк можуть проводити додаткове узгодження змісту положень домовленості.</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7. Домовленість про врегулювання справи має містити, зокрема:</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1) відомості щодо:</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ознак порушення, щодо якого здійснюється врегулювання справи, включаючи товарні ринки;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інформації щодо суб'єкта порушення та юридичної відповідальності;</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2) істотні умови врегулювання справи: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зобов'язання відповідача сприяти розслідуванню порушення до прийняття рішення у справі;</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розмір штрафу, зменшений відповідно до 50 відсотків порівняно з розрахованим та обґрунтованим розміром штрафу, який мав бути накладений у випадку незастосування процедури врегулювання органом Антимонопольного комітету України;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інші обставини, щодо яких особа та орган Антимонопольного комітету України досягли згоди з метою врегулювання у заяві, справі;</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правові наслідки укладання домовленості про врегулювання справи для відповідача, передбачені частиною одинадцятою цієї статті.</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8. Одержання органом Антимонопольного комітету України підписаної відповідачем  домовленості про врегулювання справи є підставою для прийняття рішення у справі щодо цього відповідача  відповідно до умов домовленості про врегулювання справи.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9. Домовленість про врегулювання справи затверджується рішенням органу Антимонопольного комітету України.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10. Якщо домовленість про врегулювання справи укладено не з усіма особами, провадження у справі щодо відповідача (відповідачів), з якими врегульовано справу, може бути виділено в окреме провадження. Прийняте у такій справі рішення органом Антимонопольного комітету України вважається таким, що встановлює обставини порушення лише щодо тих відповідачів, відносно яких воно прийнято.</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lastRenderedPageBreak/>
        <w:t xml:space="preserve">11. Рішення органу Антимонопольного комітету України щодо затвердження домовленості про врегулювання справи повинно містити інформацію про обставини та умови врегулювання справи та підлягає оприлюдненню на офіційному веб-сайті Антимонопольного комітету України у десятиденний строк з дня його прийняття. </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12. Органи Антимонопольного комітету України припиняють процедуру врегулювання справи у разі недосягнення з відповідачем згоди щодо істотних умов домовленості, що містяться в пункті другому частини сьомої цієї статті Закону, та/або не надсилання відповідачем підписаної домовленості про врегулювання справи, та/або невиконання відповідачем домовленості про врегулювання справи.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Орган Антимонопольного комітету України письмово повідомляє відповідача про припинення процедури врегулювання справи та розміщує інформацію про це на офіційному веб-сайті Антимонопольного комітету України.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13. У разі недосягнення згоди щодо істотних умов домовленості про врегулювання справи, згода відповідача взяти участь у процедурі врегулювання справи, пояснення відповідача під час переговорів щодо врегулювання справи не розглядаються як визнання відповідачем вчинення порушення та не є доказом його вчинення.</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14. У разі прийняття органом Антимонопольного комітету рішення про затвердження домовленості про врегулювання справи шкода, завдана цим порушенням конкуренційного законодавства, відшкодовується відповідачем в порядку та у розмірі, передбаченими частиною четвертою статті 55-1 цього Закону.</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Стаття 46-2. Слухання у справах про порушення законодавства про захист економічної конкуренції</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1.</w:t>
      </w:r>
      <w:r w:rsidRPr="00F43F98">
        <w:rPr>
          <w:rFonts w:ascii="Times New Roman" w:hAnsi="Times New Roman"/>
          <w:color w:val="000000" w:themeColor="text1"/>
          <w:sz w:val="28"/>
          <w:szCs w:val="28"/>
        </w:rPr>
        <w:tab/>
        <w:t>З метою забезпечення реалізації особою, яка бере участь у справі, права на захист, створення умов для всебічного, повного та об'єктивного розгляду справи, до прийняття органом Антимонопольного комітету України рішення у справі за клопотанням такої особи або з власної ініціативи посадової особи органу Антимонопольного комітету України, яка відповідає за розгляд справи, проводяться слухання у справі.</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2. Про день, час і місце проведення слухання у справі особи, які беруть участь у справі, повідомляються не пізніше ніж за 15 днів до дати проведення слухання.</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3. Слухання проводиться відкрито, за винятком питань, при розгляді яких необхідним є обговорення інформації з обмеженим доступом. Особа, яка бере участь у справі, має право наводити доводи і докази щодо будь-яких обставин справи.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4. Слухання фіксується технічними засобами та відображається у протоколі. У протоколі, зокрема, зазначаються час початку за закінчення слухання, питання, які розглядалися, та основний зміст зауважень, пояснень та доводів, наданих учасниками слухання.</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lastRenderedPageBreak/>
        <w:t>5. Протокол слухання підписується посадовою особою органу Антимонопольного комітету України, яка брала участь у слуханнях, не пізніше ніж на десятий день після проведення слухання.</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6. Особи, які брали участь у слуханні, мають право отримати копію протоколу слухання протягом 5 днів з дня закінчення строку для підписання протоколу та протягом десяти днів з дня отримання копії протоколу надати зауваження щодо змісту протоколу, які додаються до протоколу.</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7. Докази та інформація, які були отримані у ході слухань, а також зауваження щодо змісту протоколу, є доказами у справі щодо яких органи Антимонопольного комітету України зобов’язані проводити оцінку та надавати висновки.»;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31) в статті 48:</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назву статті викласти  в новій редакції: «Стаття 48. Подання з попередніми висновками у справі. Рішення у справах про порушення конкуренційного законодавства»;</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частину першу замінити на нові частини в такій редакції:</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«1. За   результатами   збирання  та  аналізу  доказів  у  справі про порушення конкуренційного законодавства</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складається  подання  з  попередніми  висновками у справі, яке вноситься на розгляд  органів Антимонопольного комітету України, яким підвідомча справа, та надсилається сторонам у справі.</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 xml:space="preserve">2. Подання з попередніми висновками у справі про порушення конкуренційного законодавства, відповідальність за яке передбачає накладення штрафу на суб’єкт господарювання, об’єднання повинно містити інформацію: </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номер, дату і місце його затвердження;</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номер і дату розпорядження про початок розгляду справи;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номер справи;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прізвище, ім’я, по батькові посадової особи органу Антимонопольного комітету України, яка відповідає за розгляд справи та якою затверджено подання з попередніми висновками;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найменування, адреси місцезнаходження та податкові номери осіб, які беруть участь у розгляді справи;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найменування, адреси місцезнаходження і податкові номери експертів та перекладачів;</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 xml:space="preserve">опис процесуальних дій органу Антимонопольного комітету України, які були здійснені під час розгляду справи, зокрема, перелік вимог та поставлених питань, </w:t>
      </w:r>
      <w:r w:rsidRPr="00F43F98">
        <w:rPr>
          <w:rFonts w:ascii="Times New Roman" w:hAnsi="Times New Roman"/>
          <w:color w:val="000000" w:themeColor="text1"/>
          <w:sz w:val="28"/>
          <w:szCs w:val="28"/>
        </w:rPr>
        <w:lastRenderedPageBreak/>
        <w:t>перелік відповідей на вимоги та надана інформація, перелік отриманих клопотань і заяв та результати їх розгляду, проведені експертизи, перевірки, перелік зібраних доказів тощо;</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дії та рішення осіб, які беруть участь у розгляді справи, стосовно задіяних товарних ринків і щодо яких були виявлені ознаки порушення законодавства про захист економічної конкуренції;</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товарні межі кожного задіяного товарного ринку, який є об’єктом розгляду справи, зокрема:</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 xml:space="preserve">споживчі властивості, якісні  характеристики товарів (взаємозамінних товарів), які є об’єктами розгляду справи, тощо, </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опис товарів, які випускаються, постачаються, продаються, придбаваються (споживаються, використовуються) особами, які беруть участь у розгляді справи, а також взаємозамінних товарів,</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перелік продавців (постачальників, виробників), покупців (споживачів) товарів (взаємозамінних товарів), які є об’єктом розгляду справи,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висновки щодо товарних меж  ринку, який є об’єктом розгляду справи;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територіальні (географічні) межі кожного задіяного товарного ринку, який є об’єктом розгляду справи, зокрема:</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дані щодо території обороту, а також можливої (перспективної) території обороту товарів (взаємозамінних товарів), які є об’єктом розгляду справи, мінімальна та максимальна територія обороту товарів (взаємозамінних товарів), які є об’єктами розгляду справи,  висновки щодо території обороту товарів (взаємозамінних товарів), які є об’єктом розгляду справи;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часові межі кожного задіяного товарного ринку, який є об’єктом розгляду справи про порушення законодавства про захист економічної конкуренції, зокрема:</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 xml:space="preserve">оцінка доказів, що впливають на формування часових меж товарних ринків, та висновки щодо часових меж товарних ринків, які є об’єктом розгляду справи; </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структура пропозиції та попиту на товарних ринках, які є об’єктами розгляду справи;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обсяг товарів (взаємозамінних товарів), які обертаються на товарних ринках, які є об’єктом розгляду справи.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У тому числі:</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обсяг товару, який обертається на кожному товарному ринку, у натуральному та вартісному виразах,</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частка імпорту та експорту зокрема, осіб, які беруть участь у справі,</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lastRenderedPageBreak/>
        <w:t>оцінка впливу на імпорт та експорт будь-яких квот, тарифів або нетарифних торговельних бар'єрів,</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оцінка впливу на імпорт та експорт транспортних та інших витрат,</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опис виробництва, ціноутворення та способи реалізації товарів, що обертаються на товарних ринках,</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порівняння цін на відповідні товари в різних  територіальних (географічних) межах;</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визначення часток суб'єктів господарювання на кожному задіяному товарному ринку, що є об’єктом розгляду справи (окремо за кожний встановлений період часових меж, але не менше ніж три  фінансові роки до дати виявлення ознак порушення законодавства про захист економічної конкуренції);</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перелік основних конкурентів осіб, які беруть участь у справі, на задіяних товарних ринках,</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перелік потенційних конкурентів, покупців, які можуть продавати (постачати, виробляти), придбавати (споживати, використовувати) товари (взаємозамінні товари), які є об’єктом розгляду справи;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оцінку та висновки щодо бар'єрів вступу та виходу з товарного ринку (окремо за кожний з трьох останніх фінансових років до дати виявлення ознак порушення законодавства про захист економічної конкуренції);</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оцінку та висновки щодо кожної обставини справи (доказу), зібраної інформації в ході розгляду справи;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 xml:space="preserve">оцінку та висновки щодо впливу суб’єктів господарювання, об’єднань, органів влади, органів адміністративно-господарського управління та контролю на товарний ринок, який є об’єктом розгляду справи; </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оцінку та висновки щодо впливу (дій, рішень тощо) відповідача на товарний ринок (умови обороту товару, формування попиту та пропозиції, тощо) який є об’єктом розгляду справи;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опис, оцінку та висновки щодо здатності осіб впливати на умови конкуренції на ринку товару, а також ступінь впливу осіб, які беруть участь у справі на конкуренцію;</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опис дій відповідача (відповідачів), що підтверджує (спростовує) наявність вини у вчиненні порушення законодавства про захист економічної конкуренції;</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опис та висновки наявності (відсутності) причинно-наслідкового зв’язку між діями відповідача (відповідачів) на товарному ринку та наслідками, які визнаються порушенням законодавства про захист економічної конкуренції;</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lastRenderedPageBreak/>
        <w:t>висновки, що підтверджують (спростовують) недопущення, усунення чи обмеження конкуренції (ущемлення інтересів інших суб'єктів господарювання чи споживачів) відповідачем (відповідачами) на ринку товару, який є об’єктом розгляду справи;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проект рішення у справі.</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Інші вимоги до подання встановлюються нормативно-правовим актом Антимонопольного комітету України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 xml:space="preserve">3. Копії  подання  з  попередніми  висновками (або витяги з нього,  що  не  містять  інформації  з обмеженим доступом, а також визначеної відповідним державним уповноваженим, головою відділення інформації,  розголошення  якої може завдати шкоди інтересам інших </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осіб,  які  беруть  участь  у  справі,  або перешкодити подальшому розгляду  справи)  не  пізніше  ніж  за  шістдесят  днів до прийняття рішення   у   справі   надсилаються  сторонам;</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За клопотанням особи, яка бере участь у справі, строк надання заперечень (пояснень) на подання з попередніми висновками має бути продовжений на строк, який пропонує така особа, але не більше ніж на шість місяців від дати отримання подання з попередніми висновками.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4. Після  спливу строку надання заперечень (пояснень) на подання з попередніми висновками, посадова особа органу Антимонопольного комітету України, яка відповідає за розгляд справи, готує та передає уповноваженому органу Антимонопольного комітету України на прийняття рішення у справі:</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матеріали справи;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подання з попередніми висновками;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заперечення (пояснення) до подання з попередніми висновками;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аналіз та обґрунтування щодо заперечень (пояснень) на подання з попередніми висновками.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5. Після  спливу строку надання заперечень (пояснень) на подання з попередніми висновками, посадова особа органу Антимонопольного комітету України відповідальна за розгляд справи визначає дату засідання органу Антимонопольного комітету України до повноважень якого належить прийняття відповідного рішення у справі. Дата засідання органу Антимонопольного комітету України не може бути призначена раніше ніж через двадцять робочих днів після дати передання документів відповідно до частини п’ятої цієї статті Закону.</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 xml:space="preserve">6. Особи, які беруть участь у справі, повідомляються про дату, час та місце засідання органу Антимонопольного комітету України до повноважень якого </w:t>
      </w:r>
      <w:r w:rsidRPr="00F43F98">
        <w:rPr>
          <w:rFonts w:ascii="Times New Roman" w:hAnsi="Times New Roman"/>
          <w:color w:val="000000" w:themeColor="text1"/>
          <w:sz w:val="28"/>
          <w:szCs w:val="28"/>
        </w:rPr>
        <w:lastRenderedPageBreak/>
        <w:t>належить прийняття відповідного рішення у справі не менш ніж за п’ятнадцять робочих днів до дати такого засідання.</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7.</w:t>
      </w:r>
      <w:r w:rsidRPr="00F43F98">
        <w:rPr>
          <w:rFonts w:ascii="Times New Roman" w:hAnsi="Times New Roman"/>
          <w:color w:val="000000" w:themeColor="text1"/>
          <w:sz w:val="28"/>
          <w:szCs w:val="28"/>
        </w:rPr>
        <w:tab/>
        <w:t>Посадова особа органу Антимонопольного комітету України відповідальна за розгляд справи, за клопотанням особи, яка бере участь у справі, зобов’язана надати такій особі можливість ознайомитись з документами передбаченими частиною п’ятою цієї статті Закону.».</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8. За результатами розгляду справ про порушення конкуренційного законодавства органи Антимонопольного комітету України приймають рішення, в тому числі про:</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w:t>
      </w:r>
      <w:r w:rsidRPr="00F43F98">
        <w:rPr>
          <w:rFonts w:ascii="Times New Roman" w:hAnsi="Times New Roman"/>
          <w:color w:val="000000" w:themeColor="text1"/>
          <w:sz w:val="28"/>
          <w:szCs w:val="28"/>
        </w:rPr>
        <w:tab/>
        <w:t>визнання вчинення порушення конкуренційного законодавства;</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w:t>
      </w:r>
      <w:r w:rsidRPr="00F43F98">
        <w:rPr>
          <w:rFonts w:ascii="Times New Roman" w:hAnsi="Times New Roman"/>
          <w:color w:val="000000" w:themeColor="text1"/>
          <w:sz w:val="28"/>
          <w:szCs w:val="28"/>
        </w:rPr>
        <w:tab/>
        <w:t>припинення порушення конкуренційного законодавства;</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w:t>
      </w:r>
      <w:r w:rsidRPr="00F43F98">
        <w:rPr>
          <w:rFonts w:ascii="Times New Roman" w:hAnsi="Times New Roman"/>
          <w:color w:val="000000" w:themeColor="text1"/>
          <w:sz w:val="28"/>
          <w:szCs w:val="28"/>
        </w:rPr>
        <w:tab/>
        <w:t>зобов’язання органу влади, органу місцевого самоврядування, органу адміністративно-господарського управління та контролю скасувати або змінити прийняте ним рішення чи розірвати угоди, визнані антиконкурентними діями органів влади, органів місцевого самоврядування, органів адміністративно-господарського управління та контролю;</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w:t>
      </w:r>
      <w:r w:rsidRPr="00F43F98">
        <w:rPr>
          <w:rFonts w:ascii="Times New Roman" w:hAnsi="Times New Roman"/>
          <w:color w:val="000000" w:themeColor="text1"/>
          <w:sz w:val="28"/>
          <w:szCs w:val="28"/>
        </w:rPr>
        <w:tab/>
        <w:t>визнання суб’єкта господарювання таким, що займає монопольне (домінуюче) становище на ринку;</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w:t>
      </w:r>
      <w:r w:rsidRPr="00F43F98">
        <w:rPr>
          <w:rFonts w:ascii="Times New Roman" w:hAnsi="Times New Roman"/>
          <w:color w:val="000000" w:themeColor="text1"/>
          <w:sz w:val="28"/>
          <w:szCs w:val="28"/>
        </w:rPr>
        <w:tab/>
        <w:t>примусовий поділ суб’єкта господарювання;</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w:t>
      </w:r>
      <w:r w:rsidRPr="00F43F98">
        <w:rPr>
          <w:rFonts w:ascii="Times New Roman" w:hAnsi="Times New Roman"/>
          <w:color w:val="000000" w:themeColor="text1"/>
          <w:sz w:val="28"/>
          <w:szCs w:val="28"/>
        </w:rPr>
        <w:tab/>
        <w:t>накладення штрафу;</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w:t>
      </w:r>
      <w:r w:rsidRPr="00F43F98">
        <w:rPr>
          <w:rFonts w:ascii="Times New Roman" w:hAnsi="Times New Roman"/>
          <w:color w:val="000000" w:themeColor="text1"/>
          <w:sz w:val="28"/>
          <w:szCs w:val="28"/>
        </w:rPr>
        <w:tab/>
        <w:t>блокування цінних паперів;</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w:t>
      </w:r>
      <w:r w:rsidRPr="00F43F98">
        <w:rPr>
          <w:rFonts w:ascii="Times New Roman" w:hAnsi="Times New Roman"/>
          <w:color w:val="000000" w:themeColor="text1"/>
          <w:sz w:val="28"/>
          <w:szCs w:val="28"/>
        </w:rPr>
        <w:tab/>
        <w:t>усунення наслідків порушень конкуренційного законодавства, зокрема усунення чи пом’якшення негативного впливу узгоджених дій, концентрації суб’єктів господарювання на конкуренцію;</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w:t>
      </w:r>
      <w:r w:rsidRPr="00F43F98">
        <w:rPr>
          <w:rFonts w:ascii="Times New Roman" w:hAnsi="Times New Roman"/>
          <w:color w:val="000000" w:themeColor="text1"/>
          <w:sz w:val="28"/>
          <w:szCs w:val="28"/>
        </w:rPr>
        <w:tab/>
        <w:t xml:space="preserve">скасування дозволу на узгоджені дії у разі вчинення дій, заборонених згідно із статтею 19 цього Закону; </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w:t>
      </w:r>
      <w:r w:rsidRPr="00F43F98">
        <w:rPr>
          <w:rFonts w:ascii="Times New Roman" w:hAnsi="Times New Roman"/>
          <w:color w:val="000000" w:themeColor="text1"/>
          <w:sz w:val="28"/>
          <w:szCs w:val="28"/>
        </w:rPr>
        <w:tab/>
        <w:t xml:space="preserve">надання умовного звільнення від відповідальності або відмову у наданні умовного звільнення від відповідальності у випадках, передбачених частиною тринадцятою статті 6 цього Закону; </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w:t>
      </w:r>
      <w:r w:rsidRPr="00F43F98">
        <w:rPr>
          <w:rFonts w:ascii="Times New Roman" w:hAnsi="Times New Roman"/>
          <w:color w:val="000000" w:themeColor="text1"/>
          <w:sz w:val="28"/>
          <w:szCs w:val="28"/>
        </w:rPr>
        <w:tab/>
        <w:t xml:space="preserve">надання рекомендацій органу Антимонопольного комітету України, передбачених статтею 46 цього Закону; </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w:t>
      </w:r>
      <w:r w:rsidRPr="00F43F98">
        <w:rPr>
          <w:rFonts w:ascii="Times New Roman" w:hAnsi="Times New Roman"/>
          <w:color w:val="000000" w:themeColor="text1"/>
          <w:sz w:val="28"/>
          <w:szCs w:val="28"/>
        </w:rPr>
        <w:tab/>
        <w:t xml:space="preserve">затвердження домовленості про врегулювання справи, передбаченої статтею 46-1 цього Закону; </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lastRenderedPageBreak/>
        <w:t>-</w:t>
      </w:r>
      <w:r w:rsidRPr="00F43F98">
        <w:rPr>
          <w:rFonts w:ascii="Times New Roman" w:hAnsi="Times New Roman"/>
          <w:color w:val="000000" w:themeColor="text1"/>
          <w:sz w:val="28"/>
          <w:szCs w:val="28"/>
        </w:rPr>
        <w:tab/>
        <w:t>надання особі, яка бере участь у справі про порушення конкуренційного законодавства дозволу на ознайомлення з інформацією з обмеженим доступом, яка належить іншій особі (власнику інформації);</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w:t>
      </w:r>
      <w:r w:rsidRPr="00F43F98">
        <w:rPr>
          <w:rFonts w:ascii="Times New Roman" w:hAnsi="Times New Roman"/>
          <w:color w:val="000000" w:themeColor="text1"/>
          <w:sz w:val="28"/>
          <w:szCs w:val="28"/>
        </w:rPr>
        <w:tab/>
        <w:t xml:space="preserve">відмову особі, яка бере участь у справі про порушення конкуренційного законодавства в наданні дозволу на ознайомлення з інформацією з обмеженим доступом, яка належить іншій особі (власнику інформації); </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w:t>
      </w:r>
      <w:r w:rsidRPr="00F43F98">
        <w:rPr>
          <w:rFonts w:ascii="Times New Roman" w:hAnsi="Times New Roman"/>
          <w:color w:val="000000" w:themeColor="text1"/>
          <w:sz w:val="28"/>
          <w:szCs w:val="28"/>
        </w:rPr>
        <w:tab/>
        <w:t>запровадження конкуренційної комплаєнс-програми;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w:t>
      </w:r>
      <w:r w:rsidRPr="00F43F98">
        <w:rPr>
          <w:rFonts w:ascii="Times New Roman" w:hAnsi="Times New Roman"/>
          <w:color w:val="000000" w:themeColor="text1"/>
          <w:sz w:val="28"/>
          <w:szCs w:val="28"/>
        </w:rPr>
        <w:tab/>
        <w:t>закриття провадження у справі.</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 xml:space="preserve">9. Рішення органів Антимонопольного комітету України, зокрема, має містити: </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 фактичні обставини, встановлені органом Антимонопольного комітету України;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 xml:space="preserve">- зміст спірних правовідносин з посиланням на докази, на підставі яких встановлені ці обставини; </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 xml:space="preserve">- докази, відхилені органом Антимонопольного комітету України та мотиви їх відхилення; </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 xml:space="preserve">- норми права, які застосовані та мотиви їх застосування. </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10. Справи про порушення конкуренційного законодавства розглядаються органами Антимонопольного комітету України протягом розумного строку, але не пізніше ніж через три роки з дня прийняття розпорядження про початок розгляду справи.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11.  У разі проведення слухання, експертизи у справі, а також з метою забезпечення особам, які беруть участь у справі, достатнього строку для надання власної позиції щодо висновків, викладених у поданні з попередніми висновками у справі, державний уповноважений Антимонопольного комітету України, голова територіального відділення Антимонопольного комітету України мають продовжити строк розгляду справи за клопотанням особи, що бере участь у справі, але не більше ніж на один рік, про що письмово повідомляються особи, які беруть участь у справі.</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12. Якщо строк розгляду справи  продовжено органом Антимонопольного комітету України відповідно до частини 7 статті 48  Закону України "Про захист економічної конкуренції", строк розгляду такої справи складає чотири роки з дня прийняття розпорядження про початок розгляду справи, що є граничним строком розгляду справи.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13. Строк розгляду справи не може бути зупинений органом Антимонопольного комітету України.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lastRenderedPageBreak/>
        <w:t>14. Якщо протягом граничного строку розгляду справи органом Антимонопольного комітету України рішення не прийнято, справа підлягає закриттю у зв'язку з не</w:t>
      </w:r>
      <w:r>
        <w:rPr>
          <w:rFonts w:ascii="Times New Roman" w:hAnsi="Times New Roman"/>
          <w:color w:val="000000" w:themeColor="text1"/>
          <w:sz w:val="28"/>
          <w:szCs w:val="28"/>
        </w:rPr>
        <w:t xml:space="preserve"> </w:t>
      </w:r>
      <w:r w:rsidRPr="00F43F98">
        <w:rPr>
          <w:rFonts w:ascii="Times New Roman" w:hAnsi="Times New Roman"/>
          <w:color w:val="000000" w:themeColor="text1"/>
          <w:sz w:val="28"/>
          <w:szCs w:val="28"/>
        </w:rPr>
        <w:t>доведенням вчинення порушення без прийняття окремого рішення органом Антимонопольного комітету України. Після закінчення граничного строку розгляду справи органи Антимонопольного комітету України не мають права здійснювати розгляд справи про порушення законодавства про захист економічної конкуренції.»</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32) частину першу статті 50 доповнити новими пунктами такого змісту:</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 xml:space="preserve">«21) невиконання відповідачами у справах про порушення конкуренційного законодавства, передбаченими пунктами першим та другим цієї статті Закону рішення органу Антимонопольного комітету України щодо запровадження стосовно цих осіб конкуренційної комплаєнс-програми; </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22) невиконання відповідачами у справах про порушення конкуренційного законодавства, передбаченими пунктами першим та другим цієї статті Закону положень запровадженої комплаєнс-програми;»;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33) в статті 52:</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частину другу доповнити новими абзацами такого змісту:</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«пунктом 21 статті 50 цього Закону, накладається штраф у розмірі до 15000 неоподаткованих мінімумів доходів громадян;</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пунктом 22 статті 50 цього Закону, накладається штраф у розмірі до 15000 неоподаткованих мінімумів доходів громадян;»;</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в частині четвертій після слів «отримати переваги у конкуренції чи інші вигоди» доповнити словами «зокрема можливість впливати на діяльність інших юридичних та/або фізичних осіб, одержувати частини їх прибутку»;</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в частині четвертій слова «які вчинили наведені діяння (дії, бездіяльність) або отримали чи можуть отримати наведені вигоди. Під вигодою вважається, зокрема, можливість впливати на діяльність інших юридичних та/або фізичних осіб - суб’єктів господарювання, одержання частини їх прибутку» виключити;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в частині п’ятій слова «двадцять тисяч», «десяти тисяч», «двох тисяч» замінити словами «сорока тисяч», «двадцяти тисяч», «десяти тисяч» відповідно;</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доповнити новою частиною такого змісту:</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«8. У випадку врегулювання справи, передбаченого статтею 46-1 цього Закону  попередньо визначений розмір штрафу, який орган Антимонопольного комітету України повинен був визначити у разі незастосування дій щодо врегулювання справи  при прийнятті рішення у справі по суті, зменшується до 50 відсотків від попередньо визначеного розміру штрафу, якщо відбулося до прийняття рішення у справі органом Антимонопольного комітету України.»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lastRenderedPageBreak/>
        <w:t>34) доповнити новою статтею 52-1 такого змісту:</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«Стаття 52-1. Порядок визначення розміру штрафу</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1. Визначення розміру штрафу здійснюється шляхом:</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 xml:space="preserve"> -  визначення базового розміру штрафу для кожного відповідача; </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 xml:space="preserve"> - коригування розміру штрафу з урахуванням обтяжуючих та пом’якшуючих обставин. Розмір накладеного штрафу не може перевищувати меж, визначених у частинах другій, п’ятій  статті 52 цього Закону й частинах першій та другій статті 21 Закону України «Про захист від недобросовісної конкуренції»;</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 формування попередньо визначеного розміру штрафу.</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2. Попередньо визначений розмір штрафу зменшується до 20 відсотків у випадку надання доказів існування разом таких пом’якшуючих обставин :</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 відшкодування шкоди, завданої порушенням;</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 усунення наслідків порушення до прийняття відповідного рішення органу Антимонопольного комітету України;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 xml:space="preserve">3. Розмір штрафу зменшується у порядку та випадках, передбачених статтями 46-1 та 52-2 цього Закону. </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4. Порядок розрахунку розміру штрафу, що накладається за порушення конкуренційного законодавства,  встановлюється нормативно-правовим актом Антимонопольного комітету України.»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35) доповнити новою статтею 52-2 такого змісту:</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«Стаття 52-2. Підстави та порядок зменшення розміру штрафів за надання доказів вчинення антиконкурентних узгоджених дій</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1. Для інших осіб, крім передбачених частиною п’ятою статті 6 цього Закону, яких не може бути звільнено від відповідальності, але які звернулися до Антимонопольного комітету України із заявою про зменшення розміру штрафу та надали докази антиконкурентних узгоджених дій, що мають суттєве значення для прийняття рішення у справі, розмір штрафу зменшується органом Антимонопольного комітету України від попередньо розрахованого розміру штрафу залежно від черговості надання ними таких доказів:</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першій особі – на 50%,</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другій особі – на 30%,</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 xml:space="preserve">іншим особам – на 20%. </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lastRenderedPageBreak/>
        <w:t>Особа, якій було відмовлено у наданні умовного звільнення від відповідальності або звільнення від відповідальності, має право на зменшення розміру штрафу в порядку першої черги за умови виконання вимог, передбачених  пунктами першим та другим частини чотирнадцятої статті шостої цього Закону.</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2. Заява про звільнення від відповідальності подається у письмовій формі та повинна містити інформацію, яка має суттєве значення для прийняття рішення у справі відповідно до частини восьмої статті 6 цього Закону.</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3. Заява про зменшення розміру штрафу вручається заявником або його представником уповноваженій посадовій особі Антимонопольного комітету України, відповідальній за прийняття заяв про звільнення від відповідальності.</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Дата та час одержання таких заяв фіксуються уповноваженою посадовою особою Антимонопольного комітету України у протоколі. Копія протоколу відразу надається заявнику або його представнику.</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4. Після отримання заяви про зменшення розміру штрафу Антимонопольний комітет України протягом 5 днів з дня отримання такої заяви приймає рішення про:</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надання умовного зменшення розміру штрафу із зазначенням черговості надання заяви та розміру, на який може бути зменшено штраф – якщо отримана заява містить докази антиконкурентних узгоджених дій, що мають суттєве значення для прийняття рішення у справі відповідно до частини восьмої статті 6 цього Закону, із зазначенням передбачених частиною чотирнадцятою статті 6 цього Закону обов'язків особи, за умови виконання яких таке зменшення гарантується;</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обґрунтовану відмову заявнику у наданні умовного зменшення – якщо отримана заява не відповідає вимогам частини восьмої статті 6 цього Закону.</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5. Особі, якій надано умовне зменшення розміру штрафу, таке зменшення враховується при визначні розміру штрафу при прийнятті рішення у справі за умови дотримання особою вимог, передбачених частиною чотирнадцятою статті 6 цього Закону, про що Антимонопольним комітетом України зазначається у рішенні, прийнятому за результатами розгляду справи.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6. У випадку, якщо участь у антиконкурентних узгоджених діях брали інші юридичні та/або фізичні особи - суб'єкти господарювання, пов'язані відносинами контролю із заявником, штраф зменшується всім таким особам як єдиному суб'єкту господарювання.</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7. У випадку, якщо особа не дотримується вимог, передбачених частиною чотирнадцятою статті 6 цього Закону, їй не може бути зменшено розмір штрафу в порядку, передбаченому цією статтею.</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8. У випадку прийняття Антимонопольним комітетом України рішення про відмову у наданні умовного зменшення розміру штрафу заявник може відкликати свою заяву.</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lastRenderedPageBreak/>
        <w:t>Відкликання заяви не перешкоджає реалізації Антимонопольним комітетом України повноважень, передбачених Законом України "Про Антимонопольний комітет України", щодо отримання відповідної інформації.</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9. Обставини співпраці особи з Антимонопольним комітетом України під час розслідування справи, в тому числі про те, які надані нею докази стали підставою для зменшення розміру штрафу, зазначаються Антимонопольним комітетом України у рішенні, прийнятому за результатами розгляду справи. Інформація про це розміщується на офіційному веб-сайті Антимонопольного комітету України.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10. Особа, якій зменшено розмір штрафу, відшкодовує шкоду, заподіяну таким порушенням іншим особам в розмірі завданої шкоди відповідно до частини четвертої статті 55-1 цього Закону.»;</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36) статтю 53 викласти в новій редакції:</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«Стаття 53. Примусовий поділ</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1. Якщо суб’єкт господарювання, об’єднання продовжує антиконкурентні узгоджені дії або зловживання монопольним (домінуючим) становищем на ринку після прийняття органом Антимонопольного комітету України рішення про припинення цих дій, Антимонопольний комітет України має право прийняти рішення про примусовий поділ цього суб’єкта господарювання, об’єднання.</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 xml:space="preserve">2.Примусовий поділ не застосовується у разі: </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неможливості організаційного або територіального відокремлення підприємств, структурних підрозділів чи структурних одиниць;</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 xml:space="preserve">наявності тісного технологічного зв’язку підприємств, структурних підрозділів чи структурних одиниць (якщо обсяг продукції, яка вживається суб’єктом господарювання, перевищує тридцять відсотків валового обсягу продукції підприємства, структурного підрозділу чи структурної одиниці); </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якщо тривалість антиконкурентних узгоджених дій або зловживання монопольним (домінуючим) становищем на ринку з їх початку і до прийняття Антимонопольним комітетом України рішення про припинення цих дій становить менше одного року.</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 xml:space="preserve">3. Рішення Антимонопольного комітету України про примусовий поділ суб’єкта господарювання, об’єднання підлягає виконанню у встановлений строк, який не може бути меншим одного року. </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4. Реорганізація суб’єкта господарювання, об’єднання, що підлягає примусовому поділу, здійснюється на його розсуд за умови усунення монопольного (домінуючого) становища цього суб’єкта господарювання, об’єднання на ринку.»;</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37) статтю 55 викласти в новій редакції:</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lastRenderedPageBreak/>
        <w:t>«Стаття 55. Право на звернення до суду у випадку порушення конкуренційного законодавства</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1. Особи, яким завдано шкоду внаслідок порушення конкуренційного законодавства, можуть звернутися з позовом до господарського суду, пред`явивши одну або декілька з наступних вимог:</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a) встановлення порушення конкуренційного законодавства;</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б) припинення порушення та заборона дій (бездіяльності), що становлять порушення конкуренційного законодавства;</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в) припинення поведінки, що створює загрозу обмеження або спотворення конкуренції;</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г) відшкодування збитків, завданих порушенням конкуренційного законодавства.</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2. Доведення факту порушення конкуренційного законодавства є обов'язком сторони, яка заявляє про правопорушення.»;</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38) доповнити новою статтями 55-1, 55-2 такого змісту:</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 xml:space="preserve">«Стаття 55-1. Відповідальність за шкоду, завдану порушенням  конкуренційного законодавства </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1. Відповідальність за шкоду, завдану порушеннями конкуренційного законодавства, передбаченими пунктами 1, 2, 5, 10, 12, 18, 19  статті 50 цього Закону, регулюється загальними положеннями законодавства України про відшкодування шкоди з урахуванням положень статей 55, 55-1, 55-2 цього Закону.</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2. Відмова від права на відшкодування шкоди, завданої порушенням конкуренційного законодавства, є недійсною.</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3. Шкода, завдана порушеннями конкуренційного законодавства, передбаченими пунктами 1, 2, 5, 10, 12, 18, 19 статті 50 цього Закону, крім випадків звільнення від відповідальності, передбачених частиною п’ятою, пунктом першим частини тринадцятої, частиною шістнадцятою та частиною дев’ятнадцятою статті 6 цього Закону, яким зменшено розмір штрафу за надання доказів вчинення антиконкурентних узгоджених дій відповідно до частини першої статті 52-2 цього Закону, або врегулювання справи, передбачених частинами першою та дев’ятою статті 46-1 цього Закону, відшкодовується особою, що вчинила порушення, у подвійному розмірі завданої шкоди.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 xml:space="preserve">4. Шкода, завдана суб’єктами господарювання, які звільнені від відповідальності відповідно до частини п’ятої, пункту першого частини тринадцятої, частини шістнадцятої та частини дев’ятнадцятої статті 6 цього Закону, або яким зменшено розмір штрафу за надання доказів вчинення антиконкурентних узгоджених дій відповідно до частини першої статті 52-2 цього Закону, або з якими </w:t>
      </w:r>
      <w:r w:rsidRPr="00F43F98">
        <w:rPr>
          <w:rFonts w:ascii="Times New Roman" w:hAnsi="Times New Roman"/>
          <w:color w:val="000000" w:themeColor="text1"/>
          <w:sz w:val="28"/>
          <w:szCs w:val="28"/>
        </w:rPr>
        <w:lastRenderedPageBreak/>
        <w:t>органом Антимонопольного комітету України досягнуто врегулювання справи відповідно до частин першої та дев’ятої статті 46-1 цього Закону, відшкодовується особам, яким завдано шкоду в розмірі завданої шкоди.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Стаття 55-2. Відшкодування шкоди, завданої різницею в ціні товару, спричиненою порушенням конкуренційного законодавства</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1. Право на відшкодування шкоди, завданої порушенням конкуренційного законодавства, мають прямі споживачі (постачальники, покупці) особи, яка визнана такою, що вчинила порушення конкуренційного законодавства. При цьому, розмір відшкодування не може перевищувати шкоду, завдану порушенням конкретній особі, яка заявляє про завдану шкоду, а сумарне відшкодування на кожному рівні товарного обігу не може перевищувати обсягу реальної шкоди завданої порушенням конкуренційного законодавства саме на цьому рівні товарного обігу (покупець, дистриб’ютор, споживач), крім випадків, передбачених частиною третьою статті 55-1 цього Закону.</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2. Доведення факту збитків, неодержаного прибутку чи будь-яких інших збитків, спричинених різницею між ціною товару, встановленою внаслідок порушення конкуренційного законодавства, і ціною, яка б існувала за відсутності правопорушення, покладається на сторону, що заявляє про такі збитки.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 xml:space="preserve">3. Якщо заявлена шкода стосується збитків, завданих встановленням різниці між ціною товару внаслідок порушення конкуренційного законодавства, і ціною, яка б існувала за відсутності такого порушення, особа, яка визнана такою, що вчинила порушення конкуренційного законодавства має довести, що такі збитки не були перекладені, в повному обсязі чи в певній частині, на інших осіб. </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4. У разі порушення конкуренційного законодавства, передбаченого  пунктами першим та другим статті 50 цього Закону, розмір збитків, завданих  різницею між ціною товару, встановленою внаслідок порушення конкуренційного законодавства, і ціною, яка б існувала за відсутності такого порушення, дорівнює 10% ціни, встановленої внаслідок порушення конкуренційного законодавства, крім випадків доведення більшого розміру збитків особою, якій завдано шкоду, або меншого розміру збитків особою, яка визнана такою, що вчинила порушення конкуренційного законодавства.»;</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39) в статті 56:</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частину другу доповнити новим абзацом такого змісту:</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«Рішення органів Антимонопольного комітету України, за результатами розгляду справи про порушення конкуренційного законодавства набирають законної сили після закінчення строку на їх оскарження, якщо позов до суду про оскарження рішення не подавався, або з набранням законної сили рішенням суду, яким відмовлено в задоволенні позову щодо визнання рішення органу Антимонопольного комітету України недійсним.»;</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частину п’яту, сьому, восьму виключити;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lastRenderedPageBreak/>
        <w:t>в частині шостій слова «та пені» виключити;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доповнити новою частиною сьомою такого змісту:</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 xml:space="preserve">«7. Приймаючи рішення у справах про порушення конкуренційного законодавства, передбачені пунктами першим та другим  статті 50 цього Закону, орган Антимонопольного комітету України може встановити вимоги до суб’єкта господарювання – відповідача у справі щодо запровадження стосовно цього суб’єкта господарювання конкуренційної комплаєнс-програми, яка, зокрема, включатиме: </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 зобов’язання суб’єкта господарювання - відповідача у тримісячний строк з дня набуття чинності відповідного рішення органу Антимонопольного комітету України розробити та запровадити конкуренційну комплаєнс-програму або внести зміни до чинної конкуренційної комплаєнс-програми. Конкуренційна комплаєнс-програма  встановлюється органом Антимонопольного комітету України на строк від п’яти до десяти років з дня її запровадження.»;</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40) частину першу статті 60 викласти в новій редакції:</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«1. Заявник, відповідач, третя особа мають право оскаржити дії, бездіяльність, розпорядження та рішення органів Антимонопольного комітету України, а також посадових осіб органів Антимонопольного комітету України, повністю або частково до господарського суду у шестимісячний строк з дня одержання розпорядження або рішення, одержання інформації про дії або бездіяльність органів Антимонопольного комітету України, а також посадових осіб органів Антимонопольного комітету України.»;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41) в статті 61:</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в частині першій слова «законодавства про захист економічної конкуренції» замінити словами «конкуренційного законодавства»;</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доповнити новими частинами такого змісту:</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«3. Повноваження Антимонопольного комітету України не перешкоджають застосуванню норм цього Закону безпосередньо господарським судом у порядку здійснення господарського судочинства із урахуванням положень цього Закону.</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4. Особи, яким завдано шкоду внаслідок порушення конкуренційного законодавства, можуть звернутись до господарського суду з одним позовом, об’єднавши свої позовні вимоги з дотриманням норм чинного господарського процесуального законодавства України.»;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3. У Законі України «Про захист від недобросовісної конкуренції» (Відомості Верховної Ради України (ВВР), 1996, № 36, ст.164):</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1) в статті 21:</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lastRenderedPageBreak/>
        <w:t>частину другу після слів «голови його територіального відділення» доповнити словами «та/або Господарського суду»;</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частину третю після слів «Накладення штрафу здійснюється» доповнити словами «Антимонопольним комітетом України та/або Господарським судом»;</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2) в частині першій статті 24 слова «суду із позовом про її відшкодування» замінити словами «Антимонопольного комітету України із заявою та/або до Господарського суду із позовом про її відшкодування»;</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3) частину першу статті 26 після слів «органи Антимонопольного комітету України» доповнити словами «та/або Господарський суд»;</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4) статтю 27 викласти в новій редакції:</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«Стаття 27. Процесуальні засади діяльності органів Антимонопольного комітету України та Господарського суду щодо захисту від недобросовісної конкуренції</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Процесуальні засади діяльності органів Антимонопольного комітету України щодо захисту від недобросовісної конкуренції регулюються законодавством про захист економічної конкуренції та цим Законом.</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Процесуальні засади діяльності Господарського суду щодо захисту від недобросовісної конкуренції регулюються Господарським процесуальним кодексом України та цим Законом.»;</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5) в статті 28:</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частину першу після слів «його територіальних відділень» доповнити словами «та/або до Господарського суду»;</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частину другу після слів «орган Антимонопольного комітету України» доповнити словами «та/або Господарський суд»;</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6) частину третю статті 28-1 після слів «Антимонопольного комітету України» доповнити словами «та/або Господарським судом»;</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7) статті 29, 30 виключити;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4. У Законі України «Про державну реєстрацію юридичних осіб, фізичних осіб - підприємців та громадських формувань» (Відомості Верховної Ради України 2003 р., № 31, ст. 263, з наступними змінами):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1) в абзаці другому частини сьомої статті 11 після слова «корупції» доповнити словами «та Антимонопольному комітету України, його територіальним відділенням»;</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5. У Законі України «Про державну допомогу суб’єктам господарювання» (Відомості Верховної Ради (ВВР), 2014, № 34, ст.1173):</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1) в частині першій статті 17 слова «окружного адміністративного суду, територіальна юрисдикція якого поширюється на місто Київ» замінити словами «господарського суду»;</w:t>
      </w:r>
    </w:p>
    <w:p w:rsid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2) в частині другій слова «адміністративним судом» замінити словами «господарським судом»;</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6. У Законі України «Про Кабінет Міністрів України» (Відомості Верховної Ради (ВВР), 2014, № 13, ст.222):</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1) пункт 3 частини першої статті 2 після слів «бюджетної, фінансової» доповнити словом «конкуренційної»;</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2) пункт 4 частини першої статті 2 після слів «охорони довкілля» доповнити словами «розвитку економічної конкуренції»;</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4) в першому абзаці пункту 1 частини першої статті 20 слова «трудових відносин, зайнятості населення, трудової міграції, оплати та охорони праці» виключити;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5) в шостому абзаці пункту 1 частини першої статті 20 слова «демонополізації та антимонопольного регулювання економіки» включити;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6) частину першу статті 30 після слів «охорони довкілля» доповнити словами «розвитку економічної конкуренції»;</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7) частину першу статті 38 після слів «Національним банком України» доповнити словами «Антимонопольним комітетом України»;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7. У Законі України «Про центральні органи виконавчої влади» (Відомості Верховної Ради України (ВВР), 2011, № 38, ст.385):</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1) назву статті 24 викласти в новій редакції: «Стаття 24. Фонд державного майна України, Державний комітет телебачення і радіомовлення України та інші центральні органи виконавчої влади зі спеціальним статусом»;</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2) в абзаці першому частини першої статті 24 слова «Антимонопольний комітет України», «Національна комісія, що здійснює державне регулювання у сферах енергетики та комунальних послуг» виключити;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lastRenderedPageBreak/>
        <w:t>3) в абзаці другому частини другої статті 24 слова «Заступники Голови Антимонопольного комітету України» виключити;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5) в частині 3 статті 24 слова «Антимонопольного комітету України» виключити;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6) в частині четвертій статті 24 слова «Антимонопольний комітет України» виключити.</w:t>
      </w:r>
    </w:p>
    <w:p w:rsidR="00F43F98" w:rsidRPr="00F43F98" w:rsidRDefault="00F43F98" w:rsidP="00F43F98">
      <w:pPr>
        <w:pStyle w:val="a3"/>
        <w:spacing w:before="100" w:beforeAutospacing="1" w:after="100" w:afterAutospacing="1"/>
        <w:ind w:firstLine="0"/>
        <w:rPr>
          <w:rFonts w:ascii="Times New Roman" w:hAnsi="Times New Roman"/>
          <w:color w:val="000000" w:themeColor="text1"/>
          <w:sz w:val="28"/>
          <w:szCs w:val="28"/>
        </w:rPr>
      </w:pP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 xml:space="preserve">ІІ. Прикінцеві </w:t>
      </w:r>
      <w:r>
        <w:rPr>
          <w:rFonts w:ascii="Times New Roman" w:hAnsi="Times New Roman"/>
          <w:color w:val="000000" w:themeColor="text1"/>
          <w:sz w:val="28"/>
          <w:szCs w:val="28"/>
        </w:rPr>
        <w:t xml:space="preserve">та перехідні </w:t>
      </w:r>
      <w:r w:rsidRPr="00F43F98">
        <w:rPr>
          <w:rFonts w:ascii="Times New Roman" w:hAnsi="Times New Roman"/>
          <w:color w:val="000000" w:themeColor="text1"/>
          <w:sz w:val="28"/>
          <w:szCs w:val="28"/>
        </w:rPr>
        <w:t>положення</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 xml:space="preserve">1. </w:t>
      </w:r>
      <w:r>
        <w:rPr>
          <w:rFonts w:ascii="Times New Roman" w:hAnsi="Times New Roman"/>
          <w:color w:val="000000" w:themeColor="text1"/>
          <w:sz w:val="28"/>
          <w:szCs w:val="28"/>
        </w:rPr>
        <w:t>Внести наступні зміни до Господарського процесуального кодексу</w:t>
      </w:r>
      <w:r w:rsidRPr="00F43F98">
        <w:rPr>
          <w:rFonts w:ascii="Times New Roman" w:hAnsi="Times New Roman"/>
          <w:color w:val="000000" w:themeColor="text1"/>
          <w:sz w:val="28"/>
          <w:szCs w:val="28"/>
        </w:rPr>
        <w:t xml:space="preserve"> України (Відомості Верховної Ради України, 1992 р., № 6, ст. 56 з наступними змінами):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1) у пункті 7 частини першої статті 20 слова «що виникають з відносин, пов’язаних із» замінити словами «які виникають із відносин, пов’язаних із   застосуванням конкуренційного законодавства, зокрема проведенням дослідження ринку, визначенням меж товарного ринку, а також становища, в тому числі монопольного (домінуючого), суб’єктів господарювання на цьому ринку; порушеннями конкуренційного законодавства; відшкодуванням шкоди, завданої порушеннями конкуренційного законодавства, зокрема вчинення антиконкурентних узгоджених дій; накладенням або зміною розміру штрафу за порушення конкуренційного законодавства;  зверненням Голови Антимонопольного комітету України про надання дозволу на перевірку суб’єкта господарювання, об</w:t>
      </w:r>
      <w:r>
        <w:rPr>
          <w:rFonts w:ascii="Times New Roman" w:hAnsi="Times New Roman"/>
          <w:color w:val="000000" w:themeColor="text1"/>
          <w:sz w:val="28"/>
          <w:szCs w:val="28"/>
        </w:rPr>
        <w:t>’єднання у розслідуваннях органу</w:t>
      </w:r>
      <w:r w:rsidRPr="00F43F98">
        <w:rPr>
          <w:rFonts w:ascii="Times New Roman" w:hAnsi="Times New Roman"/>
          <w:color w:val="000000" w:themeColor="text1"/>
          <w:sz w:val="28"/>
          <w:szCs w:val="28"/>
        </w:rPr>
        <w:t xml:space="preserve"> Антимонопольного комітету України щодо антиконкурентних узгоджених дій суб’єктів господарювання, зловживання монопольним (домінуючим) становищем на ринку; пов’язаних з реалізацією особами, які беруть участь у справі про порушення конкуренційного законодавства, права на ознайомлення з матеріалами справи; діями чи бездіяльністю посадових осіб Антимонопольного комітету України під час проведення перевірки Антимонопольним комітетом України суб’єктів господарювання здійснення інших повноважень органів та посадових осіб Антимонопольного комітету України»;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2) статтю 238 доповнити новою частиною такого змісту:</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 xml:space="preserve">«13. Суд, приймаючи рішення у спорах, які виникають з відносин, пов’язаних із застосуванням конкуренційного законодавства, зокрема проведенням дослідження ринку, визначенням меж товарного ринку, а також становища, в тому числі монопольного (домінуючого) суб’єктів господарювання на цьому ринку, порушеннями конкуренційного законодавства, зокрема вчинення антиконкурентних узгоджених дій, відшкодуванням шкоди, завданої порушеннями конкуренційного законодавства, може зазначити у рішенні про визнання рішення органу Антимонопольного комітету України у справах про порушення конкуренційного законодавства, державну допомогу суб’єктам господарювання недійсним повністю або частково, зміну (зменшення або збільшення) штрафу за порушення конкуренційного законодавства, переглянути рішення органу </w:t>
      </w:r>
      <w:r w:rsidRPr="00F43F98">
        <w:rPr>
          <w:rFonts w:ascii="Times New Roman" w:hAnsi="Times New Roman"/>
          <w:color w:val="000000" w:themeColor="text1"/>
          <w:sz w:val="28"/>
          <w:szCs w:val="28"/>
        </w:rPr>
        <w:lastRenderedPageBreak/>
        <w:t>Антимонопольного комітету України, визначити розмір відшкодування шкоди враховуючи норми цього та Цивільного кодексу України.»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3)  пункт 5 частини четвертої статті 247 викласти в новій редакції:</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«5) у спорах, що виникають з відносин, пов’язаних із застосуванням конкуренційного законодавства, зокрема проведенням дослідження ринку, визначенням меж товарного ринку, а також становища, в тому числі монопольного (домінуючого), суб’єктів господарювання на цьому ринку; порушеннями конкуренційного законодавства, зокрема вчинення антиконкурентних узгоджених дій; відшкодуванням шкоди, завданої порушеннями конкуренційного законодавства; накладенням або зміною розміру штрафу за порушення конкуренційного законодавства;  зверненням Голови Антимонопольного комітету України про надання дозволу на перевірку суб’єкта господарювання, об’єднання у розслідуваннях органу Антимонопольного комітету України щодо антиконкурентних узгоджених дій суб’єктів господарювання, зловживання монопольним (домінуючим) становищем на ринку; пов’язаних з реалізацією особами, які беруть участь у справі про порушення конкуренційного законодавства, права на ознайомлення з матеріалами справи; діями чи бездіяльністю посадових осіб Антимонопольного комітету України під час проведення перевірки Антимонопольним комітетом України суб’єктів господарювання, передбаченим статтею 44 Закону України «Про захист економічної конкуренції», а також здійснення інших повноважень органів та посадових осіб Антимонопольного комітету України; оскарженням рішень уповноваженого органу в сфері державної допомоги суб’єктам господарювання;»;</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4) доповнити новим розділом ІІ-1 такого змісту:</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«Розділ ІІ-1. Ко</w:t>
      </w:r>
      <w:r>
        <w:rPr>
          <w:rFonts w:ascii="Times New Roman" w:hAnsi="Times New Roman"/>
          <w:color w:val="000000" w:themeColor="text1"/>
          <w:sz w:val="28"/>
          <w:szCs w:val="28"/>
        </w:rPr>
        <w:t>нкуренційно-наказне провадження</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Стаття 160-1. Судово-конкуренційний наказ</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1.</w:t>
      </w:r>
      <w:r w:rsidRPr="00F43F98">
        <w:rPr>
          <w:rFonts w:ascii="Times New Roman" w:hAnsi="Times New Roman"/>
          <w:color w:val="000000" w:themeColor="text1"/>
          <w:sz w:val="28"/>
          <w:szCs w:val="28"/>
        </w:rPr>
        <w:tab/>
        <w:t xml:space="preserve">Судово-конкуренційний наказ є формою судового рішення, що видається судом за результатами розгляду вимог, передбачених статтею 160-2 цього Кодексу. </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2.</w:t>
      </w:r>
      <w:r w:rsidRPr="00F43F98">
        <w:rPr>
          <w:rFonts w:ascii="Times New Roman" w:hAnsi="Times New Roman"/>
          <w:color w:val="000000" w:themeColor="text1"/>
          <w:sz w:val="28"/>
          <w:szCs w:val="28"/>
        </w:rPr>
        <w:tab/>
        <w:t>Із заявою про видачу судово-конкуренційного наказу може звернутися особа, якій належить право вимоги.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3.</w:t>
      </w:r>
      <w:r w:rsidRPr="00F43F98">
        <w:rPr>
          <w:rFonts w:ascii="Times New Roman" w:hAnsi="Times New Roman"/>
          <w:color w:val="000000" w:themeColor="text1"/>
          <w:sz w:val="28"/>
          <w:szCs w:val="28"/>
        </w:rPr>
        <w:tab/>
        <w:t xml:space="preserve">Судово-конкуренційний наказ виконується за правилами, встановленими законом для виконання судових рішень. </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4.</w:t>
      </w:r>
      <w:r w:rsidRPr="00F43F98">
        <w:rPr>
          <w:rFonts w:ascii="Times New Roman" w:hAnsi="Times New Roman"/>
          <w:color w:val="000000" w:themeColor="text1"/>
          <w:sz w:val="28"/>
          <w:szCs w:val="28"/>
        </w:rPr>
        <w:tab/>
        <w:t>Судово-конкуренційний наказ видається для встановлення автентичності вилучених оригіналів документів нез</w:t>
      </w:r>
      <w:r>
        <w:rPr>
          <w:rFonts w:ascii="Times New Roman" w:hAnsi="Times New Roman"/>
          <w:color w:val="000000" w:themeColor="text1"/>
          <w:sz w:val="28"/>
          <w:szCs w:val="28"/>
        </w:rPr>
        <w:t>алежно від їх місцезнаходження.</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Стаття 160-2. Суб’єкти, яким видається судово-конкуренційний наказ</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1.</w:t>
      </w:r>
      <w:r w:rsidRPr="00F43F98">
        <w:rPr>
          <w:rFonts w:ascii="Times New Roman" w:hAnsi="Times New Roman"/>
          <w:color w:val="000000" w:themeColor="text1"/>
          <w:sz w:val="28"/>
          <w:szCs w:val="28"/>
        </w:rPr>
        <w:tab/>
        <w:t xml:space="preserve">Судово-конкуренційний наказ може бути видано за заявою: </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lastRenderedPageBreak/>
        <w:t>1)</w:t>
      </w:r>
      <w:r w:rsidRPr="00F43F98">
        <w:rPr>
          <w:rFonts w:ascii="Times New Roman" w:hAnsi="Times New Roman"/>
          <w:color w:val="000000" w:themeColor="text1"/>
          <w:sz w:val="28"/>
          <w:szCs w:val="28"/>
        </w:rPr>
        <w:tab/>
        <w:t>Голови Антимонопольного комітету України після видачі розпорядження про початок розслідування у справах про порушення конкуренційного законодавства, про надання доступу до хмарних сховищ, систем баз даних суб’єкта господарювання та/або інформації від надавача послуг  інтернет та/або мобільного зв’язку незалежно від їх місцезнаходження;</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2)</w:t>
      </w:r>
      <w:r w:rsidRPr="00F43F98">
        <w:rPr>
          <w:rFonts w:ascii="Times New Roman" w:hAnsi="Times New Roman"/>
          <w:color w:val="000000" w:themeColor="text1"/>
          <w:sz w:val="28"/>
          <w:szCs w:val="28"/>
        </w:rPr>
        <w:tab/>
        <w:t>особи щодо надання права на ознайомлення з інформацією з обмеженим доступом у справі про порушення конкуренційного законодавства у випадках, передбачених абзацом третім пункту третього частини першої статті 40 Закону України «Про захист економічної конкуренції», якщо органом Антимонопольного комітету України відмовлено в ознайомленні з відповідною інформацією з обмеженим доступом;</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3)</w:t>
      </w:r>
      <w:r w:rsidRPr="00F43F98">
        <w:rPr>
          <w:rFonts w:ascii="Times New Roman" w:hAnsi="Times New Roman"/>
          <w:color w:val="000000" w:themeColor="text1"/>
          <w:sz w:val="28"/>
          <w:szCs w:val="28"/>
        </w:rPr>
        <w:tab/>
        <w:t xml:space="preserve">особи, яка є власником інформації з обмеженим доступом, якщо рішенням органу Антимонопольного комітету України відповідно до абзацу третього пункту третього частини першої статті 40 Закону «Про захист економічної конкуренції» надано дозвіл іншій особі на ознайомлення з цією інформацією з обмеженим доступом у справі про порушення конкуренційного законодавства; </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4) особи, щодо оскарження розпоряджень, рішень органів Антимонопольного комітету України, дій чи бездіяльності посадових осіб Антимонопольного комітету України під час проведення Антимонопольним комітетом України перевірки суб’єктів господарювання в порядку, передбаченому статтею 44 Закону України «Про захист економічної конкуренції», здійснення інших повноважень органів та посадових осіб Ант</w:t>
      </w:r>
      <w:r>
        <w:rPr>
          <w:rFonts w:ascii="Times New Roman" w:hAnsi="Times New Roman"/>
          <w:color w:val="000000" w:themeColor="text1"/>
          <w:sz w:val="28"/>
          <w:szCs w:val="28"/>
        </w:rPr>
        <w:t>имонопольного комітету України.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Стаття 160-3. Підсудність</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1.</w:t>
      </w:r>
      <w:r w:rsidRPr="00F43F98">
        <w:rPr>
          <w:rFonts w:ascii="Times New Roman" w:hAnsi="Times New Roman"/>
          <w:color w:val="000000" w:themeColor="text1"/>
          <w:sz w:val="28"/>
          <w:szCs w:val="28"/>
        </w:rPr>
        <w:tab/>
        <w:t>Заява про видачу судово-конкуренційного наказу подається до господарського су</w:t>
      </w:r>
      <w:r>
        <w:rPr>
          <w:rFonts w:ascii="Times New Roman" w:hAnsi="Times New Roman"/>
          <w:color w:val="000000" w:themeColor="text1"/>
          <w:sz w:val="28"/>
          <w:szCs w:val="28"/>
        </w:rPr>
        <w:t xml:space="preserve">ду. </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Стаття 160-4. Форма і зміст заяви про видачу судово-конкуренційного наказу</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1.</w:t>
      </w:r>
      <w:r w:rsidRPr="00F43F98">
        <w:rPr>
          <w:rFonts w:ascii="Times New Roman" w:hAnsi="Times New Roman"/>
          <w:color w:val="000000" w:themeColor="text1"/>
          <w:sz w:val="28"/>
          <w:szCs w:val="28"/>
        </w:rPr>
        <w:tab/>
        <w:t xml:space="preserve">Заява про видачу судово-конкуренційного наказу подається до суду в письмовій формі та підписується: </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1)</w:t>
      </w:r>
      <w:r w:rsidRPr="00F43F98">
        <w:rPr>
          <w:rFonts w:ascii="Times New Roman" w:hAnsi="Times New Roman"/>
          <w:color w:val="000000" w:themeColor="text1"/>
          <w:sz w:val="28"/>
          <w:szCs w:val="28"/>
        </w:rPr>
        <w:tab/>
        <w:t xml:space="preserve">у випадках, передбачених пунктом першим статті 160-2 цього Кодексу – Головою Антимонопольного комітету України; </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2)</w:t>
      </w:r>
      <w:r w:rsidRPr="00F43F98">
        <w:rPr>
          <w:rFonts w:ascii="Times New Roman" w:hAnsi="Times New Roman"/>
          <w:color w:val="000000" w:themeColor="text1"/>
          <w:sz w:val="28"/>
          <w:szCs w:val="28"/>
        </w:rPr>
        <w:tab/>
        <w:t>у випадках, передбачених пунктом третім статті 160-2 цього Кодексу – особою, яка бере участь у конкуренційному процесі у справі про порушення конкуренційного законодавства і якій органом Антимонопольного комітету України відмовлено в ознайомленні з інформацією з обмеженим доступом;</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3)</w:t>
      </w:r>
      <w:r w:rsidRPr="00F43F98">
        <w:rPr>
          <w:rFonts w:ascii="Times New Roman" w:hAnsi="Times New Roman"/>
          <w:color w:val="000000" w:themeColor="text1"/>
          <w:sz w:val="28"/>
          <w:szCs w:val="28"/>
        </w:rPr>
        <w:tab/>
        <w:t>у випадках, передбачених пунктом третім статті 160-2 цього Кодексу – особою, яка бере участь у конкуренційному процесі у справі про порушення конкуренційного законодавства та є власником інформації з обмеженим доступом, якщо рішенням органу Антимонопольного комітету України надано дозвіл іншій особі на ознайомлення з такою інформацією.</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lastRenderedPageBreak/>
        <w:t>4)</w:t>
      </w:r>
      <w:r w:rsidRPr="00F43F98">
        <w:rPr>
          <w:rFonts w:ascii="Times New Roman" w:hAnsi="Times New Roman"/>
          <w:color w:val="000000" w:themeColor="text1"/>
          <w:sz w:val="28"/>
          <w:szCs w:val="28"/>
        </w:rPr>
        <w:tab/>
        <w:t>у випадках, передбачених пунктом 2-4 статті 160-2 цього Кодексу – особою, яка бере участь у конкуренційному процесі у справі про порушення конкуренційного законодавства у семиденний строк з дня прийняття рішення Антимонопольним комітетом України чи порушення стороною вимог Антимонопольного комітету України до господарського суду.</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2.</w:t>
      </w:r>
      <w:r w:rsidRPr="00F43F98">
        <w:rPr>
          <w:rFonts w:ascii="Times New Roman" w:hAnsi="Times New Roman"/>
          <w:color w:val="000000" w:themeColor="text1"/>
          <w:sz w:val="28"/>
          <w:szCs w:val="28"/>
        </w:rPr>
        <w:tab/>
        <w:t xml:space="preserve">У заяві повинно бути зазначено: </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1) найменування суду, до якого подається заява;</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2) повне найменування (для юридичних осіб) або ім’я (прізвище, ім’я та по батькові (для фізичних осіб) заявника), їх місце знаходження (для юридичних осіб) або місце проживання, ідентифікаційний код юридичної особи в Єдиному державному реєстрі підприємств і організацій України заявника (для юридичних осіб, зареєстрованих в Україні), реєстраційний номер облікової картки платника податків заявника (для фізичних осіб) за його наявності або номер і серію паспорта заявника (для фізичних осіб), вказівка на статус фізичної особи – підприємця (для фізичних осіб – підприємців), а також електронні адреси заявників;</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3) ім’я (прізвище, ім’я та по батькові) представника заявника, якщо заява подається представником, його місце проживання;</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4) вимоги заявника і обставини, на яких вони ґрунтуються;</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5) зміст вимог та перелік доказів, якими заявник обґрунтовує обставини, на яких ґрунтуються його вимоги.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3.</w:t>
      </w:r>
      <w:r w:rsidRPr="00F43F98">
        <w:rPr>
          <w:rFonts w:ascii="Times New Roman" w:hAnsi="Times New Roman"/>
          <w:color w:val="000000" w:themeColor="text1"/>
          <w:sz w:val="28"/>
          <w:szCs w:val="28"/>
        </w:rPr>
        <w:tab/>
        <w:t xml:space="preserve">До заяви про видачу конкуренційно-судового наказу додаються: </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1)</w:t>
      </w:r>
      <w:r w:rsidRPr="00F43F98">
        <w:rPr>
          <w:rFonts w:ascii="Times New Roman" w:hAnsi="Times New Roman"/>
          <w:color w:val="000000" w:themeColor="text1"/>
          <w:sz w:val="28"/>
          <w:szCs w:val="28"/>
        </w:rPr>
        <w:tab/>
        <w:t>документ про сплату судового збору;</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2)</w:t>
      </w:r>
      <w:r w:rsidRPr="00F43F98">
        <w:rPr>
          <w:rFonts w:ascii="Times New Roman" w:hAnsi="Times New Roman"/>
          <w:color w:val="000000" w:themeColor="text1"/>
          <w:sz w:val="28"/>
          <w:szCs w:val="28"/>
        </w:rPr>
        <w:tab/>
        <w:t xml:space="preserve">документ, що підтверджує повноваження представника,  якщо заява підписана представником; </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3)</w:t>
      </w:r>
      <w:r w:rsidRPr="00F43F98">
        <w:rPr>
          <w:rFonts w:ascii="Times New Roman" w:hAnsi="Times New Roman"/>
          <w:color w:val="000000" w:themeColor="text1"/>
          <w:sz w:val="28"/>
          <w:szCs w:val="28"/>
        </w:rPr>
        <w:tab/>
        <w:t>інші документи або їх копії, що підтверджують обставини, якими заявник обґрунтовує свої вимоги;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4.</w:t>
      </w:r>
      <w:r w:rsidRPr="00F43F98">
        <w:rPr>
          <w:rFonts w:ascii="Times New Roman" w:hAnsi="Times New Roman"/>
          <w:color w:val="000000" w:themeColor="text1"/>
          <w:sz w:val="28"/>
          <w:szCs w:val="28"/>
        </w:rPr>
        <w:tab/>
        <w:t xml:space="preserve">Якщо заяву подано в електронній формі, заявник в подальшому повинен подавати будь-які процесуальні та інші документи, пов’язані з розглядом його заяви, виключно в електронній формі. </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5.</w:t>
      </w:r>
      <w:r w:rsidRPr="00F43F98">
        <w:rPr>
          <w:rFonts w:ascii="Times New Roman" w:hAnsi="Times New Roman"/>
          <w:color w:val="000000" w:themeColor="text1"/>
          <w:sz w:val="28"/>
          <w:szCs w:val="28"/>
        </w:rPr>
        <w:tab/>
        <w:t>Заявник має право відкликати заяву про видачу судово-конкуренційног</w:t>
      </w:r>
      <w:r>
        <w:rPr>
          <w:rFonts w:ascii="Times New Roman" w:hAnsi="Times New Roman"/>
          <w:color w:val="000000" w:themeColor="text1"/>
          <w:sz w:val="28"/>
          <w:szCs w:val="28"/>
        </w:rPr>
        <w:t xml:space="preserve">о наказу до її розгляду судом. </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Стаття 160-5. Судовий збір про видачу судово-конкуренційного наказу</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1.</w:t>
      </w:r>
      <w:r w:rsidRPr="00F43F98">
        <w:rPr>
          <w:rFonts w:ascii="Times New Roman" w:hAnsi="Times New Roman"/>
          <w:color w:val="000000" w:themeColor="text1"/>
          <w:sz w:val="28"/>
          <w:szCs w:val="28"/>
        </w:rPr>
        <w:tab/>
        <w:t xml:space="preserve">За подання заяви про видачу судово-конкуренційного наказу справляється судовий збір у розмірі, встановленому законом. </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lastRenderedPageBreak/>
        <w:t>2.</w:t>
      </w:r>
      <w:r w:rsidRPr="00F43F98">
        <w:rPr>
          <w:rFonts w:ascii="Times New Roman" w:hAnsi="Times New Roman"/>
          <w:color w:val="000000" w:themeColor="text1"/>
          <w:sz w:val="28"/>
          <w:szCs w:val="28"/>
        </w:rPr>
        <w:tab/>
        <w:t>У разі відмови у видачі судово-конкуренційного наказу або в разі скасування судово-конкуренційного наказу внесена сума судового з</w:t>
      </w:r>
      <w:r>
        <w:rPr>
          <w:rFonts w:ascii="Times New Roman" w:hAnsi="Times New Roman"/>
          <w:color w:val="000000" w:themeColor="text1"/>
          <w:sz w:val="28"/>
          <w:szCs w:val="28"/>
        </w:rPr>
        <w:t xml:space="preserve">бору заявнику не повертається. </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Стаття 160-6. Підстави для відмови у видачі судово-конкуренційного наказу</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1.</w:t>
      </w:r>
      <w:r w:rsidRPr="00F43F98">
        <w:rPr>
          <w:rFonts w:ascii="Times New Roman" w:hAnsi="Times New Roman"/>
          <w:color w:val="000000" w:themeColor="text1"/>
          <w:sz w:val="28"/>
          <w:szCs w:val="28"/>
        </w:rPr>
        <w:tab/>
        <w:t xml:space="preserve">Суддя відмовляє у видачі судово-конкуренційного наказу, якщо: </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1)</w:t>
      </w:r>
      <w:r w:rsidRPr="00F43F98">
        <w:rPr>
          <w:rFonts w:ascii="Times New Roman" w:hAnsi="Times New Roman"/>
          <w:color w:val="000000" w:themeColor="text1"/>
          <w:sz w:val="28"/>
          <w:szCs w:val="28"/>
        </w:rPr>
        <w:tab/>
        <w:t>заяву подану з порушенням вимог статті 160-4, 106-5 цього Кодексу;</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2)</w:t>
      </w:r>
      <w:r w:rsidRPr="00F43F98">
        <w:rPr>
          <w:rFonts w:ascii="Times New Roman" w:hAnsi="Times New Roman"/>
          <w:color w:val="000000" w:themeColor="text1"/>
          <w:sz w:val="28"/>
          <w:szCs w:val="28"/>
        </w:rPr>
        <w:tab/>
        <w:t xml:space="preserve">заявлено вимогу, яка не відповідає статті 160-2 цього Кодексу; </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3)</w:t>
      </w:r>
      <w:r w:rsidRPr="00F43F98">
        <w:rPr>
          <w:rFonts w:ascii="Times New Roman" w:hAnsi="Times New Roman"/>
          <w:color w:val="000000" w:themeColor="text1"/>
          <w:sz w:val="28"/>
          <w:szCs w:val="28"/>
        </w:rPr>
        <w:tab/>
        <w:t xml:space="preserve">з моменту виникнення права вимоги пройшов строк, встановлений пунктом 4 частини 1 статті 160-4; </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4)</w:t>
      </w:r>
      <w:r w:rsidRPr="00F43F98">
        <w:rPr>
          <w:rFonts w:ascii="Times New Roman" w:hAnsi="Times New Roman"/>
          <w:color w:val="000000" w:themeColor="text1"/>
          <w:sz w:val="28"/>
          <w:szCs w:val="28"/>
        </w:rPr>
        <w:tab/>
        <w:t xml:space="preserve">судом раніше відмовлено у видачі судово-конкуренційного наказу з підстав, передбачених пунктами третім – шостим цієї частини; </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5)</w:t>
      </w:r>
      <w:r w:rsidRPr="00F43F98">
        <w:rPr>
          <w:rFonts w:ascii="Times New Roman" w:hAnsi="Times New Roman"/>
          <w:color w:val="000000" w:themeColor="text1"/>
          <w:sz w:val="28"/>
          <w:szCs w:val="28"/>
        </w:rPr>
        <w:tab/>
        <w:t>заяву подано з порушенням правил підсудності;</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6)</w:t>
      </w:r>
      <w:r w:rsidRPr="00F43F98">
        <w:rPr>
          <w:rFonts w:ascii="Times New Roman" w:hAnsi="Times New Roman"/>
          <w:color w:val="000000" w:themeColor="text1"/>
          <w:sz w:val="28"/>
          <w:szCs w:val="28"/>
        </w:rPr>
        <w:tab/>
        <w:t xml:space="preserve">надання особі, яка бере участь у справі про порушення конкуренційного законодавства дозволу на ознайомлення з інформацією з обмеженим доступом може перешкодити подальшому розгляду справи Антимонопольним комітетом України або завдати шкоди іншим особам, які беруть (брали) участь у справі про порушення конкуренційного законодавства – у випадках, передбачених пунктом третім частини першої статті 160-2 цього Кодексу.  </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2.</w:t>
      </w:r>
      <w:r w:rsidRPr="00F43F98">
        <w:rPr>
          <w:rFonts w:ascii="Times New Roman" w:hAnsi="Times New Roman"/>
          <w:color w:val="000000" w:themeColor="text1"/>
          <w:sz w:val="28"/>
          <w:szCs w:val="28"/>
        </w:rPr>
        <w:tab/>
        <w:t xml:space="preserve">Про відмову у видачі судово-конкуренційного наказу суддя постановлює ухвалу не пізніше трьох робочих днів з дня надходження до суду заяви про видачу судово-конкуренційного наказу. </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3.</w:t>
      </w:r>
      <w:r w:rsidRPr="00F43F98">
        <w:rPr>
          <w:rFonts w:ascii="Times New Roman" w:hAnsi="Times New Roman"/>
          <w:color w:val="000000" w:themeColor="text1"/>
          <w:sz w:val="28"/>
          <w:szCs w:val="28"/>
        </w:rPr>
        <w:tab/>
        <w:t xml:space="preserve">У разі, якщо у заяві про видачу судово-конкуренційного наказу містяться вимоги, частина яких не підлягає розгляду в порядку конкуренційно-наказного провадження, суд постановляє про відмову у видачі судово-конкуренційного наказу лише в частині цих вимог. </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Стаття 160-7. Наслідки видачі судово-конкуренційного наказу</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1.</w:t>
      </w:r>
      <w:r w:rsidRPr="00F43F98">
        <w:rPr>
          <w:rFonts w:ascii="Times New Roman" w:hAnsi="Times New Roman"/>
          <w:color w:val="000000" w:themeColor="text1"/>
          <w:sz w:val="28"/>
          <w:szCs w:val="28"/>
        </w:rPr>
        <w:tab/>
        <w:t xml:space="preserve">Відмова у видачі судово-конкуренційного наказу з підстав, передбачених пунктами першим, п’ятим частини першої статті 160-6 цього Кодексу не є перешкодою для повторного звернення з такою самою заявою в порядку, встановленому цим розділом після усунення її недоліків. </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2.</w:t>
      </w:r>
      <w:r w:rsidRPr="00F43F98">
        <w:rPr>
          <w:rFonts w:ascii="Times New Roman" w:hAnsi="Times New Roman"/>
          <w:color w:val="000000" w:themeColor="text1"/>
          <w:sz w:val="28"/>
          <w:szCs w:val="28"/>
        </w:rPr>
        <w:tab/>
        <w:t xml:space="preserve">Відмова у видачі суб’єктам судово-конкуренційного наказу з підстав, передбаченими іншими пунктами статті 160-6 цього Кодексу унеможливлює повторне звернення такого суб’єкта з такою самою заявою. </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lastRenderedPageBreak/>
        <w:t xml:space="preserve">Стаття 160-8. Порядок розгляду заяв про видачу судово-конкуренційного наказу </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1.</w:t>
      </w:r>
      <w:r w:rsidRPr="00F43F98">
        <w:rPr>
          <w:rFonts w:ascii="Times New Roman" w:hAnsi="Times New Roman"/>
          <w:color w:val="000000" w:themeColor="text1"/>
          <w:sz w:val="28"/>
          <w:szCs w:val="28"/>
        </w:rPr>
        <w:tab/>
        <w:t xml:space="preserve">Суд розглядає заяву про видачу судово-конкуренційного наказу протягом трьох робочих днів з дня її надходження. </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2.</w:t>
      </w:r>
      <w:r w:rsidRPr="00F43F98">
        <w:rPr>
          <w:rFonts w:ascii="Times New Roman" w:hAnsi="Times New Roman"/>
          <w:color w:val="000000" w:themeColor="text1"/>
          <w:sz w:val="28"/>
          <w:szCs w:val="28"/>
        </w:rPr>
        <w:tab/>
        <w:t xml:space="preserve">За результатом розгляду заяви про видачу судово-конкуренційного наказу суд видає судово-конкуренційний наказ, або відмовляє у видачі судово-конкуренційного наказу. </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3.</w:t>
      </w:r>
      <w:r w:rsidRPr="00F43F98">
        <w:rPr>
          <w:rFonts w:ascii="Times New Roman" w:hAnsi="Times New Roman"/>
          <w:color w:val="000000" w:themeColor="text1"/>
          <w:sz w:val="28"/>
          <w:szCs w:val="28"/>
        </w:rPr>
        <w:tab/>
        <w:t xml:space="preserve">Судово-конкуренційний наказ виданий на підставі пункту 2 – 4 статті 160-2 може бути оскаржено в апеляційному порядку протягом 5 робочих днів та визнано таким що не підлягає виконанню. Такий наказ набуває чинності з моменту закінчення строку на оскарження в апеляційному порядку або винесення рішення апеляційною інстанцією. </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4.</w:t>
      </w:r>
      <w:r w:rsidRPr="00F43F98">
        <w:rPr>
          <w:rFonts w:ascii="Times New Roman" w:hAnsi="Times New Roman"/>
          <w:color w:val="000000" w:themeColor="text1"/>
          <w:sz w:val="28"/>
          <w:szCs w:val="28"/>
        </w:rPr>
        <w:tab/>
        <w:t>Судово-конкуренційний наказ виданий відповідно до пункту 1 статті 160-2 оскарженню в ап</w:t>
      </w:r>
      <w:r>
        <w:rPr>
          <w:rFonts w:ascii="Times New Roman" w:hAnsi="Times New Roman"/>
          <w:color w:val="000000" w:themeColor="text1"/>
          <w:sz w:val="28"/>
          <w:szCs w:val="28"/>
        </w:rPr>
        <w:t>еляційному порядку не підлягає.</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Стаття 160-9. Зміст судово-конкуренційного наказу</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1.</w:t>
      </w:r>
      <w:r w:rsidRPr="00F43F98">
        <w:rPr>
          <w:rFonts w:ascii="Times New Roman" w:hAnsi="Times New Roman"/>
          <w:color w:val="000000" w:themeColor="text1"/>
          <w:sz w:val="28"/>
          <w:szCs w:val="28"/>
        </w:rPr>
        <w:tab/>
        <w:t>У судово-конкуренційному наказі зазначається:</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1)</w:t>
      </w:r>
      <w:r w:rsidRPr="00F43F98">
        <w:rPr>
          <w:rFonts w:ascii="Times New Roman" w:hAnsi="Times New Roman"/>
          <w:color w:val="000000" w:themeColor="text1"/>
          <w:sz w:val="28"/>
          <w:szCs w:val="28"/>
        </w:rPr>
        <w:tab/>
        <w:t>дата видачі наказу;</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2)</w:t>
      </w:r>
      <w:r w:rsidRPr="00F43F98">
        <w:rPr>
          <w:rFonts w:ascii="Times New Roman" w:hAnsi="Times New Roman"/>
          <w:color w:val="000000" w:themeColor="text1"/>
          <w:sz w:val="28"/>
          <w:szCs w:val="28"/>
        </w:rPr>
        <w:tab/>
        <w:t>найменування суду, прізвище та ініціали судді, який видав судово-конкуренційний наказ;</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3)</w:t>
      </w:r>
      <w:r w:rsidRPr="00F43F98">
        <w:rPr>
          <w:rFonts w:ascii="Times New Roman" w:hAnsi="Times New Roman"/>
          <w:color w:val="000000" w:themeColor="text1"/>
          <w:sz w:val="28"/>
          <w:szCs w:val="28"/>
        </w:rPr>
        <w:tab/>
        <w:t>повне найменування (для юридичних осіб) або ім’я (прізвище, ім’я та по батькові) (для фізичних осіб) суб’єкта, який звернувся із заявою, їх місцезнаходження (для юридичних осіб) або місце проживання чи перебування (для фізичних осіб), ідентифікаційний код юридичної особи в Єдиному державному реєстрі підприємств і організацій України (для юридичних осіб, зареєстрованих в Україні), номер і серія паспорта (для фізичних осіб), а також інші дані, якщо вони відомі суду, які ідентифікують заявника;</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4)</w:t>
      </w:r>
      <w:r w:rsidRPr="00F43F98">
        <w:rPr>
          <w:rFonts w:ascii="Times New Roman" w:hAnsi="Times New Roman"/>
          <w:color w:val="000000" w:themeColor="text1"/>
          <w:sz w:val="28"/>
          <w:szCs w:val="28"/>
        </w:rPr>
        <w:tab/>
        <w:t>посилання на закон, на підставі якого підлягають задоволенню заявлені вимоги;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5)</w:t>
      </w:r>
      <w:r w:rsidRPr="00F43F98">
        <w:rPr>
          <w:rFonts w:ascii="Times New Roman" w:hAnsi="Times New Roman"/>
          <w:color w:val="000000" w:themeColor="text1"/>
          <w:sz w:val="28"/>
          <w:szCs w:val="28"/>
        </w:rPr>
        <w:tab/>
        <w:t>рішення про надання органам Антимонопольного комітету України дозволу передбаченого статтею 160-2 цього Кодексу.</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6)</w:t>
      </w:r>
      <w:r w:rsidRPr="00F43F98">
        <w:rPr>
          <w:rFonts w:ascii="Times New Roman" w:hAnsi="Times New Roman"/>
          <w:color w:val="000000" w:themeColor="text1"/>
          <w:sz w:val="28"/>
          <w:szCs w:val="28"/>
        </w:rPr>
        <w:tab/>
        <w:t xml:space="preserve">рішення про надання обґрунтованої відмови особі, яка бере участь у справі про порушення конкуренційного законодавства, у випадках, передбачених пунктом третім частини першої статті 40 Закону України «Про захист економічної конкуренції» дозволу на ознайомлення з матеріалами справи, які містять інформацію з обмеженим доступом, якщо це не перешкоджає подальшому розгляду справи та/або не завдає шкоди іншим особам, які беруть (брали) участь у  справі або про відмову у наданні дозволу;  </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lastRenderedPageBreak/>
        <w:t>7)</w:t>
      </w:r>
      <w:r w:rsidRPr="00F43F98">
        <w:rPr>
          <w:rFonts w:ascii="Times New Roman" w:hAnsi="Times New Roman"/>
          <w:color w:val="000000" w:themeColor="text1"/>
          <w:sz w:val="28"/>
          <w:szCs w:val="28"/>
        </w:rPr>
        <w:tab/>
        <w:t>рішення про задоволення чи обґрунтовану відмову у задоволенні заяви особи, яка є власником інформації з обмеженим доступом про визнання недійсним рішення органу Антимонопольного комітету України про надання дозволу на ознайомлення з інформацією з обмеженим доступом іншій особі у справі про порушення конкуренційного законодавства або про відмову в задоволенні цієї заяви відповідно до пункту 3 статті 160-2 цього Кодексу.</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8)</w:t>
      </w:r>
      <w:r w:rsidRPr="00F43F98">
        <w:rPr>
          <w:rFonts w:ascii="Times New Roman" w:hAnsi="Times New Roman"/>
          <w:color w:val="000000" w:themeColor="text1"/>
          <w:sz w:val="28"/>
          <w:szCs w:val="28"/>
        </w:rPr>
        <w:tab/>
        <w:t>рішення щодо задоволення чи відмову в оскарженні розпоряджень, рішень органів Антимонопольного комітету України, дій чи бездіяльності посадових осіб Антимонопольного комітету України під час проведення Антимонопольним комітетом України розслідувань відповідно до пункту 4 статті 160-2 цього Кодексу.</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9)</w:t>
      </w:r>
      <w:r w:rsidRPr="00F43F98">
        <w:rPr>
          <w:rFonts w:ascii="Times New Roman" w:hAnsi="Times New Roman"/>
          <w:color w:val="000000" w:themeColor="text1"/>
          <w:sz w:val="28"/>
          <w:szCs w:val="28"/>
        </w:rPr>
        <w:tab/>
        <w:t>дата видачі судового наказу заявнику.</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2.</w:t>
      </w:r>
      <w:r w:rsidRPr="00F43F98">
        <w:rPr>
          <w:rFonts w:ascii="Times New Roman" w:hAnsi="Times New Roman"/>
          <w:color w:val="000000" w:themeColor="text1"/>
          <w:sz w:val="28"/>
          <w:szCs w:val="28"/>
        </w:rPr>
        <w:tab/>
        <w:t xml:space="preserve">Судовий наказ складається і підписується суддею у двох примірниках, один з яких залишається у суді, а другий видається під розписку: </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1)</w:t>
      </w:r>
      <w:r w:rsidRPr="00F43F98">
        <w:rPr>
          <w:rFonts w:ascii="Times New Roman" w:hAnsi="Times New Roman"/>
          <w:color w:val="000000" w:themeColor="text1"/>
          <w:sz w:val="28"/>
          <w:szCs w:val="28"/>
        </w:rPr>
        <w:tab/>
        <w:t>заявнику, його представнику, або надсилається заявнику на його офіційну електронну адресу, або рекомендованим листом із повідомленням про вручення, чи цінним листом з описом вкладеного у разі відсутност</w:t>
      </w:r>
      <w:r>
        <w:rPr>
          <w:rFonts w:ascii="Times New Roman" w:hAnsi="Times New Roman"/>
          <w:color w:val="000000" w:themeColor="text1"/>
          <w:sz w:val="28"/>
          <w:szCs w:val="28"/>
        </w:rPr>
        <w:t>і електронної офіційної адреси.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Стаття 160-10.  Набрання судово-конкуренційним наказом законної сили.</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1.</w:t>
      </w:r>
      <w:r w:rsidRPr="00F43F98">
        <w:rPr>
          <w:rFonts w:ascii="Times New Roman" w:hAnsi="Times New Roman"/>
          <w:color w:val="000000" w:themeColor="text1"/>
          <w:sz w:val="28"/>
          <w:szCs w:val="28"/>
        </w:rPr>
        <w:tab/>
        <w:t>Судово-конкуренційний наказ набуває законної сили з дня його прийняття судом. Оскарження судово-конкуренційного наказу в апеляційному порядку не зупиняє його дії.</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2.</w:t>
      </w:r>
      <w:r w:rsidRPr="00F43F98">
        <w:rPr>
          <w:rFonts w:ascii="Times New Roman" w:hAnsi="Times New Roman"/>
          <w:color w:val="000000" w:themeColor="text1"/>
          <w:sz w:val="28"/>
          <w:szCs w:val="28"/>
        </w:rPr>
        <w:tab/>
        <w:t>Наказ, передбачений пунктом першим статті 160-2 цього Кодексу набуває законної сили з моменту підписання його суддею.</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3.</w:t>
      </w:r>
      <w:r w:rsidRPr="00F43F98">
        <w:rPr>
          <w:rFonts w:ascii="Times New Roman" w:hAnsi="Times New Roman"/>
          <w:color w:val="000000" w:themeColor="text1"/>
          <w:sz w:val="28"/>
          <w:szCs w:val="28"/>
        </w:rPr>
        <w:tab/>
        <w:t>Наказ, передбачений пунктами 2-4 статті 160-2 цього Кодексу набувають законної сили з дня закінчення строку на його оскарження або винесення рішення по ньому в апеляційному порядку.</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4.</w:t>
      </w:r>
      <w:r w:rsidRPr="00F43F98">
        <w:rPr>
          <w:rFonts w:ascii="Times New Roman" w:hAnsi="Times New Roman"/>
          <w:color w:val="000000" w:themeColor="text1"/>
          <w:sz w:val="28"/>
          <w:szCs w:val="28"/>
        </w:rPr>
        <w:tab/>
        <w:t>Суд, не пізніше  наступного дня з дня набрання законної сили судово-конкуренційним наказом надсилає Антимонопольному комітету України та заявнику копію (текст) судово-конкуренційного наказу, що містить інформацію про веб-адресу такого судового наказу у Єдиному дер</w:t>
      </w:r>
      <w:r>
        <w:rPr>
          <w:rFonts w:ascii="Times New Roman" w:hAnsi="Times New Roman"/>
          <w:color w:val="000000" w:themeColor="text1"/>
          <w:sz w:val="28"/>
          <w:szCs w:val="28"/>
        </w:rPr>
        <w:t>жавному реєстрі судових рішень.</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Стаття 160-11. Виправлення помилки в судово-конкуренційному наказі, визнання судово-конкуренційного наказу таким, що не підлягає виконанню</w:t>
      </w:r>
    </w:p>
    <w:p w:rsid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Суд може внести виправлення до судово-конкуренційного наказу, визнати його так</w:t>
      </w:r>
      <w:r>
        <w:rPr>
          <w:rFonts w:ascii="Times New Roman" w:hAnsi="Times New Roman"/>
          <w:color w:val="000000" w:themeColor="text1"/>
          <w:sz w:val="28"/>
          <w:szCs w:val="28"/>
        </w:rPr>
        <w:t>им, що не підлягає виконанню.»;</w:t>
      </w:r>
    </w:p>
    <w:p w:rsidR="00F43F98" w:rsidRDefault="00F43F98" w:rsidP="00F43F98">
      <w:pPr>
        <w:pStyle w:val="a3"/>
        <w:spacing w:before="100" w:beforeAutospacing="1" w:after="100" w:afterAutospacing="1"/>
        <w:rPr>
          <w:rFonts w:ascii="Times New Roman" w:hAnsi="Times New Roman"/>
          <w:color w:val="000000" w:themeColor="text1"/>
          <w:sz w:val="28"/>
          <w:szCs w:val="28"/>
        </w:rPr>
      </w:pP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Pr>
          <w:rFonts w:ascii="Times New Roman" w:hAnsi="Times New Roman"/>
          <w:color w:val="000000" w:themeColor="text1"/>
          <w:sz w:val="28"/>
          <w:szCs w:val="28"/>
        </w:rPr>
        <w:lastRenderedPageBreak/>
        <w:t xml:space="preserve">2.  </w:t>
      </w:r>
      <w:r w:rsidRPr="00F43F98">
        <w:rPr>
          <w:rFonts w:ascii="Times New Roman" w:hAnsi="Times New Roman"/>
          <w:color w:val="000000" w:themeColor="text1"/>
          <w:sz w:val="28"/>
          <w:szCs w:val="28"/>
        </w:rPr>
        <w:t>Цей Закон набирає чинності через три місяці з дня, наступного за днем його опублікування.</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Pr>
          <w:rFonts w:ascii="Times New Roman" w:hAnsi="Times New Roman"/>
          <w:color w:val="000000" w:themeColor="text1"/>
          <w:sz w:val="28"/>
          <w:szCs w:val="28"/>
        </w:rPr>
        <w:t>3</w:t>
      </w:r>
      <w:r w:rsidRPr="00F43F98">
        <w:rPr>
          <w:rFonts w:ascii="Times New Roman" w:hAnsi="Times New Roman"/>
          <w:color w:val="000000" w:themeColor="text1"/>
          <w:sz w:val="28"/>
          <w:szCs w:val="28"/>
        </w:rPr>
        <w:t>. Кабінету Міністрів України у шестимісячний строк з дня набрання чинності цим Законом:</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привести власні нормативно-правові акти у відповідність із цим Законом;</w:t>
      </w:r>
    </w:p>
    <w:p w:rsidR="00F43F98" w:rsidRDefault="00F43F98" w:rsidP="00F43F98">
      <w:pPr>
        <w:pStyle w:val="a3"/>
        <w:spacing w:before="100" w:beforeAutospacing="1" w:after="100" w:afterAutospacing="1"/>
        <w:rPr>
          <w:rFonts w:ascii="Times New Roman" w:hAnsi="Times New Roman"/>
          <w:color w:val="000000" w:themeColor="text1"/>
          <w:sz w:val="28"/>
          <w:szCs w:val="28"/>
        </w:rPr>
      </w:pPr>
      <w:r w:rsidRPr="00F43F98">
        <w:rPr>
          <w:rFonts w:ascii="Times New Roman" w:hAnsi="Times New Roman"/>
          <w:color w:val="000000" w:themeColor="text1"/>
          <w:sz w:val="28"/>
          <w:szCs w:val="28"/>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rsidR="00F43F98" w:rsidRPr="00F43F98" w:rsidRDefault="00F43F98" w:rsidP="00F43F98">
      <w:pPr>
        <w:pStyle w:val="a3"/>
        <w:spacing w:before="100" w:beforeAutospacing="1" w:after="100" w:afterAutospacing="1"/>
        <w:rPr>
          <w:rFonts w:ascii="Times New Roman" w:hAnsi="Times New Roman"/>
          <w:color w:val="000000" w:themeColor="text1"/>
          <w:sz w:val="28"/>
          <w:szCs w:val="28"/>
        </w:rPr>
      </w:pPr>
      <w:r>
        <w:rPr>
          <w:rFonts w:ascii="Times New Roman" w:hAnsi="Times New Roman"/>
          <w:color w:val="000000" w:themeColor="text1"/>
          <w:sz w:val="28"/>
          <w:szCs w:val="28"/>
        </w:rPr>
        <w:t>4. Антимонопольному комітету України</w:t>
      </w:r>
      <w:r w:rsidRPr="00F43F98">
        <w:rPr>
          <w:rFonts w:ascii="Times New Roman" w:hAnsi="Times New Roman"/>
          <w:color w:val="000000" w:themeColor="text1"/>
          <w:sz w:val="28"/>
          <w:szCs w:val="28"/>
        </w:rPr>
        <w:t xml:space="preserve"> у шестимісячний строк з дня</w:t>
      </w:r>
      <w:r>
        <w:rPr>
          <w:rFonts w:ascii="Times New Roman" w:hAnsi="Times New Roman"/>
          <w:color w:val="000000" w:themeColor="text1"/>
          <w:sz w:val="28"/>
          <w:szCs w:val="28"/>
        </w:rPr>
        <w:t xml:space="preserve"> набрання чинності цим Законом </w:t>
      </w:r>
      <w:r w:rsidRPr="00F43F98">
        <w:rPr>
          <w:rFonts w:ascii="Times New Roman" w:hAnsi="Times New Roman"/>
          <w:color w:val="000000" w:themeColor="text1"/>
          <w:sz w:val="28"/>
          <w:szCs w:val="28"/>
        </w:rPr>
        <w:t>привести власні нормативно-правові акти</w:t>
      </w:r>
      <w:r>
        <w:rPr>
          <w:rFonts w:ascii="Times New Roman" w:hAnsi="Times New Roman"/>
          <w:color w:val="000000" w:themeColor="text1"/>
          <w:sz w:val="28"/>
          <w:szCs w:val="28"/>
        </w:rPr>
        <w:t xml:space="preserve"> у відповідність із цим Законом.</w:t>
      </w:r>
    </w:p>
    <w:p w:rsidR="00996CD2" w:rsidRPr="00F43F98" w:rsidRDefault="00996CD2" w:rsidP="00F43F98">
      <w:pPr>
        <w:pStyle w:val="a3"/>
        <w:spacing w:before="100" w:beforeAutospacing="1" w:after="100" w:afterAutospacing="1"/>
        <w:ind w:firstLine="0"/>
        <w:rPr>
          <w:rFonts w:ascii="Times New Roman" w:hAnsi="Times New Roman"/>
          <w:color w:val="000000" w:themeColor="text1"/>
          <w:sz w:val="28"/>
          <w:szCs w:val="28"/>
        </w:rPr>
      </w:pPr>
    </w:p>
    <w:p w:rsidR="00C0416E" w:rsidRPr="00F43F98" w:rsidRDefault="00C0416E" w:rsidP="00C0416E">
      <w:pPr>
        <w:ind w:firstLine="709"/>
        <w:jc w:val="both"/>
        <w:rPr>
          <w:rFonts w:ascii="Times New Roman" w:hAnsi="Times New Roman"/>
          <w:b/>
          <w:bCs/>
          <w:sz w:val="28"/>
          <w:szCs w:val="28"/>
        </w:rPr>
      </w:pPr>
      <w:r w:rsidRPr="00F43F98">
        <w:rPr>
          <w:rFonts w:ascii="Times New Roman" w:hAnsi="Times New Roman"/>
          <w:b/>
          <w:bCs/>
          <w:sz w:val="28"/>
          <w:szCs w:val="28"/>
        </w:rPr>
        <w:t xml:space="preserve">Голова </w:t>
      </w:r>
    </w:p>
    <w:p w:rsidR="00C0416E" w:rsidRPr="00F43F98" w:rsidRDefault="00C0416E" w:rsidP="00C0416E">
      <w:pPr>
        <w:ind w:firstLine="709"/>
        <w:jc w:val="both"/>
        <w:rPr>
          <w:rFonts w:ascii="Times New Roman" w:hAnsi="Times New Roman"/>
          <w:b/>
          <w:sz w:val="28"/>
          <w:szCs w:val="28"/>
        </w:rPr>
      </w:pPr>
      <w:r w:rsidRPr="00F43F98">
        <w:rPr>
          <w:rFonts w:ascii="Times New Roman" w:hAnsi="Times New Roman"/>
          <w:b/>
          <w:bCs/>
          <w:sz w:val="28"/>
          <w:szCs w:val="28"/>
        </w:rPr>
        <w:t xml:space="preserve">Верховної Ради України                                                 </w:t>
      </w:r>
    </w:p>
    <w:p w:rsidR="00E97E22" w:rsidRPr="00F43F98" w:rsidRDefault="00E97E22" w:rsidP="00996CD2">
      <w:pPr>
        <w:pStyle w:val="a3"/>
        <w:spacing w:before="0"/>
        <w:rPr>
          <w:rFonts w:ascii="Times New Roman" w:hAnsi="Times New Roman"/>
          <w:color w:val="000000" w:themeColor="text1"/>
          <w:sz w:val="28"/>
          <w:szCs w:val="28"/>
        </w:rPr>
      </w:pPr>
    </w:p>
    <w:sectPr w:rsidR="00E97E22" w:rsidRPr="00F43F98" w:rsidSect="00D67CD2">
      <w:pgSz w:w="11906" w:h="16838"/>
      <w:pgMar w:top="709" w:right="707" w:bottom="56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57EA8" w:rsidRDefault="00357EA8" w:rsidP="00DC60CF">
      <w:r>
        <w:separator/>
      </w:r>
    </w:p>
  </w:endnote>
  <w:endnote w:type="continuationSeparator" w:id="0">
    <w:p w:rsidR="00357EA8" w:rsidRDefault="00357EA8" w:rsidP="00DC60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tiqua">
    <w:altName w:val="Calibri"/>
    <w:charset w:val="00"/>
    <w:family w:val="swiss"/>
    <w:pitch w:val="variable"/>
    <w:sig w:usb0="00000003" w:usb1="00000000" w:usb2="00000000" w:usb3="00000000" w:csb0="00000005"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 w:name="Cambria">
    <w:altName w:val="Palatino Linotype"/>
    <w:panose1 w:val="02040503050406030204"/>
    <w:charset w:val="CC"/>
    <w:family w:val="roman"/>
    <w:pitch w:val="variable"/>
    <w:sig w:usb0="E00006FF" w:usb1="420024FF" w:usb2="02000000" w:usb3="00000000" w:csb0="0000019F" w:csb1="00000000"/>
  </w:font>
  <w:font w:name="Shruti">
    <w:altName w:val="Cambria Math"/>
    <w:panose1 w:val="02000500000000000000"/>
    <w:charset w:val="01"/>
    <w:family w:val="roman"/>
    <w:notTrueType/>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57EA8" w:rsidRDefault="00357EA8" w:rsidP="00DC60CF">
      <w:r>
        <w:separator/>
      </w:r>
    </w:p>
  </w:footnote>
  <w:footnote w:type="continuationSeparator" w:id="0">
    <w:p w:rsidR="00357EA8" w:rsidRDefault="00357EA8" w:rsidP="00DC60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954EAB"/>
    <w:multiLevelType w:val="hybridMultilevel"/>
    <w:tmpl w:val="19D096B0"/>
    <w:lvl w:ilvl="0" w:tplc="C0A2B21A">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1" w15:restartNumberingAfterBreak="0">
    <w:nsid w:val="4BC80932"/>
    <w:multiLevelType w:val="hybridMultilevel"/>
    <w:tmpl w:val="C2A83E16"/>
    <w:lvl w:ilvl="0" w:tplc="FEFA6C2E">
      <w:start w:val="1"/>
      <w:numFmt w:val="decimal"/>
      <w:lvlText w:val="%1."/>
      <w:lvlJc w:val="left"/>
      <w:pPr>
        <w:ind w:left="1587" w:hanging="1020"/>
      </w:pPr>
      <w:rPr>
        <w:rFonts w:cs="Times New Roman" w:hint="default"/>
        <w:b w:val="0"/>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2" w15:restartNumberingAfterBreak="0">
    <w:nsid w:val="59DB6F12"/>
    <w:multiLevelType w:val="hybridMultilevel"/>
    <w:tmpl w:val="10E22F1C"/>
    <w:lvl w:ilvl="0" w:tplc="83A4CA14">
      <w:start w:val="4"/>
      <w:numFmt w:val="bullet"/>
      <w:lvlText w:val="-"/>
      <w:lvlJc w:val="left"/>
      <w:pPr>
        <w:ind w:left="990" w:hanging="360"/>
      </w:pPr>
      <w:rPr>
        <w:rFonts w:ascii="Calibri" w:eastAsia="Times New Roman" w:hAnsi="Calibri" w:hint="default"/>
      </w:rPr>
    </w:lvl>
    <w:lvl w:ilvl="1" w:tplc="04190003" w:tentative="1">
      <w:start w:val="1"/>
      <w:numFmt w:val="bullet"/>
      <w:lvlText w:val="o"/>
      <w:lvlJc w:val="left"/>
      <w:pPr>
        <w:ind w:left="1710" w:hanging="360"/>
      </w:pPr>
      <w:rPr>
        <w:rFonts w:ascii="Courier New" w:hAnsi="Courier New" w:hint="default"/>
      </w:rPr>
    </w:lvl>
    <w:lvl w:ilvl="2" w:tplc="04190005" w:tentative="1">
      <w:start w:val="1"/>
      <w:numFmt w:val="bullet"/>
      <w:lvlText w:val=""/>
      <w:lvlJc w:val="left"/>
      <w:pPr>
        <w:ind w:left="2430" w:hanging="360"/>
      </w:pPr>
      <w:rPr>
        <w:rFonts w:ascii="Wingdings" w:hAnsi="Wingdings" w:hint="default"/>
      </w:rPr>
    </w:lvl>
    <w:lvl w:ilvl="3" w:tplc="04190001" w:tentative="1">
      <w:start w:val="1"/>
      <w:numFmt w:val="bullet"/>
      <w:lvlText w:val=""/>
      <w:lvlJc w:val="left"/>
      <w:pPr>
        <w:ind w:left="3150" w:hanging="360"/>
      </w:pPr>
      <w:rPr>
        <w:rFonts w:ascii="Symbol" w:hAnsi="Symbol" w:hint="default"/>
      </w:rPr>
    </w:lvl>
    <w:lvl w:ilvl="4" w:tplc="04190003" w:tentative="1">
      <w:start w:val="1"/>
      <w:numFmt w:val="bullet"/>
      <w:lvlText w:val="o"/>
      <w:lvlJc w:val="left"/>
      <w:pPr>
        <w:ind w:left="3870" w:hanging="360"/>
      </w:pPr>
      <w:rPr>
        <w:rFonts w:ascii="Courier New" w:hAnsi="Courier New" w:hint="default"/>
      </w:rPr>
    </w:lvl>
    <w:lvl w:ilvl="5" w:tplc="04190005" w:tentative="1">
      <w:start w:val="1"/>
      <w:numFmt w:val="bullet"/>
      <w:lvlText w:val=""/>
      <w:lvlJc w:val="left"/>
      <w:pPr>
        <w:ind w:left="4590" w:hanging="360"/>
      </w:pPr>
      <w:rPr>
        <w:rFonts w:ascii="Wingdings" w:hAnsi="Wingdings" w:hint="default"/>
      </w:rPr>
    </w:lvl>
    <w:lvl w:ilvl="6" w:tplc="04190001" w:tentative="1">
      <w:start w:val="1"/>
      <w:numFmt w:val="bullet"/>
      <w:lvlText w:val=""/>
      <w:lvlJc w:val="left"/>
      <w:pPr>
        <w:ind w:left="5310" w:hanging="360"/>
      </w:pPr>
      <w:rPr>
        <w:rFonts w:ascii="Symbol" w:hAnsi="Symbol" w:hint="default"/>
      </w:rPr>
    </w:lvl>
    <w:lvl w:ilvl="7" w:tplc="04190003" w:tentative="1">
      <w:start w:val="1"/>
      <w:numFmt w:val="bullet"/>
      <w:lvlText w:val="o"/>
      <w:lvlJc w:val="left"/>
      <w:pPr>
        <w:ind w:left="6030" w:hanging="360"/>
      </w:pPr>
      <w:rPr>
        <w:rFonts w:ascii="Courier New" w:hAnsi="Courier New" w:hint="default"/>
      </w:rPr>
    </w:lvl>
    <w:lvl w:ilvl="8" w:tplc="04190005" w:tentative="1">
      <w:start w:val="1"/>
      <w:numFmt w:val="bullet"/>
      <w:lvlText w:val=""/>
      <w:lvlJc w:val="left"/>
      <w:pPr>
        <w:ind w:left="675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7B4B"/>
    <w:rsid w:val="0000096C"/>
    <w:rsid w:val="000038E9"/>
    <w:rsid w:val="00004410"/>
    <w:rsid w:val="00005286"/>
    <w:rsid w:val="0000760B"/>
    <w:rsid w:val="00014786"/>
    <w:rsid w:val="000168E2"/>
    <w:rsid w:val="00017C7F"/>
    <w:rsid w:val="00026AF5"/>
    <w:rsid w:val="00026CCC"/>
    <w:rsid w:val="000367E5"/>
    <w:rsid w:val="00037250"/>
    <w:rsid w:val="000404D8"/>
    <w:rsid w:val="00051273"/>
    <w:rsid w:val="000515D1"/>
    <w:rsid w:val="000607F4"/>
    <w:rsid w:val="00061612"/>
    <w:rsid w:val="000642C9"/>
    <w:rsid w:val="00070EBC"/>
    <w:rsid w:val="00073894"/>
    <w:rsid w:val="00074A70"/>
    <w:rsid w:val="000876FC"/>
    <w:rsid w:val="00092C83"/>
    <w:rsid w:val="00095B4D"/>
    <w:rsid w:val="000A0691"/>
    <w:rsid w:val="000A0B63"/>
    <w:rsid w:val="000A15B2"/>
    <w:rsid w:val="000C34CD"/>
    <w:rsid w:val="000C69D4"/>
    <w:rsid w:val="000D1FB2"/>
    <w:rsid w:val="000D7C2F"/>
    <w:rsid w:val="00112E5F"/>
    <w:rsid w:val="00132C16"/>
    <w:rsid w:val="00133DB2"/>
    <w:rsid w:val="00147DD7"/>
    <w:rsid w:val="001533CB"/>
    <w:rsid w:val="0015439F"/>
    <w:rsid w:val="00176413"/>
    <w:rsid w:val="00181692"/>
    <w:rsid w:val="00182988"/>
    <w:rsid w:val="0018462C"/>
    <w:rsid w:val="00185360"/>
    <w:rsid w:val="001A1921"/>
    <w:rsid w:val="001A34C8"/>
    <w:rsid w:val="001A4114"/>
    <w:rsid w:val="001A5730"/>
    <w:rsid w:val="001A5CE1"/>
    <w:rsid w:val="001A6531"/>
    <w:rsid w:val="001B0C1A"/>
    <w:rsid w:val="001B6B5C"/>
    <w:rsid w:val="001C2D68"/>
    <w:rsid w:val="001C4349"/>
    <w:rsid w:val="001C7111"/>
    <w:rsid w:val="001D2812"/>
    <w:rsid w:val="001D7B4B"/>
    <w:rsid w:val="001E35C7"/>
    <w:rsid w:val="001E5A38"/>
    <w:rsid w:val="002056D6"/>
    <w:rsid w:val="002361D4"/>
    <w:rsid w:val="00244061"/>
    <w:rsid w:val="002474C3"/>
    <w:rsid w:val="00255063"/>
    <w:rsid w:val="00255EDE"/>
    <w:rsid w:val="002574F6"/>
    <w:rsid w:val="0026506C"/>
    <w:rsid w:val="002964A7"/>
    <w:rsid w:val="002A2101"/>
    <w:rsid w:val="002B0077"/>
    <w:rsid w:val="002B1039"/>
    <w:rsid w:val="002B2AE5"/>
    <w:rsid w:val="002B59CC"/>
    <w:rsid w:val="002D437C"/>
    <w:rsid w:val="002E1CB9"/>
    <w:rsid w:val="002E5042"/>
    <w:rsid w:val="002F00B6"/>
    <w:rsid w:val="00300CD5"/>
    <w:rsid w:val="00304615"/>
    <w:rsid w:val="00305B7F"/>
    <w:rsid w:val="00305F67"/>
    <w:rsid w:val="003068B3"/>
    <w:rsid w:val="003169DA"/>
    <w:rsid w:val="003233E5"/>
    <w:rsid w:val="003374F1"/>
    <w:rsid w:val="0034484A"/>
    <w:rsid w:val="0035151C"/>
    <w:rsid w:val="003545A3"/>
    <w:rsid w:val="0035658C"/>
    <w:rsid w:val="00356B8B"/>
    <w:rsid w:val="003579B7"/>
    <w:rsid w:val="00357EA8"/>
    <w:rsid w:val="00360F5B"/>
    <w:rsid w:val="0036408A"/>
    <w:rsid w:val="00366B54"/>
    <w:rsid w:val="00367234"/>
    <w:rsid w:val="003777F9"/>
    <w:rsid w:val="00395C7E"/>
    <w:rsid w:val="003A2D85"/>
    <w:rsid w:val="003A3400"/>
    <w:rsid w:val="003B4A8C"/>
    <w:rsid w:val="003B6406"/>
    <w:rsid w:val="003C272C"/>
    <w:rsid w:val="003D34F2"/>
    <w:rsid w:val="003D7F06"/>
    <w:rsid w:val="003F3C75"/>
    <w:rsid w:val="003F53EC"/>
    <w:rsid w:val="00401B38"/>
    <w:rsid w:val="0040233E"/>
    <w:rsid w:val="004039B9"/>
    <w:rsid w:val="00407578"/>
    <w:rsid w:val="00414397"/>
    <w:rsid w:val="00427368"/>
    <w:rsid w:val="004338AC"/>
    <w:rsid w:val="00435FDD"/>
    <w:rsid w:val="00437785"/>
    <w:rsid w:val="00440752"/>
    <w:rsid w:val="00440A79"/>
    <w:rsid w:val="00461710"/>
    <w:rsid w:val="004633FE"/>
    <w:rsid w:val="00476DE3"/>
    <w:rsid w:val="0048504F"/>
    <w:rsid w:val="00490D3C"/>
    <w:rsid w:val="0049263D"/>
    <w:rsid w:val="004A4399"/>
    <w:rsid w:val="004A6350"/>
    <w:rsid w:val="004A7A25"/>
    <w:rsid w:val="004D7E51"/>
    <w:rsid w:val="004E31D5"/>
    <w:rsid w:val="005158FC"/>
    <w:rsid w:val="00517ACE"/>
    <w:rsid w:val="005227FD"/>
    <w:rsid w:val="00522EAC"/>
    <w:rsid w:val="00526C86"/>
    <w:rsid w:val="0053084B"/>
    <w:rsid w:val="00534825"/>
    <w:rsid w:val="00534D6F"/>
    <w:rsid w:val="005454C4"/>
    <w:rsid w:val="00564B36"/>
    <w:rsid w:val="00573E6C"/>
    <w:rsid w:val="00576FD9"/>
    <w:rsid w:val="005774D8"/>
    <w:rsid w:val="00581EA4"/>
    <w:rsid w:val="00583344"/>
    <w:rsid w:val="00586A8C"/>
    <w:rsid w:val="005911AF"/>
    <w:rsid w:val="005A5F9B"/>
    <w:rsid w:val="005A6EB9"/>
    <w:rsid w:val="005B0CBE"/>
    <w:rsid w:val="005B2D94"/>
    <w:rsid w:val="005B735D"/>
    <w:rsid w:val="005C083A"/>
    <w:rsid w:val="005C1A9C"/>
    <w:rsid w:val="005D1C4F"/>
    <w:rsid w:val="005D58FF"/>
    <w:rsid w:val="005D5D78"/>
    <w:rsid w:val="005D6A46"/>
    <w:rsid w:val="005E1D5E"/>
    <w:rsid w:val="005E527F"/>
    <w:rsid w:val="005F16AF"/>
    <w:rsid w:val="005F24DD"/>
    <w:rsid w:val="0060152C"/>
    <w:rsid w:val="00602BBB"/>
    <w:rsid w:val="00607576"/>
    <w:rsid w:val="006203B9"/>
    <w:rsid w:val="006274D6"/>
    <w:rsid w:val="00655008"/>
    <w:rsid w:val="006603EE"/>
    <w:rsid w:val="00664FA8"/>
    <w:rsid w:val="00671CA2"/>
    <w:rsid w:val="00696115"/>
    <w:rsid w:val="006A045C"/>
    <w:rsid w:val="006B52B1"/>
    <w:rsid w:val="006C112F"/>
    <w:rsid w:val="006F00E7"/>
    <w:rsid w:val="00700D94"/>
    <w:rsid w:val="00701DE2"/>
    <w:rsid w:val="00712CB7"/>
    <w:rsid w:val="0071322A"/>
    <w:rsid w:val="0071791B"/>
    <w:rsid w:val="00724792"/>
    <w:rsid w:val="007302FB"/>
    <w:rsid w:val="00731C6B"/>
    <w:rsid w:val="007367C1"/>
    <w:rsid w:val="00741868"/>
    <w:rsid w:val="00742134"/>
    <w:rsid w:val="00760D0C"/>
    <w:rsid w:val="007662A0"/>
    <w:rsid w:val="007848FE"/>
    <w:rsid w:val="00784D5B"/>
    <w:rsid w:val="0079552B"/>
    <w:rsid w:val="007A4C69"/>
    <w:rsid w:val="007C0C28"/>
    <w:rsid w:val="007C1EED"/>
    <w:rsid w:val="007C2602"/>
    <w:rsid w:val="007C4536"/>
    <w:rsid w:val="007C5AE4"/>
    <w:rsid w:val="007C762A"/>
    <w:rsid w:val="007D11D5"/>
    <w:rsid w:val="007D3B5A"/>
    <w:rsid w:val="007E71A9"/>
    <w:rsid w:val="007E789A"/>
    <w:rsid w:val="007F6940"/>
    <w:rsid w:val="0080040E"/>
    <w:rsid w:val="00816752"/>
    <w:rsid w:val="008212B2"/>
    <w:rsid w:val="008319C1"/>
    <w:rsid w:val="00832535"/>
    <w:rsid w:val="0083511D"/>
    <w:rsid w:val="00835513"/>
    <w:rsid w:val="008445D0"/>
    <w:rsid w:val="00844AF7"/>
    <w:rsid w:val="00845E4C"/>
    <w:rsid w:val="00860149"/>
    <w:rsid w:val="00873D80"/>
    <w:rsid w:val="0089109A"/>
    <w:rsid w:val="008A346B"/>
    <w:rsid w:val="008A409A"/>
    <w:rsid w:val="008A67D0"/>
    <w:rsid w:val="008B00DD"/>
    <w:rsid w:val="008B09EF"/>
    <w:rsid w:val="008C1823"/>
    <w:rsid w:val="008C5FBA"/>
    <w:rsid w:val="008C688A"/>
    <w:rsid w:val="008C6893"/>
    <w:rsid w:val="008D071D"/>
    <w:rsid w:val="008D6D86"/>
    <w:rsid w:val="008E3AF4"/>
    <w:rsid w:val="008F2CDC"/>
    <w:rsid w:val="00905CC8"/>
    <w:rsid w:val="009142B3"/>
    <w:rsid w:val="0092107D"/>
    <w:rsid w:val="00924A9B"/>
    <w:rsid w:val="00924CCE"/>
    <w:rsid w:val="009319BB"/>
    <w:rsid w:val="00931E9C"/>
    <w:rsid w:val="00933D7B"/>
    <w:rsid w:val="0093528F"/>
    <w:rsid w:val="009377CE"/>
    <w:rsid w:val="0094493F"/>
    <w:rsid w:val="00946992"/>
    <w:rsid w:val="00947CF5"/>
    <w:rsid w:val="00950584"/>
    <w:rsid w:val="009527A7"/>
    <w:rsid w:val="009554C6"/>
    <w:rsid w:val="00962A12"/>
    <w:rsid w:val="00964647"/>
    <w:rsid w:val="00965514"/>
    <w:rsid w:val="00972DDA"/>
    <w:rsid w:val="00973F74"/>
    <w:rsid w:val="00981442"/>
    <w:rsid w:val="00981C41"/>
    <w:rsid w:val="00985B93"/>
    <w:rsid w:val="00991AC3"/>
    <w:rsid w:val="00992860"/>
    <w:rsid w:val="009929D5"/>
    <w:rsid w:val="00994572"/>
    <w:rsid w:val="00994623"/>
    <w:rsid w:val="00996CD2"/>
    <w:rsid w:val="009C1EF7"/>
    <w:rsid w:val="009D2B07"/>
    <w:rsid w:val="009E2134"/>
    <w:rsid w:val="009E38DB"/>
    <w:rsid w:val="009E6C82"/>
    <w:rsid w:val="00A12338"/>
    <w:rsid w:val="00A16598"/>
    <w:rsid w:val="00A354B2"/>
    <w:rsid w:val="00A409FE"/>
    <w:rsid w:val="00A477A2"/>
    <w:rsid w:val="00A57410"/>
    <w:rsid w:val="00A629FA"/>
    <w:rsid w:val="00A73A94"/>
    <w:rsid w:val="00A7640F"/>
    <w:rsid w:val="00A95088"/>
    <w:rsid w:val="00AA1D57"/>
    <w:rsid w:val="00AA47EA"/>
    <w:rsid w:val="00AA7151"/>
    <w:rsid w:val="00AB5B0D"/>
    <w:rsid w:val="00AB64C1"/>
    <w:rsid w:val="00AC3DE8"/>
    <w:rsid w:val="00AE0EAA"/>
    <w:rsid w:val="00AE15B4"/>
    <w:rsid w:val="00AE604A"/>
    <w:rsid w:val="00AF3F29"/>
    <w:rsid w:val="00B02425"/>
    <w:rsid w:val="00B174D3"/>
    <w:rsid w:val="00B17623"/>
    <w:rsid w:val="00B33943"/>
    <w:rsid w:val="00B37864"/>
    <w:rsid w:val="00B7502E"/>
    <w:rsid w:val="00B81668"/>
    <w:rsid w:val="00B83B54"/>
    <w:rsid w:val="00B92C78"/>
    <w:rsid w:val="00B956E4"/>
    <w:rsid w:val="00B967B4"/>
    <w:rsid w:val="00BA24E6"/>
    <w:rsid w:val="00BB0B0A"/>
    <w:rsid w:val="00BB1E3B"/>
    <w:rsid w:val="00BB675F"/>
    <w:rsid w:val="00BB6BD1"/>
    <w:rsid w:val="00BC22E5"/>
    <w:rsid w:val="00BC341D"/>
    <w:rsid w:val="00BD12A2"/>
    <w:rsid w:val="00BD2265"/>
    <w:rsid w:val="00BE0814"/>
    <w:rsid w:val="00BE7A18"/>
    <w:rsid w:val="00BF15BF"/>
    <w:rsid w:val="00C01C7A"/>
    <w:rsid w:val="00C0416E"/>
    <w:rsid w:val="00C0527E"/>
    <w:rsid w:val="00C108F1"/>
    <w:rsid w:val="00C120A4"/>
    <w:rsid w:val="00C14C07"/>
    <w:rsid w:val="00C276DC"/>
    <w:rsid w:val="00C31BFA"/>
    <w:rsid w:val="00C374C6"/>
    <w:rsid w:val="00C47081"/>
    <w:rsid w:val="00C571D7"/>
    <w:rsid w:val="00C75EFC"/>
    <w:rsid w:val="00C80E4F"/>
    <w:rsid w:val="00C87CF3"/>
    <w:rsid w:val="00C9129E"/>
    <w:rsid w:val="00C93235"/>
    <w:rsid w:val="00CA3773"/>
    <w:rsid w:val="00CA4198"/>
    <w:rsid w:val="00CC2429"/>
    <w:rsid w:val="00CC6374"/>
    <w:rsid w:val="00CC71A8"/>
    <w:rsid w:val="00CE3A36"/>
    <w:rsid w:val="00CF045B"/>
    <w:rsid w:val="00CF5C7D"/>
    <w:rsid w:val="00D01827"/>
    <w:rsid w:val="00D03909"/>
    <w:rsid w:val="00D03F1E"/>
    <w:rsid w:val="00D06DBA"/>
    <w:rsid w:val="00D168AA"/>
    <w:rsid w:val="00D17390"/>
    <w:rsid w:val="00D23B42"/>
    <w:rsid w:val="00D279DE"/>
    <w:rsid w:val="00D31384"/>
    <w:rsid w:val="00D6182D"/>
    <w:rsid w:val="00D651EB"/>
    <w:rsid w:val="00D662C7"/>
    <w:rsid w:val="00D67CD2"/>
    <w:rsid w:val="00D77446"/>
    <w:rsid w:val="00D82B6F"/>
    <w:rsid w:val="00D83950"/>
    <w:rsid w:val="00D85D49"/>
    <w:rsid w:val="00DB10EA"/>
    <w:rsid w:val="00DB1544"/>
    <w:rsid w:val="00DB162B"/>
    <w:rsid w:val="00DB3540"/>
    <w:rsid w:val="00DC60CF"/>
    <w:rsid w:val="00DC7526"/>
    <w:rsid w:val="00DD7988"/>
    <w:rsid w:val="00DF1942"/>
    <w:rsid w:val="00E10B59"/>
    <w:rsid w:val="00E17BDA"/>
    <w:rsid w:val="00E2553D"/>
    <w:rsid w:val="00E32214"/>
    <w:rsid w:val="00E35171"/>
    <w:rsid w:val="00E47784"/>
    <w:rsid w:val="00E503F5"/>
    <w:rsid w:val="00E51970"/>
    <w:rsid w:val="00E60FB9"/>
    <w:rsid w:val="00E62483"/>
    <w:rsid w:val="00E64E54"/>
    <w:rsid w:val="00E662C7"/>
    <w:rsid w:val="00E71A68"/>
    <w:rsid w:val="00E724A1"/>
    <w:rsid w:val="00E725BD"/>
    <w:rsid w:val="00E740A1"/>
    <w:rsid w:val="00E8474F"/>
    <w:rsid w:val="00E97E22"/>
    <w:rsid w:val="00EA5A37"/>
    <w:rsid w:val="00EA5EC2"/>
    <w:rsid w:val="00EB3C5B"/>
    <w:rsid w:val="00EB64AE"/>
    <w:rsid w:val="00ED0C97"/>
    <w:rsid w:val="00ED50D1"/>
    <w:rsid w:val="00ED5B5E"/>
    <w:rsid w:val="00EF1ABC"/>
    <w:rsid w:val="00F027E3"/>
    <w:rsid w:val="00F03B4F"/>
    <w:rsid w:val="00F1098F"/>
    <w:rsid w:val="00F11925"/>
    <w:rsid w:val="00F11C3A"/>
    <w:rsid w:val="00F20A48"/>
    <w:rsid w:val="00F27E41"/>
    <w:rsid w:val="00F43F98"/>
    <w:rsid w:val="00F55FAC"/>
    <w:rsid w:val="00F562D1"/>
    <w:rsid w:val="00F652BB"/>
    <w:rsid w:val="00F72D90"/>
    <w:rsid w:val="00F9429C"/>
    <w:rsid w:val="00FA6083"/>
    <w:rsid w:val="00FC37EA"/>
    <w:rsid w:val="00FC452F"/>
    <w:rsid w:val="00FC54F8"/>
    <w:rsid w:val="00FE5D5A"/>
    <w:rsid w:val="00FE665E"/>
  </w:rsids>
  <m:mathPr>
    <m:mathFont m:val="Cambria Math"/>
    <m:brkBin m:val="before"/>
    <m:brkBinSub m:val="--"/>
    <m:smallFrac m:val="0"/>
    <m:dispDef/>
    <m:lMargin m:val="0"/>
    <m:rMargin m:val="0"/>
    <m:defJc m:val="centerGroup"/>
    <m:wrapIndent m:val="1440"/>
    <m:intLim m:val="subSup"/>
    <m:naryLim m:val="undOvr"/>
  </m:mathPr>
  <w:themeFontLang w:val="ru-RU" w:bidi="gu-I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HAns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302FB"/>
    <w:pPr>
      <w:spacing w:after="0" w:line="240" w:lineRule="auto"/>
    </w:pPr>
    <w:rPr>
      <w:rFonts w:ascii="Antiqua" w:hAnsi="Antiqua" w:cs="Times New Roman"/>
      <w:sz w:val="26"/>
      <w:szCs w:val="20"/>
      <w:lang w:eastAsia="ru-RU"/>
    </w:rPr>
  </w:style>
  <w:style w:type="paragraph" w:styleId="1">
    <w:name w:val="heading 1"/>
    <w:basedOn w:val="a"/>
    <w:next w:val="a"/>
    <w:link w:val="10"/>
    <w:uiPriority w:val="9"/>
    <w:qFormat/>
    <w:rsid w:val="00176413"/>
    <w:pPr>
      <w:keepNext/>
      <w:outlineLvl w:val="0"/>
    </w:pPr>
    <w:rPr>
      <w:rFonts w:ascii="Calibri" w:eastAsia="MS Mincho" w:hAnsi="Calibri"/>
      <w:b/>
      <w:bCs/>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176413"/>
    <w:rPr>
      <w:rFonts w:ascii="Calibri" w:eastAsia="MS Mincho" w:hAnsi="Calibri" w:cs="Times New Roman"/>
      <w:b/>
      <w:bCs/>
    </w:rPr>
  </w:style>
  <w:style w:type="paragraph" w:customStyle="1" w:styleId="a3">
    <w:name w:val="Нормальний текст"/>
    <w:basedOn w:val="a"/>
    <w:rsid w:val="001D7B4B"/>
    <w:pPr>
      <w:spacing w:before="120"/>
      <w:ind w:firstLine="567"/>
      <w:jc w:val="both"/>
    </w:pPr>
  </w:style>
  <w:style w:type="paragraph" w:customStyle="1" w:styleId="a4">
    <w:name w:val="Установа"/>
    <w:basedOn w:val="a"/>
    <w:rsid w:val="001D7B4B"/>
    <w:pPr>
      <w:keepNext/>
      <w:keepLines/>
      <w:spacing w:before="120"/>
      <w:jc w:val="center"/>
    </w:pPr>
    <w:rPr>
      <w:b/>
      <w:i/>
      <w:caps/>
      <w:sz w:val="48"/>
    </w:rPr>
  </w:style>
  <w:style w:type="paragraph" w:customStyle="1" w:styleId="a5">
    <w:name w:val="Вид документа"/>
    <w:basedOn w:val="a4"/>
    <w:next w:val="a"/>
    <w:rsid w:val="001D7B4B"/>
    <w:pPr>
      <w:spacing w:before="0" w:after="240"/>
      <w:jc w:val="right"/>
    </w:pPr>
    <w:rPr>
      <w:b w:val="0"/>
      <w:i w:val="0"/>
      <w:caps w:val="0"/>
      <w:spacing w:val="20"/>
      <w:sz w:val="26"/>
    </w:rPr>
  </w:style>
  <w:style w:type="paragraph" w:customStyle="1" w:styleId="a6">
    <w:name w:val="Назва документа"/>
    <w:basedOn w:val="a"/>
    <w:next w:val="a3"/>
    <w:rsid w:val="001D7B4B"/>
    <w:pPr>
      <w:keepNext/>
      <w:keepLines/>
      <w:spacing w:before="360" w:after="360"/>
      <w:jc w:val="center"/>
    </w:pPr>
    <w:rPr>
      <w:b/>
    </w:rPr>
  </w:style>
  <w:style w:type="paragraph" w:styleId="a7">
    <w:name w:val="Balloon Text"/>
    <w:basedOn w:val="a"/>
    <w:link w:val="a8"/>
    <w:uiPriority w:val="99"/>
    <w:semiHidden/>
    <w:unhideWhenUsed/>
    <w:rsid w:val="00B33943"/>
    <w:rPr>
      <w:rFonts w:ascii="Tahoma" w:hAnsi="Tahoma" w:cs="Tahoma"/>
      <w:sz w:val="16"/>
      <w:szCs w:val="16"/>
    </w:rPr>
  </w:style>
  <w:style w:type="character" w:customStyle="1" w:styleId="11">
    <w:name w:val="Основний текст Знак1"/>
    <w:basedOn w:val="a0"/>
    <w:link w:val="a9"/>
    <w:uiPriority w:val="99"/>
    <w:semiHidden/>
    <w:locked/>
    <w:rsid w:val="005B2D94"/>
    <w:rPr>
      <w:rFonts w:ascii="Antiqua" w:hAnsi="Antiqua" w:cs="Times New Roman"/>
      <w:sz w:val="20"/>
      <w:szCs w:val="20"/>
      <w:lang w:val="x-none" w:eastAsia="ru-RU"/>
    </w:rPr>
  </w:style>
  <w:style w:type="character" w:customStyle="1" w:styleId="a8">
    <w:name w:val="Текст у виносці Знак"/>
    <w:basedOn w:val="a0"/>
    <w:link w:val="a7"/>
    <w:uiPriority w:val="99"/>
    <w:semiHidden/>
    <w:locked/>
    <w:rsid w:val="00B33943"/>
    <w:rPr>
      <w:rFonts w:ascii="Tahoma" w:hAnsi="Tahoma" w:cs="Tahoma"/>
      <w:sz w:val="16"/>
      <w:szCs w:val="16"/>
      <w:lang w:val="x-none" w:eastAsia="ru-RU"/>
    </w:rPr>
  </w:style>
  <w:style w:type="character" w:styleId="aa">
    <w:name w:val="Strong"/>
    <w:basedOn w:val="a0"/>
    <w:uiPriority w:val="22"/>
    <w:qFormat/>
    <w:rsid w:val="00E62483"/>
    <w:rPr>
      <w:rFonts w:cs="Times New Roman"/>
      <w:b/>
      <w:bCs/>
    </w:rPr>
  </w:style>
  <w:style w:type="paragraph" w:styleId="ab">
    <w:name w:val="header"/>
    <w:basedOn w:val="a"/>
    <w:link w:val="ac"/>
    <w:uiPriority w:val="99"/>
    <w:unhideWhenUsed/>
    <w:rsid w:val="00DC60CF"/>
    <w:pPr>
      <w:tabs>
        <w:tab w:val="center" w:pos="4677"/>
        <w:tab w:val="right" w:pos="9355"/>
      </w:tabs>
    </w:pPr>
  </w:style>
  <w:style w:type="paragraph" w:styleId="ad">
    <w:name w:val="List Paragraph"/>
    <w:basedOn w:val="a"/>
    <w:uiPriority w:val="34"/>
    <w:qFormat/>
    <w:rsid w:val="00EA5A37"/>
    <w:pPr>
      <w:ind w:left="720"/>
      <w:contextualSpacing/>
    </w:pPr>
  </w:style>
  <w:style w:type="character" w:customStyle="1" w:styleId="ac">
    <w:name w:val="Верхній колонтитул Знак"/>
    <w:basedOn w:val="a0"/>
    <w:link w:val="ab"/>
    <w:uiPriority w:val="99"/>
    <w:locked/>
    <w:rsid w:val="00DC60CF"/>
    <w:rPr>
      <w:rFonts w:ascii="Antiqua" w:hAnsi="Antiqua" w:cs="Times New Roman"/>
      <w:sz w:val="20"/>
      <w:szCs w:val="20"/>
      <w:lang w:val="x-none" w:eastAsia="ru-RU"/>
    </w:rPr>
  </w:style>
  <w:style w:type="character" w:customStyle="1" w:styleId="12">
    <w:name w:val="Нижній колонтитул Знак1"/>
    <w:basedOn w:val="a0"/>
    <w:link w:val="ae"/>
    <w:uiPriority w:val="99"/>
    <w:locked/>
    <w:rsid w:val="00DC60CF"/>
    <w:rPr>
      <w:rFonts w:ascii="Antiqua" w:hAnsi="Antiqua" w:cs="Times New Roman"/>
      <w:sz w:val="20"/>
      <w:szCs w:val="20"/>
      <w:lang w:val="x-none" w:eastAsia="ru-RU"/>
    </w:rPr>
  </w:style>
  <w:style w:type="paragraph" w:styleId="a9">
    <w:name w:val="Body Text"/>
    <w:basedOn w:val="a"/>
    <w:link w:val="11"/>
    <w:uiPriority w:val="99"/>
    <w:semiHidden/>
    <w:unhideWhenUsed/>
    <w:rsid w:val="005B2D94"/>
    <w:pPr>
      <w:spacing w:after="120"/>
    </w:pPr>
  </w:style>
  <w:style w:type="character" w:customStyle="1" w:styleId="af">
    <w:name w:val="Основний текст Знак"/>
    <w:basedOn w:val="a0"/>
    <w:uiPriority w:val="99"/>
    <w:semiHidden/>
    <w:rPr>
      <w:rFonts w:ascii="Antiqua" w:hAnsi="Antiqua" w:cs="Times New Roman"/>
      <w:sz w:val="26"/>
      <w:szCs w:val="20"/>
      <w:lang w:eastAsia="ru-RU"/>
    </w:rPr>
  </w:style>
  <w:style w:type="character" w:customStyle="1" w:styleId="13">
    <w:name w:val="Основной текст Знак1"/>
    <w:basedOn w:val="a0"/>
    <w:uiPriority w:val="99"/>
    <w:semiHidden/>
    <w:rPr>
      <w:rFonts w:ascii="Antiqua" w:hAnsi="Antiqua" w:cs="Times New Roman"/>
      <w:sz w:val="20"/>
      <w:szCs w:val="20"/>
      <w:lang w:val="x-none" w:eastAsia="ru-RU"/>
    </w:rPr>
  </w:style>
  <w:style w:type="character" w:customStyle="1" w:styleId="129">
    <w:name w:val="Основной текст Знак129"/>
    <w:basedOn w:val="a0"/>
    <w:uiPriority w:val="99"/>
    <w:semiHidden/>
    <w:rPr>
      <w:rFonts w:ascii="Antiqua" w:hAnsi="Antiqua" w:cs="Times New Roman"/>
      <w:sz w:val="20"/>
      <w:szCs w:val="20"/>
      <w:lang w:val="x-none" w:eastAsia="ru-RU"/>
    </w:rPr>
  </w:style>
  <w:style w:type="character" w:customStyle="1" w:styleId="128">
    <w:name w:val="Основной текст Знак128"/>
    <w:basedOn w:val="a0"/>
    <w:uiPriority w:val="99"/>
    <w:semiHidden/>
    <w:rPr>
      <w:rFonts w:ascii="Antiqua" w:hAnsi="Antiqua" w:cs="Times New Roman"/>
      <w:sz w:val="20"/>
      <w:szCs w:val="20"/>
      <w:lang w:val="x-none" w:eastAsia="ru-RU"/>
    </w:rPr>
  </w:style>
  <w:style w:type="character" w:customStyle="1" w:styleId="127">
    <w:name w:val="Основной текст Знак127"/>
    <w:basedOn w:val="a0"/>
    <w:uiPriority w:val="99"/>
    <w:semiHidden/>
    <w:rPr>
      <w:rFonts w:ascii="Antiqua" w:hAnsi="Antiqua" w:cs="Times New Roman"/>
      <w:sz w:val="20"/>
      <w:szCs w:val="20"/>
      <w:lang w:val="x-none" w:eastAsia="ru-RU"/>
    </w:rPr>
  </w:style>
  <w:style w:type="character" w:customStyle="1" w:styleId="126">
    <w:name w:val="Основной текст Знак126"/>
    <w:basedOn w:val="a0"/>
    <w:uiPriority w:val="99"/>
    <w:semiHidden/>
    <w:rPr>
      <w:rFonts w:ascii="Antiqua" w:hAnsi="Antiqua" w:cs="Times New Roman"/>
      <w:sz w:val="20"/>
      <w:szCs w:val="20"/>
      <w:lang w:val="x-none" w:eastAsia="ru-RU"/>
    </w:rPr>
  </w:style>
  <w:style w:type="character" w:customStyle="1" w:styleId="125">
    <w:name w:val="Основной текст Знак125"/>
    <w:basedOn w:val="a0"/>
    <w:uiPriority w:val="99"/>
    <w:semiHidden/>
    <w:rPr>
      <w:rFonts w:ascii="Antiqua" w:hAnsi="Antiqua" w:cs="Times New Roman"/>
      <w:sz w:val="20"/>
      <w:szCs w:val="20"/>
      <w:lang w:val="x-none" w:eastAsia="ru-RU"/>
    </w:rPr>
  </w:style>
  <w:style w:type="character" w:customStyle="1" w:styleId="124">
    <w:name w:val="Основной текст Знак124"/>
    <w:basedOn w:val="a0"/>
    <w:uiPriority w:val="99"/>
    <w:semiHidden/>
    <w:rPr>
      <w:rFonts w:ascii="Antiqua" w:hAnsi="Antiqua" w:cs="Times New Roman"/>
      <w:sz w:val="20"/>
      <w:szCs w:val="20"/>
      <w:lang w:val="x-none" w:eastAsia="ru-RU"/>
    </w:rPr>
  </w:style>
  <w:style w:type="character" w:customStyle="1" w:styleId="123">
    <w:name w:val="Основной текст Знак123"/>
    <w:basedOn w:val="a0"/>
    <w:uiPriority w:val="99"/>
    <w:semiHidden/>
    <w:rPr>
      <w:rFonts w:ascii="Antiqua" w:hAnsi="Antiqua" w:cs="Times New Roman"/>
      <w:sz w:val="20"/>
      <w:szCs w:val="20"/>
      <w:lang w:val="x-none" w:eastAsia="ru-RU"/>
    </w:rPr>
  </w:style>
  <w:style w:type="character" w:customStyle="1" w:styleId="122">
    <w:name w:val="Основной текст Знак122"/>
    <w:basedOn w:val="a0"/>
    <w:uiPriority w:val="99"/>
    <w:semiHidden/>
    <w:rPr>
      <w:rFonts w:ascii="Antiqua" w:hAnsi="Antiqua" w:cs="Times New Roman"/>
      <w:sz w:val="20"/>
      <w:szCs w:val="20"/>
      <w:lang w:val="x-none" w:eastAsia="ru-RU"/>
    </w:rPr>
  </w:style>
  <w:style w:type="character" w:customStyle="1" w:styleId="121">
    <w:name w:val="Основной текст Знак121"/>
    <w:basedOn w:val="a0"/>
    <w:uiPriority w:val="99"/>
    <w:semiHidden/>
    <w:rPr>
      <w:rFonts w:ascii="Antiqua" w:hAnsi="Antiqua" w:cs="Times New Roman"/>
      <w:sz w:val="20"/>
      <w:szCs w:val="20"/>
      <w:lang w:val="x-none" w:eastAsia="ru-RU"/>
    </w:rPr>
  </w:style>
  <w:style w:type="character" w:customStyle="1" w:styleId="120">
    <w:name w:val="Основной текст Знак120"/>
    <w:basedOn w:val="a0"/>
    <w:uiPriority w:val="99"/>
    <w:semiHidden/>
    <w:rPr>
      <w:rFonts w:ascii="Antiqua" w:hAnsi="Antiqua" w:cs="Times New Roman"/>
      <w:sz w:val="20"/>
      <w:szCs w:val="20"/>
      <w:lang w:val="x-none" w:eastAsia="ru-RU"/>
    </w:rPr>
  </w:style>
  <w:style w:type="character" w:customStyle="1" w:styleId="119">
    <w:name w:val="Основной текст Знак119"/>
    <w:basedOn w:val="a0"/>
    <w:uiPriority w:val="99"/>
    <w:semiHidden/>
    <w:rPr>
      <w:rFonts w:ascii="Antiqua" w:hAnsi="Antiqua" w:cs="Times New Roman"/>
      <w:sz w:val="20"/>
      <w:szCs w:val="20"/>
      <w:lang w:val="x-none" w:eastAsia="ru-RU"/>
    </w:rPr>
  </w:style>
  <w:style w:type="character" w:customStyle="1" w:styleId="118">
    <w:name w:val="Основной текст Знак118"/>
    <w:basedOn w:val="a0"/>
    <w:uiPriority w:val="99"/>
    <w:semiHidden/>
    <w:rPr>
      <w:rFonts w:ascii="Antiqua" w:hAnsi="Antiqua" w:cs="Times New Roman"/>
      <w:sz w:val="20"/>
      <w:szCs w:val="20"/>
      <w:lang w:val="x-none" w:eastAsia="ru-RU"/>
    </w:rPr>
  </w:style>
  <w:style w:type="character" w:customStyle="1" w:styleId="117">
    <w:name w:val="Основной текст Знак117"/>
    <w:basedOn w:val="a0"/>
    <w:uiPriority w:val="99"/>
    <w:semiHidden/>
    <w:rPr>
      <w:rFonts w:ascii="Antiqua" w:hAnsi="Antiqua" w:cs="Times New Roman"/>
      <w:sz w:val="20"/>
      <w:szCs w:val="20"/>
      <w:lang w:val="x-none" w:eastAsia="ru-RU"/>
    </w:rPr>
  </w:style>
  <w:style w:type="character" w:customStyle="1" w:styleId="116">
    <w:name w:val="Основной текст Знак116"/>
    <w:basedOn w:val="a0"/>
    <w:uiPriority w:val="99"/>
    <w:semiHidden/>
    <w:rPr>
      <w:rFonts w:ascii="Antiqua" w:hAnsi="Antiqua" w:cs="Times New Roman"/>
      <w:sz w:val="20"/>
      <w:szCs w:val="20"/>
      <w:lang w:val="x-none" w:eastAsia="ru-RU"/>
    </w:rPr>
  </w:style>
  <w:style w:type="character" w:customStyle="1" w:styleId="115">
    <w:name w:val="Основной текст Знак115"/>
    <w:basedOn w:val="a0"/>
    <w:uiPriority w:val="99"/>
    <w:semiHidden/>
    <w:rPr>
      <w:rFonts w:ascii="Antiqua" w:hAnsi="Antiqua" w:cs="Times New Roman"/>
      <w:sz w:val="20"/>
      <w:szCs w:val="20"/>
      <w:lang w:val="x-none" w:eastAsia="ru-RU"/>
    </w:rPr>
  </w:style>
  <w:style w:type="character" w:customStyle="1" w:styleId="114">
    <w:name w:val="Основной текст Знак114"/>
    <w:basedOn w:val="a0"/>
    <w:uiPriority w:val="99"/>
    <w:semiHidden/>
    <w:rPr>
      <w:rFonts w:ascii="Antiqua" w:hAnsi="Antiqua" w:cs="Times New Roman"/>
      <w:sz w:val="20"/>
      <w:szCs w:val="20"/>
      <w:lang w:val="x-none" w:eastAsia="ru-RU"/>
    </w:rPr>
  </w:style>
  <w:style w:type="character" w:customStyle="1" w:styleId="113">
    <w:name w:val="Основной текст Знак113"/>
    <w:basedOn w:val="a0"/>
    <w:uiPriority w:val="99"/>
    <w:semiHidden/>
    <w:rPr>
      <w:rFonts w:ascii="Antiqua" w:hAnsi="Antiqua" w:cs="Times New Roman"/>
      <w:sz w:val="20"/>
      <w:szCs w:val="20"/>
      <w:lang w:val="x-none" w:eastAsia="ru-RU"/>
    </w:rPr>
  </w:style>
  <w:style w:type="character" w:customStyle="1" w:styleId="112">
    <w:name w:val="Основной текст Знак112"/>
    <w:basedOn w:val="a0"/>
    <w:uiPriority w:val="99"/>
    <w:semiHidden/>
    <w:rPr>
      <w:rFonts w:ascii="Antiqua" w:hAnsi="Antiqua" w:cs="Times New Roman"/>
      <w:sz w:val="20"/>
      <w:szCs w:val="20"/>
      <w:lang w:val="x-none" w:eastAsia="ru-RU"/>
    </w:rPr>
  </w:style>
  <w:style w:type="character" w:customStyle="1" w:styleId="111">
    <w:name w:val="Основной текст Знак111"/>
    <w:basedOn w:val="a0"/>
    <w:uiPriority w:val="99"/>
    <w:semiHidden/>
    <w:rPr>
      <w:rFonts w:ascii="Antiqua" w:hAnsi="Antiqua" w:cs="Times New Roman"/>
      <w:sz w:val="20"/>
      <w:szCs w:val="20"/>
      <w:lang w:val="x-none" w:eastAsia="ru-RU"/>
    </w:rPr>
  </w:style>
  <w:style w:type="character" w:customStyle="1" w:styleId="110">
    <w:name w:val="Основной текст Знак110"/>
    <w:basedOn w:val="a0"/>
    <w:uiPriority w:val="99"/>
    <w:semiHidden/>
    <w:rPr>
      <w:rFonts w:ascii="Antiqua" w:hAnsi="Antiqua" w:cs="Times New Roman"/>
      <w:sz w:val="20"/>
      <w:szCs w:val="20"/>
      <w:lang w:val="x-none" w:eastAsia="ru-RU"/>
    </w:rPr>
  </w:style>
  <w:style w:type="character" w:customStyle="1" w:styleId="19">
    <w:name w:val="Основной текст Знак19"/>
    <w:basedOn w:val="a0"/>
    <w:uiPriority w:val="99"/>
    <w:semiHidden/>
    <w:rPr>
      <w:rFonts w:ascii="Antiqua" w:hAnsi="Antiqua" w:cs="Times New Roman"/>
      <w:sz w:val="20"/>
      <w:szCs w:val="20"/>
      <w:lang w:val="x-none" w:eastAsia="ru-RU"/>
    </w:rPr>
  </w:style>
  <w:style w:type="character" w:customStyle="1" w:styleId="18">
    <w:name w:val="Основной текст Знак18"/>
    <w:basedOn w:val="a0"/>
    <w:uiPriority w:val="99"/>
    <w:semiHidden/>
    <w:rPr>
      <w:rFonts w:ascii="Antiqua" w:hAnsi="Antiqua" w:cs="Times New Roman"/>
      <w:sz w:val="20"/>
      <w:szCs w:val="20"/>
      <w:lang w:val="x-none" w:eastAsia="ru-RU"/>
    </w:rPr>
  </w:style>
  <w:style w:type="character" w:customStyle="1" w:styleId="17">
    <w:name w:val="Основной текст Знак17"/>
    <w:basedOn w:val="a0"/>
    <w:uiPriority w:val="99"/>
    <w:semiHidden/>
    <w:rPr>
      <w:rFonts w:ascii="Antiqua" w:hAnsi="Antiqua" w:cs="Times New Roman"/>
      <w:sz w:val="20"/>
      <w:szCs w:val="20"/>
      <w:lang w:val="x-none" w:eastAsia="ru-RU"/>
    </w:rPr>
  </w:style>
  <w:style w:type="character" w:customStyle="1" w:styleId="16">
    <w:name w:val="Основной текст Знак16"/>
    <w:basedOn w:val="a0"/>
    <w:uiPriority w:val="99"/>
    <w:semiHidden/>
    <w:rPr>
      <w:rFonts w:ascii="Antiqua" w:hAnsi="Antiqua" w:cs="Times New Roman"/>
      <w:sz w:val="20"/>
      <w:szCs w:val="20"/>
      <w:lang w:val="x-none" w:eastAsia="ru-RU"/>
    </w:rPr>
  </w:style>
  <w:style w:type="character" w:customStyle="1" w:styleId="15">
    <w:name w:val="Основной текст Знак15"/>
    <w:basedOn w:val="a0"/>
    <w:uiPriority w:val="99"/>
    <w:semiHidden/>
    <w:rPr>
      <w:rFonts w:ascii="Antiqua" w:hAnsi="Antiqua" w:cs="Times New Roman"/>
      <w:sz w:val="20"/>
      <w:szCs w:val="20"/>
      <w:lang w:val="x-none" w:eastAsia="ru-RU"/>
    </w:rPr>
  </w:style>
  <w:style w:type="character" w:customStyle="1" w:styleId="14">
    <w:name w:val="Основной текст Знак14"/>
    <w:basedOn w:val="a0"/>
    <w:uiPriority w:val="99"/>
    <w:semiHidden/>
    <w:rPr>
      <w:rFonts w:ascii="Antiqua" w:hAnsi="Antiqua" w:cs="Times New Roman"/>
      <w:sz w:val="20"/>
      <w:szCs w:val="20"/>
      <w:lang w:val="x-none" w:eastAsia="ru-RU"/>
    </w:rPr>
  </w:style>
  <w:style w:type="character" w:customStyle="1" w:styleId="130">
    <w:name w:val="Основной текст Знак13"/>
    <w:basedOn w:val="a0"/>
    <w:uiPriority w:val="99"/>
    <w:semiHidden/>
    <w:rPr>
      <w:rFonts w:ascii="Antiqua" w:hAnsi="Antiqua" w:cs="Times New Roman"/>
      <w:sz w:val="20"/>
      <w:szCs w:val="20"/>
      <w:lang w:val="x-none" w:eastAsia="ru-RU"/>
    </w:rPr>
  </w:style>
  <w:style w:type="character" w:customStyle="1" w:styleId="12a">
    <w:name w:val="Основной текст Знак12"/>
    <w:basedOn w:val="a0"/>
    <w:uiPriority w:val="99"/>
    <w:semiHidden/>
    <w:rPr>
      <w:rFonts w:ascii="Antiqua" w:hAnsi="Antiqua" w:cs="Times New Roman"/>
      <w:sz w:val="20"/>
      <w:szCs w:val="20"/>
      <w:lang w:val="x-none" w:eastAsia="ru-RU"/>
    </w:rPr>
  </w:style>
  <w:style w:type="character" w:customStyle="1" w:styleId="11a">
    <w:name w:val="Основной текст Знак11"/>
    <w:basedOn w:val="a0"/>
    <w:uiPriority w:val="99"/>
    <w:semiHidden/>
    <w:rPr>
      <w:rFonts w:ascii="Antiqua" w:hAnsi="Antiqua" w:cs="Times New Roman"/>
      <w:sz w:val="20"/>
      <w:szCs w:val="20"/>
      <w:lang w:val="x-none" w:eastAsia="ru-RU"/>
    </w:rPr>
  </w:style>
  <w:style w:type="paragraph" w:customStyle="1" w:styleId="rvps2">
    <w:name w:val="rvps2"/>
    <w:basedOn w:val="a"/>
    <w:rsid w:val="005454C4"/>
    <w:pPr>
      <w:spacing w:before="100" w:beforeAutospacing="1" w:after="100" w:afterAutospacing="1"/>
    </w:pPr>
    <w:rPr>
      <w:rFonts w:ascii="Times New Roman" w:hAnsi="Times New Roman"/>
      <w:sz w:val="24"/>
      <w:szCs w:val="24"/>
      <w:lang w:val="ru-RU"/>
    </w:rPr>
  </w:style>
  <w:style w:type="paragraph" w:styleId="ae">
    <w:name w:val="footer"/>
    <w:basedOn w:val="a"/>
    <w:link w:val="12"/>
    <w:uiPriority w:val="99"/>
    <w:unhideWhenUsed/>
    <w:rsid w:val="00DC60CF"/>
    <w:pPr>
      <w:tabs>
        <w:tab w:val="center" w:pos="4677"/>
        <w:tab w:val="right" w:pos="9355"/>
      </w:tabs>
    </w:pPr>
  </w:style>
  <w:style w:type="character" w:customStyle="1" w:styleId="af0">
    <w:name w:val="Нижній колонтитул Знак"/>
    <w:basedOn w:val="a0"/>
    <w:uiPriority w:val="99"/>
    <w:semiHidden/>
    <w:rPr>
      <w:rFonts w:ascii="Antiqua" w:hAnsi="Antiqua" w:cs="Times New Roman"/>
      <w:sz w:val="26"/>
      <w:szCs w:val="20"/>
      <w:lang w:eastAsia="ru-RU"/>
    </w:rPr>
  </w:style>
  <w:style w:type="character" w:customStyle="1" w:styleId="af1">
    <w:name w:val="Нижний колонтитул Знак"/>
    <w:basedOn w:val="a0"/>
    <w:uiPriority w:val="99"/>
    <w:semiHidden/>
    <w:rPr>
      <w:rFonts w:ascii="Antiqua" w:hAnsi="Antiqua" w:cs="Times New Roman"/>
      <w:sz w:val="20"/>
      <w:szCs w:val="20"/>
      <w:lang w:val="x-none" w:eastAsia="ru-RU"/>
    </w:rPr>
  </w:style>
  <w:style w:type="character" w:customStyle="1" w:styleId="31">
    <w:name w:val="Нижний колонтитул Знак31"/>
    <w:basedOn w:val="a0"/>
    <w:uiPriority w:val="99"/>
    <w:semiHidden/>
    <w:rPr>
      <w:rFonts w:ascii="Antiqua" w:hAnsi="Antiqua" w:cs="Times New Roman"/>
      <w:sz w:val="20"/>
      <w:szCs w:val="20"/>
      <w:lang w:val="x-none" w:eastAsia="ru-RU"/>
    </w:rPr>
  </w:style>
  <w:style w:type="character" w:customStyle="1" w:styleId="30">
    <w:name w:val="Нижний колонтитул Знак30"/>
    <w:basedOn w:val="a0"/>
    <w:uiPriority w:val="99"/>
    <w:semiHidden/>
    <w:rPr>
      <w:rFonts w:ascii="Antiqua" w:hAnsi="Antiqua" w:cs="Times New Roman"/>
      <w:sz w:val="20"/>
      <w:szCs w:val="20"/>
      <w:lang w:val="x-none" w:eastAsia="ru-RU"/>
    </w:rPr>
  </w:style>
  <w:style w:type="character" w:customStyle="1" w:styleId="29">
    <w:name w:val="Нижний колонтитул Знак29"/>
    <w:basedOn w:val="a0"/>
    <w:uiPriority w:val="99"/>
    <w:semiHidden/>
    <w:rPr>
      <w:rFonts w:ascii="Antiqua" w:hAnsi="Antiqua" w:cs="Times New Roman"/>
      <w:sz w:val="20"/>
      <w:szCs w:val="20"/>
      <w:lang w:val="x-none" w:eastAsia="ru-RU"/>
    </w:rPr>
  </w:style>
  <w:style w:type="character" w:customStyle="1" w:styleId="28">
    <w:name w:val="Нижний колонтитул Знак28"/>
    <w:basedOn w:val="a0"/>
    <w:uiPriority w:val="99"/>
    <w:semiHidden/>
    <w:rPr>
      <w:rFonts w:ascii="Antiqua" w:hAnsi="Antiqua" w:cs="Times New Roman"/>
      <w:sz w:val="20"/>
      <w:szCs w:val="20"/>
      <w:lang w:val="x-none" w:eastAsia="ru-RU"/>
    </w:rPr>
  </w:style>
  <w:style w:type="character" w:customStyle="1" w:styleId="27">
    <w:name w:val="Нижний колонтитул Знак27"/>
    <w:basedOn w:val="a0"/>
    <w:uiPriority w:val="99"/>
    <w:semiHidden/>
    <w:rPr>
      <w:rFonts w:ascii="Antiqua" w:hAnsi="Antiqua" w:cs="Times New Roman"/>
      <w:sz w:val="20"/>
      <w:szCs w:val="20"/>
      <w:lang w:val="x-none" w:eastAsia="ru-RU"/>
    </w:rPr>
  </w:style>
  <w:style w:type="character" w:customStyle="1" w:styleId="26">
    <w:name w:val="Нижний колонтитул Знак26"/>
    <w:basedOn w:val="a0"/>
    <w:uiPriority w:val="99"/>
    <w:semiHidden/>
    <w:rPr>
      <w:rFonts w:ascii="Antiqua" w:hAnsi="Antiqua" w:cs="Times New Roman"/>
      <w:sz w:val="20"/>
      <w:szCs w:val="20"/>
      <w:lang w:val="x-none" w:eastAsia="ru-RU"/>
    </w:rPr>
  </w:style>
  <w:style w:type="character" w:customStyle="1" w:styleId="25">
    <w:name w:val="Нижний колонтитул Знак25"/>
    <w:basedOn w:val="a0"/>
    <w:uiPriority w:val="99"/>
    <w:semiHidden/>
    <w:rPr>
      <w:rFonts w:ascii="Antiqua" w:hAnsi="Antiqua" w:cs="Times New Roman"/>
      <w:sz w:val="20"/>
      <w:szCs w:val="20"/>
      <w:lang w:val="x-none" w:eastAsia="ru-RU"/>
    </w:rPr>
  </w:style>
  <w:style w:type="character" w:customStyle="1" w:styleId="24">
    <w:name w:val="Нижний колонтитул Знак24"/>
    <w:basedOn w:val="a0"/>
    <w:uiPriority w:val="99"/>
    <w:semiHidden/>
    <w:rPr>
      <w:rFonts w:ascii="Antiqua" w:hAnsi="Antiqua" w:cs="Times New Roman"/>
      <w:sz w:val="20"/>
      <w:szCs w:val="20"/>
      <w:lang w:val="x-none" w:eastAsia="ru-RU"/>
    </w:rPr>
  </w:style>
  <w:style w:type="character" w:customStyle="1" w:styleId="23">
    <w:name w:val="Нижний колонтитул Знак23"/>
    <w:basedOn w:val="a0"/>
    <w:uiPriority w:val="99"/>
    <w:semiHidden/>
    <w:rPr>
      <w:rFonts w:ascii="Antiqua" w:hAnsi="Antiqua" w:cs="Times New Roman"/>
      <w:sz w:val="20"/>
      <w:szCs w:val="20"/>
      <w:lang w:val="x-none" w:eastAsia="ru-RU"/>
    </w:rPr>
  </w:style>
  <w:style w:type="character" w:customStyle="1" w:styleId="22">
    <w:name w:val="Нижний колонтитул Знак22"/>
    <w:basedOn w:val="a0"/>
    <w:uiPriority w:val="99"/>
    <w:semiHidden/>
    <w:rPr>
      <w:rFonts w:ascii="Antiqua" w:hAnsi="Antiqua" w:cs="Times New Roman"/>
      <w:sz w:val="20"/>
      <w:szCs w:val="20"/>
      <w:lang w:val="x-none" w:eastAsia="ru-RU"/>
    </w:rPr>
  </w:style>
  <w:style w:type="character" w:customStyle="1" w:styleId="21">
    <w:name w:val="Нижний колонтитул Знак21"/>
    <w:basedOn w:val="a0"/>
    <w:uiPriority w:val="99"/>
    <w:semiHidden/>
    <w:rPr>
      <w:rFonts w:ascii="Antiqua" w:hAnsi="Antiqua" w:cs="Times New Roman"/>
      <w:sz w:val="20"/>
      <w:szCs w:val="20"/>
      <w:lang w:val="x-none" w:eastAsia="ru-RU"/>
    </w:rPr>
  </w:style>
  <w:style w:type="character" w:customStyle="1" w:styleId="20">
    <w:name w:val="Нижний колонтитул Знак20"/>
    <w:basedOn w:val="a0"/>
    <w:uiPriority w:val="99"/>
    <w:semiHidden/>
    <w:rPr>
      <w:rFonts w:ascii="Antiqua" w:hAnsi="Antiqua" w:cs="Times New Roman"/>
      <w:sz w:val="20"/>
      <w:szCs w:val="20"/>
      <w:lang w:val="x-none" w:eastAsia="ru-RU"/>
    </w:rPr>
  </w:style>
  <w:style w:type="character" w:customStyle="1" w:styleId="190">
    <w:name w:val="Нижний колонтитул Знак19"/>
    <w:basedOn w:val="a0"/>
    <w:uiPriority w:val="99"/>
    <w:semiHidden/>
    <w:rPr>
      <w:rFonts w:ascii="Antiqua" w:hAnsi="Antiqua" w:cs="Times New Roman"/>
      <w:sz w:val="20"/>
      <w:szCs w:val="20"/>
      <w:lang w:val="x-none" w:eastAsia="ru-RU"/>
    </w:rPr>
  </w:style>
  <w:style w:type="character" w:customStyle="1" w:styleId="180">
    <w:name w:val="Нижний колонтитул Знак18"/>
    <w:basedOn w:val="a0"/>
    <w:uiPriority w:val="99"/>
    <w:semiHidden/>
    <w:rPr>
      <w:rFonts w:ascii="Antiqua" w:hAnsi="Antiqua" w:cs="Times New Roman"/>
      <w:sz w:val="20"/>
      <w:szCs w:val="20"/>
      <w:lang w:val="x-none" w:eastAsia="ru-RU"/>
    </w:rPr>
  </w:style>
  <w:style w:type="character" w:customStyle="1" w:styleId="170">
    <w:name w:val="Нижний колонтитул Знак17"/>
    <w:basedOn w:val="a0"/>
    <w:uiPriority w:val="99"/>
    <w:semiHidden/>
    <w:rPr>
      <w:rFonts w:ascii="Antiqua" w:hAnsi="Antiqua" w:cs="Times New Roman"/>
      <w:sz w:val="20"/>
      <w:szCs w:val="20"/>
      <w:lang w:val="x-none" w:eastAsia="ru-RU"/>
    </w:rPr>
  </w:style>
  <w:style w:type="character" w:customStyle="1" w:styleId="160">
    <w:name w:val="Нижний колонтитул Знак16"/>
    <w:basedOn w:val="a0"/>
    <w:uiPriority w:val="99"/>
    <w:semiHidden/>
    <w:rPr>
      <w:rFonts w:ascii="Antiqua" w:hAnsi="Antiqua" w:cs="Times New Roman"/>
      <w:sz w:val="20"/>
      <w:szCs w:val="20"/>
      <w:lang w:val="x-none" w:eastAsia="ru-RU"/>
    </w:rPr>
  </w:style>
  <w:style w:type="character" w:customStyle="1" w:styleId="150">
    <w:name w:val="Нижний колонтитул Знак15"/>
    <w:basedOn w:val="a0"/>
    <w:uiPriority w:val="99"/>
    <w:semiHidden/>
    <w:rPr>
      <w:rFonts w:ascii="Antiqua" w:hAnsi="Antiqua" w:cs="Times New Roman"/>
      <w:sz w:val="20"/>
      <w:szCs w:val="20"/>
      <w:lang w:val="x-none" w:eastAsia="ru-RU"/>
    </w:rPr>
  </w:style>
  <w:style w:type="character" w:customStyle="1" w:styleId="140">
    <w:name w:val="Нижний колонтитул Знак14"/>
    <w:basedOn w:val="a0"/>
    <w:uiPriority w:val="99"/>
    <w:semiHidden/>
    <w:rPr>
      <w:rFonts w:ascii="Antiqua" w:hAnsi="Antiqua" w:cs="Times New Roman"/>
      <w:sz w:val="20"/>
      <w:szCs w:val="20"/>
      <w:lang w:val="x-none" w:eastAsia="ru-RU"/>
    </w:rPr>
  </w:style>
  <w:style w:type="character" w:customStyle="1" w:styleId="131">
    <w:name w:val="Нижний колонтитул Знак13"/>
    <w:basedOn w:val="a0"/>
    <w:uiPriority w:val="99"/>
    <w:semiHidden/>
    <w:rPr>
      <w:rFonts w:ascii="Antiqua" w:hAnsi="Antiqua" w:cs="Times New Roman"/>
      <w:sz w:val="20"/>
      <w:szCs w:val="20"/>
      <w:lang w:val="x-none" w:eastAsia="ru-RU"/>
    </w:rPr>
  </w:style>
  <w:style w:type="character" w:customStyle="1" w:styleId="12b">
    <w:name w:val="Нижний колонтитул Знак12"/>
    <w:basedOn w:val="a0"/>
    <w:uiPriority w:val="99"/>
    <w:semiHidden/>
    <w:rPr>
      <w:rFonts w:ascii="Antiqua" w:hAnsi="Antiqua" w:cs="Times New Roman"/>
      <w:sz w:val="20"/>
      <w:szCs w:val="20"/>
      <w:lang w:val="x-none" w:eastAsia="ru-RU"/>
    </w:rPr>
  </w:style>
  <w:style w:type="character" w:customStyle="1" w:styleId="11b">
    <w:name w:val="Нижний колонтитул Знак11"/>
    <w:basedOn w:val="a0"/>
    <w:uiPriority w:val="99"/>
    <w:semiHidden/>
    <w:rPr>
      <w:rFonts w:ascii="Antiqua" w:hAnsi="Antiqua" w:cs="Times New Roman"/>
      <w:sz w:val="20"/>
      <w:szCs w:val="20"/>
      <w:lang w:val="x-none" w:eastAsia="ru-RU"/>
    </w:rPr>
  </w:style>
  <w:style w:type="character" w:customStyle="1" w:styleId="100">
    <w:name w:val="Нижний колонтитул Знак10"/>
    <w:basedOn w:val="a0"/>
    <w:uiPriority w:val="99"/>
    <w:semiHidden/>
    <w:rPr>
      <w:rFonts w:ascii="Antiqua" w:hAnsi="Antiqua" w:cs="Times New Roman"/>
      <w:sz w:val="20"/>
      <w:szCs w:val="20"/>
      <w:lang w:val="x-none" w:eastAsia="ru-RU"/>
    </w:rPr>
  </w:style>
  <w:style w:type="character" w:customStyle="1" w:styleId="9">
    <w:name w:val="Нижний колонтитул Знак9"/>
    <w:basedOn w:val="a0"/>
    <w:uiPriority w:val="99"/>
    <w:semiHidden/>
    <w:rPr>
      <w:rFonts w:ascii="Antiqua" w:hAnsi="Antiqua" w:cs="Times New Roman"/>
      <w:sz w:val="20"/>
      <w:szCs w:val="20"/>
      <w:lang w:val="x-none" w:eastAsia="ru-RU"/>
    </w:rPr>
  </w:style>
  <w:style w:type="character" w:customStyle="1" w:styleId="8">
    <w:name w:val="Нижний колонтитул Знак8"/>
    <w:basedOn w:val="a0"/>
    <w:uiPriority w:val="99"/>
    <w:semiHidden/>
    <w:rPr>
      <w:rFonts w:ascii="Antiqua" w:hAnsi="Antiqua" w:cs="Times New Roman"/>
      <w:sz w:val="20"/>
      <w:szCs w:val="20"/>
      <w:lang w:val="x-none" w:eastAsia="ru-RU"/>
    </w:rPr>
  </w:style>
  <w:style w:type="character" w:customStyle="1" w:styleId="7">
    <w:name w:val="Нижний колонтитул Знак7"/>
    <w:basedOn w:val="a0"/>
    <w:uiPriority w:val="99"/>
    <w:semiHidden/>
    <w:rPr>
      <w:rFonts w:ascii="Antiqua" w:hAnsi="Antiqua" w:cs="Times New Roman"/>
      <w:sz w:val="20"/>
      <w:szCs w:val="20"/>
      <w:lang w:val="x-none" w:eastAsia="ru-RU"/>
    </w:rPr>
  </w:style>
  <w:style w:type="character" w:customStyle="1" w:styleId="6">
    <w:name w:val="Нижний колонтитул Знак6"/>
    <w:basedOn w:val="a0"/>
    <w:uiPriority w:val="99"/>
    <w:semiHidden/>
    <w:rPr>
      <w:rFonts w:ascii="Antiqua" w:hAnsi="Antiqua" w:cs="Times New Roman"/>
      <w:sz w:val="20"/>
      <w:szCs w:val="20"/>
      <w:lang w:val="x-none" w:eastAsia="ru-RU"/>
    </w:rPr>
  </w:style>
  <w:style w:type="character" w:customStyle="1" w:styleId="5">
    <w:name w:val="Нижний колонтитул Знак5"/>
    <w:basedOn w:val="a0"/>
    <w:uiPriority w:val="99"/>
    <w:semiHidden/>
    <w:rPr>
      <w:rFonts w:ascii="Antiqua" w:hAnsi="Antiqua" w:cs="Times New Roman"/>
      <w:sz w:val="20"/>
      <w:szCs w:val="20"/>
      <w:lang w:val="x-none" w:eastAsia="ru-RU"/>
    </w:rPr>
  </w:style>
  <w:style w:type="character" w:customStyle="1" w:styleId="4">
    <w:name w:val="Нижний колонтитул Знак4"/>
    <w:basedOn w:val="a0"/>
    <w:uiPriority w:val="99"/>
    <w:semiHidden/>
    <w:rPr>
      <w:rFonts w:ascii="Antiqua" w:hAnsi="Antiqua" w:cs="Times New Roman"/>
      <w:sz w:val="20"/>
      <w:szCs w:val="20"/>
      <w:lang w:val="x-none" w:eastAsia="ru-RU"/>
    </w:rPr>
  </w:style>
  <w:style w:type="character" w:customStyle="1" w:styleId="3">
    <w:name w:val="Нижний колонтитул Знак3"/>
    <w:basedOn w:val="a0"/>
    <w:uiPriority w:val="99"/>
    <w:semiHidden/>
    <w:rPr>
      <w:rFonts w:ascii="Antiqua" w:hAnsi="Antiqua" w:cs="Times New Roman"/>
      <w:sz w:val="20"/>
      <w:szCs w:val="20"/>
      <w:lang w:val="x-none" w:eastAsia="ru-RU"/>
    </w:rPr>
  </w:style>
  <w:style w:type="character" w:customStyle="1" w:styleId="2">
    <w:name w:val="Нижний колонтитул Знак2"/>
    <w:basedOn w:val="a0"/>
    <w:uiPriority w:val="99"/>
    <w:semiHidden/>
    <w:rPr>
      <w:rFonts w:ascii="Antiqua" w:hAnsi="Antiqua" w:cs="Times New Roman"/>
      <w:sz w:val="20"/>
      <w:szCs w:val="20"/>
      <w:lang w:val="x-none" w:eastAsia="ru-RU"/>
    </w:rPr>
  </w:style>
  <w:style w:type="character" w:styleId="af2">
    <w:name w:val="Hyperlink"/>
    <w:basedOn w:val="a0"/>
    <w:uiPriority w:val="99"/>
    <w:semiHidden/>
    <w:unhideWhenUsed/>
    <w:rsid w:val="005454C4"/>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5497755">
      <w:bodyDiv w:val="1"/>
      <w:marLeft w:val="0"/>
      <w:marRight w:val="0"/>
      <w:marTop w:val="0"/>
      <w:marBottom w:val="0"/>
      <w:divBdr>
        <w:top w:val="none" w:sz="0" w:space="0" w:color="auto"/>
        <w:left w:val="none" w:sz="0" w:space="0" w:color="auto"/>
        <w:bottom w:val="none" w:sz="0" w:space="0" w:color="auto"/>
        <w:right w:val="none" w:sz="0" w:space="0" w:color="auto"/>
      </w:divBdr>
    </w:div>
    <w:div w:id="398408914">
      <w:bodyDiv w:val="1"/>
      <w:marLeft w:val="0"/>
      <w:marRight w:val="0"/>
      <w:marTop w:val="0"/>
      <w:marBottom w:val="0"/>
      <w:divBdr>
        <w:top w:val="none" w:sz="0" w:space="0" w:color="auto"/>
        <w:left w:val="none" w:sz="0" w:space="0" w:color="auto"/>
        <w:bottom w:val="none" w:sz="0" w:space="0" w:color="auto"/>
        <w:right w:val="none" w:sz="0" w:space="0" w:color="auto"/>
      </w:divBdr>
    </w:div>
    <w:div w:id="505168712">
      <w:bodyDiv w:val="1"/>
      <w:marLeft w:val="0"/>
      <w:marRight w:val="0"/>
      <w:marTop w:val="0"/>
      <w:marBottom w:val="0"/>
      <w:divBdr>
        <w:top w:val="none" w:sz="0" w:space="0" w:color="auto"/>
        <w:left w:val="none" w:sz="0" w:space="0" w:color="auto"/>
        <w:bottom w:val="none" w:sz="0" w:space="0" w:color="auto"/>
        <w:right w:val="none" w:sz="0" w:space="0" w:color="auto"/>
      </w:divBdr>
    </w:div>
    <w:div w:id="1174421532">
      <w:bodyDiv w:val="1"/>
      <w:marLeft w:val="0"/>
      <w:marRight w:val="0"/>
      <w:marTop w:val="0"/>
      <w:marBottom w:val="0"/>
      <w:divBdr>
        <w:top w:val="none" w:sz="0" w:space="0" w:color="auto"/>
        <w:left w:val="none" w:sz="0" w:space="0" w:color="auto"/>
        <w:bottom w:val="none" w:sz="0" w:space="0" w:color="auto"/>
        <w:right w:val="none" w:sz="0" w:space="0" w:color="auto"/>
      </w:divBdr>
    </w:div>
    <w:div w:id="1244533957">
      <w:marLeft w:val="0"/>
      <w:marRight w:val="0"/>
      <w:marTop w:val="0"/>
      <w:marBottom w:val="0"/>
      <w:divBdr>
        <w:top w:val="none" w:sz="0" w:space="0" w:color="auto"/>
        <w:left w:val="none" w:sz="0" w:space="0" w:color="auto"/>
        <w:bottom w:val="none" w:sz="0" w:space="0" w:color="auto"/>
        <w:right w:val="none" w:sz="0" w:space="0" w:color="auto"/>
      </w:divBdr>
    </w:div>
    <w:div w:id="1244533958">
      <w:marLeft w:val="0"/>
      <w:marRight w:val="0"/>
      <w:marTop w:val="0"/>
      <w:marBottom w:val="0"/>
      <w:divBdr>
        <w:top w:val="none" w:sz="0" w:space="0" w:color="auto"/>
        <w:left w:val="none" w:sz="0" w:space="0" w:color="auto"/>
        <w:bottom w:val="none" w:sz="0" w:space="0" w:color="auto"/>
        <w:right w:val="none" w:sz="0" w:space="0" w:color="auto"/>
      </w:divBdr>
    </w:div>
    <w:div w:id="1244533959">
      <w:marLeft w:val="0"/>
      <w:marRight w:val="0"/>
      <w:marTop w:val="0"/>
      <w:marBottom w:val="0"/>
      <w:divBdr>
        <w:top w:val="none" w:sz="0" w:space="0" w:color="auto"/>
        <w:left w:val="none" w:sz="0" w:space="0" w:color="auto"/>
        <w:bottom w:val="none" w:sz="0" w:space="0" w:color="auto"/>
        <w:right w:val="none" w:sz="0" w:space="0" w:color="auto"/>
      </w:divBdr>
    </w:div>
    <w:div w:id="1244533960">
      <w:marLeft w:val="0"/>
      <w:marRight w:val="0"/>
      <w:marTop w:val="0"/>
      <w:marBottom w:val="0"/>
      <w:divBdr>
        <w:top w:val="none" w:sz="0" w:space="0" w:color="auto"/>
        <w:left w:val="none" w:sz="0" w:space="0" w:color="auto"/>
        <w:bottom w:val="none" w:sz="0" w:space="0" w:color="auto"/>
        <w:right w:val="none" w:sz="0" w:space="0" w:color="auto"/>
      </w:divBdr>
    </w:div>
    <w:div w:id="1244533961">
      <w:marLeft w:val="0"/>
      <w:marRight w:val="0"/>
      <w:marTop w:val="0"/>
      <w:marBottom w:val="0"/>
      <w:divBdr>
        <w:top w:val="none" w:sz="0" w:space="0" w:color="auto"/>
        <w:left w:val="none" w:sz="0" w:space="0" w:color="auto"/>
        <w:bottom w:val="none" w:sz="0" w:space="0" w:color="auto"/>
        <w:right w:val="none" w:sz="0" w:space="0" w:color="auto"/>
      </w:divBdr>
    </w:div>
    <w:div w:id="1244533962">
      <w:marLeft w:val="0"/>
      <w:marRight w:val="0"/>
      <w:marTop w:val="0"/>
      <w:marBottom w:val="0"/>
      <w:divBdr>
        <w:top w:val="none" w:sz="0" w:space="0" w:color="auto"/>
        <w:left w:val="none" w:sz="0" w:space="0" w:color="auto"/>
        <w:bottom w:val="none" w:sz="0" w:space="0" w:color="auto"/>
        <w:right w:val="none" w:sz="0" w:space="0" w:color="auto"/>
      </w:divBdr>
    </w:div>
    <w:div w:id="1244533963">
      <w:marLeft w:val="0"/>
      <w:marRight w:val="0"/>
      <w:marTop w:val="0"/>
      <w:marBottom w:val="0"/>
      <w:divBdr>
        <w:top w:val="none" w:sz="0" w:space="0" w:color="auto"/>
        <w:left w:val="none" w:sz="0" w:space="0" w:color="auto"/>
        <w:bottom w:val="none" w:sz="0" w:space="0" w:color="auto"/>
        <w:right w:val="none" w:sz="0" w:space="0" w:color="auto"/>
      </w:divBdr>
    </w:div>
    <w:div w:id="1450051062">
      <w:bodyDiv w:val="1"/>
      <w:marLeft w:val="0"/>
      <w:marRight w:val="0"/>
      <w:marTop w:val="0"/>
      <w:marBottom w:val="0"/>
      <w:divBdr>
        <w:top w:val="none" w:sz="0" w:space="0" w:color="auto"/>
        <w:left w:val="none" w:sz="0" w:space="0" w:color="auto"/>
        <w:bottom w:val="none" w:sz="0" w:space="0" w:color="auto"/>
        <w:right w:val="none" w:sz="0" w:space="0" w:color="auto"/>
      </w:divBdr>
    </w:div>
    <w:div w:id="1677490779">
      <w:bodyDiv w:val="1"/>
      <w:marLeft w:val="0"/>
      <w:marRight w:val="0"/>
      <w:marTop w:val="0"/>
      <w:marBottom w:val="0"/>
      <w:divBdr>
        <w:top w:val="none" w:sz="0" w:space="0" w:color="auto"/>
        <w:left w:val="none" w:sz="0" w:space="0" w:color="auto"/>
        <w:bottom w:val="none" w:sz="0" w:space="0" w:color="auto"/>
        <w:right w:val="none" w:sz="0" w:space="0" w:color="auto"/>
      </w:divBdr>
    </w:div>
    <w:div w:id="1677996544">
      <w:bodyDiv w:val="1"/>
      <w:marLeft w:val="0"/>
      <w:marRight w:val="0"/>
      <w:marTop w:val="0"/>
      <w:marBottom w:val="0"/>
      <w:divBdr>
        <w:top w:val="none" w:sz="0" w:space="0" w:color="auto"/>
        <w:left w:val="none" w:sz="0" w:space="0" w:color="auto"/>
        <w:bottom w:val="none" w:sz="0" w:space="0" w:color="auto"/>
        <w:right w:val="none" w:sz="0" w:space="0" w:color="auto"/>
      </w:divBdr>
    </w:div>
    <w:div w:id="1901284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2D175E-E819-4994-9837-93F4AEA11B31}">
  <ds:schemaRefs>
    <ds:schemaRef ds:uri="http://schemas.microsoft.com/sharepoint/v3/contenttype/forms"/>
  </ds:schemaRefs>
</ds:datastoreItem>
</file>

<file path=customXml/itemProps2.xml><?xml version="1.0" encoding="utf-8"?>
<ds:datastoreItem xmlns:ds="http://schemas.openxmlformats.org/officeDocument/2006/customXml" ds:itemID="{308BC1E2-3B36-4D78-96DF-FCD5CDD56A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B397B2B-D03E-4722-9A1B-FB0F8B70C79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4539AEF-FD49-4668-895A-250FDAA1A8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64</Pages>
  <Words>92283</Words>
  <Characters>52602</Characters>
  <Application>Microsoft Office Word</Application>
  <DocSecurity>0</DocSecurity>
  <Lines>438</Lines>
  <Paragraphs>289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LinksUpToDate>false</LinksUpToDate>
  <CharactersWithSpaces>144596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2021-05-13T11:22:00Z</dcterms:created>
  <dcterms:modified xsi:type="dcterms:W3CDTF">2021-05-13T11:22:00Z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