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53D3" w:rsidRPr="004F402D" w:rsidRDefault="002B53D3" w:rsidP="00F44363">
      <w:pPr>
        <w:pStyle w:val="a5"/>
        <w:rPr>
          <w:rFonts w:ascii="Times New Roman" w:hAnsi="Times New Roman"/>
          <w:sz w:val="28"/>
          <w:szCs w:val="28"/>
        </w:rPr>
      </w:pPr>
      <w:bookmarkStart w:id="0" w:name="_GoBack"/>
      <w:bookmarkEnd w:id="0"/>
      <w:r w:rsidRPr="004F402D">
        <w:rPr>
          <w:rFonts w:ascii="Times New Roman" w:hAnsi="Times New Roman"/>
          <w:sz w:val="28"/>
          <w:szCs w:val="28"/>
        </w:rPr>
        <w:t>ПРОЕКТ</w:t>
      </w:r>
    </w:p>
    <w:p w:rsidR="002B53D3" w:rsidRPr="004F402D" w:rsidRDefault="002B53D3" w:rsidP="002B53D3">
      <w:pPr>
        <w:ind w:left="5040"/>
        <w:rPr>
          <w:rFonts w:ascii="Times New Roman" w:hAnsi="Times New Roman"/>
          <w:sz w:val="28"/>
          <w:szCs w:val="28"/>
        </w:rPr>
      </w:pPr>
      <w:r w:rsidRPr="004F402D">
        <w:rPr>
          <w:rFonts w:ascii="Times New Roman" w:hAnsi="Times New Roman"/>
          <w:sz w:val="28"/>
          <w:szCs w:val="28"/>
        </w:rPr>
        <w:t xml:space="preserve">Вноситься </w:t>
      </w:r>
      <w:r w:rsidRPr="004F402D">
        <w:rPr>
          <w:rFonts w:ascii="Times New Roman" w:hAnsi="Times New Roman"/>
          <w:sz w:val="28"/>
          <w:szCs w:val="28"/>
        </w:rPr>
        <w:br/>
        <w:t>Кабінетом Міністрів України</w:t>
      </w:r>
    </w:p>
    <w:p w:rsidR="002B53D3" w:rsidRPr="00757FFD" w:rsidRDefault="00CB44E4" w:rsidP="00757FFD">
      <w:pPr>
        <w:spacing w:before="240" w:after="120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</w:t>
      </w:r>
      <w:r w:rsidR="002B53D3" w:rsidRPr="00757FFD">
        <w:rPr>
          <w:rFonts w:ascii="Times New Roman" w:hAnsi="Times New Roman"/>
          <w:sz w:val="28"/>
          <w:szCs w:val="28"/>
        </w:rPr>
        <w:t xml:space="preserve">. </w:t>
      </w:r>
      <w:r>
        <w:rPr>
          <w:rFonts w:ascii="Times New Roman" w:hAnsi="Times New Roman"/>
          <w:sz w:val="28"/>
          <w:szCs w:val="28"/>
        </w:rPr>
        <w:t>ШМИГАЛЬ</w:t>
      </w:r>
    </w:p>
    <w:p w:rsidR="002B53D3" w:rsidRPr="004F402D" w:rsidRDefault="002B53D3" w:rsidP="002B53D3">
      <w:pPr>
        <w:spacing w:before="240" w:after="120"/>
        <w:ind w:firstLine="5579"/>
        <w:jc w:val="right"/>
      </w:pPr>
      <w:r>
        <w:rPr>
          <w:rFonts w:ascii="Times New Roman" w:hAnsi="Times New Roman"/>
          <w:sz w:val="28"/>
          <w:szCs w:val="28"/>
        </w:rPr>
        <w:t xml:space="preserve">“     ”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20</w:t>
      </w:r>
      <w:r w:rsidR="00C362EA">
        <w:rPr>
          <w:rFonts w:ascii="Times New Roman" w:hAnsi="Times New Roman"/>
          <w:sz w:val="28"/>
          <w:szCs w:val="28"/>
        </w:rPr>
        <w:t>2</w:t>
      </w:r>
      <w:r w:rsidR="00635060">
        <w:rPr>
          <w:rFonts w:ascii="Times New Roman" w:hAnsi="Times New Roman"/>
          <w:sz w:val="28"/>
          <w:szCs w:val="28"/>
          <w:lang w:val="en-US"/>
        </w:rPr>
        <w:t>1</w:t>
      </w:r>
      <w:r>
        <w:rPr>
          <w:rFonts w:ascii="Times New Roman" w:hAnsi="Times New Roman"/>
          <w:sz w:val="28"/>
          <w:szCs w:val="28"/>
        </w:rPr>
        <w:t xml:space="preserve"> р.</w:t>
      </w:r>
    </w:p>
    <w:p w:rsidR="002B53D3" w:rsidRPr="00771066" w:rsidRDefault="002B53D3" w:rsidP="002B53D3">
      <w:pPr>
        <w:pStyle w:val="a4"/>
        <w:spacing w:before="480"/>
        <w:rPr>
          <w:rFonts w:ascii="Times New Roman" w:hAnsi="Times New Roman"/>
        </w:rPr>
      </w:pPr>
      <w:r w:rsidRPr="00771066">
        <w:rPr>
          <w:rFonts w:ascii="Times New Roman" w:hAnsi="Times New Roman"/>
        </w:rPr>
        <w:t>Закон УкраЇни</w:t>
      </w:r>
    </w:p>
    <w:p w:rsidR="003D7DBE" w:rsidRDefault="003D7DBE" w:rsidP="003D7DBE">
      <w:pPr>
        <w:spacing w:before="24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Про внесення змін до деяких законів України щодо набуття </w:t>
      </w:r>
      <w:r>
        <w:rPr>
          <w:rFonts w:ascii="Times New Roman" w:hAnsi="Times New Roman"/>
          <w:sz w:val="28"/>
          <w:szCs w:val="28"/>
        </w:rPr>
        <w:br/>
        <w:t xml:space="preserve">акціонерним  товариством “Державний ощадний банк України” </w:t>
      </w:r>
      <w:r>
        <w:rPr>
          <w:rFonts w:ascii="Times New Roman" w:hAnsi="Times New Roman"/>
          <w:sz w:val="28"/>
          <w:szCs w:val="28"/>
        </w:rPr>
        <w:br/>
        <w:t>статусу учасника Фонду гарантування вкладів фізичних осіб</w:t>
      </w:r>
      <w:r>
        <w:rPr>
          <w:rFonts w:ascii="Times New Roman" w:hAnsi="Times New Roman"/>
          <w:sz w:val="28"/>
          <w:szCs w:val="28"/>
        </w:rPr>
        <w:br/>
        <w:t>________________________________________________</w:t>
      </w:r>
    </w:p>
    <w:p w:rsidR="003D7DBE" w:rsidRDefault="003D7DBE" w:rsidP="003D7DBE">
      <w:pPr>
        <w:pStyle w:val="a3"/>
        <w:rPr>
          <w:rFonts w:ascii="Times New Roman" w:hAnsi="Times New Roman"/>
          <w:sz w:val="28"/>
          <w:szCs w:val="28"/>
        </w:rPr>
      </w:pPr>
    </w:p>
    <w:p w:rsidR="003D7DBE" w:rsidRDefault="003D7DBE" w:rsidP="003D7DBE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Верховна Рада України п о с т а н о в л я є:</w:t>
      </w:r>
    </w:p>
    <w:p w:rsidR="003D7DBE" w:rsidRDefault="003D7DBE" w:rsidP="003D7DBE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І. Внести зміни до таких законів України:</w:t>
      </w:r>
    </w:p>
    <w:p w:rsidR="003D7DBE" w:rsidRDefault="003D7DBE" w:rsidP="003D7DBE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1. Частину другу статті 57 Закону України </w:t>
      </w:r>
      <w:r w:rsidR="00CB5403">
        <w:rPr>
          <w:rFonts w:ascii="Times New Roman" w:hAnsi="Times New Roman"/>
          <w:sz w:val="28"/>
          <w:szCs w:val="28"/>
        </w:rPr>
        <w:t>“</w:t>
      </w:r>
      <w:r>
        <w:rPr>
          <w:rFonts w:ascii="Times New Roman" w:hAnsi="Times New Roman"/>
          <w:sz w:val="28"/>
          <w:szCs w:val="28"/>
        </w:rPr>
        <w:t>Пр</w:t>
      </w:r>
      <w:r w:rsidR="00CB5403">
        <w:rPr>
          <w:rFonts w:ascii="Times New Roman" w:hAnsi="Times New Roman"/>
          <w:sz w:val="28"/>
          <w:szCs w:val="28"/>
        </w:rPr>
        <w:t>о банки і банківську діяльність”</w:t>
      </w:r>
      <w:r>
        <w:rPr>
          <w:rFonts w:ascii="Times New Roman" w:hAnsi="Times New Roman"/>
          <w:sz w:val="28"/>
          <w:szCs w:val="28"/>
        </w:rPr>
        <w:t xml:space="preserve"> (Відомості Верховно</w:t>
      </w:r>
      <w:r w:rsidR="00CB5403">
        <w:rPr>
          <w:rFonts w:ascii="Times New Roman" w:hAnsi="Times New Roman"/>
          <w:sz w:val="28"/>
          <w:szCs w:val="28"/>
        </w:rPr>
        <w:t>ї Ради України, 2001 р., № 5—</w:t>
      </w:r>
      <w:r>
        <w:rPr>
          <w:rFonts w:ascii="Times New Roman" w:hAnsi="Times New Roman"/>
          <w:sz w:val="28"/>
          <w:szCs w:val="28"/>
        </w:rPr>
        <w:t>6, ст. 30</w:t>
      </w:r>
      <w:r w:rsidR="00C01990">
        <w:rPr>
          <w:rFonts w:ascii="Times New Roman" w:hAnsi="Times New Roman"/>
          <w:sz w:val="28"/>
          <w:szCs w:val="28"/>
        </w:rPr>
        <w:t>; 2007 р., № 2, ст. 15</w:t>
      </w:r>
      <w:r>
        <w:rPr>
          <w:rFonts w:ascii="Times New Roman" w:hAnsi="Times New Roman"/>
          <w:sz w:val="28"/>
          <w:szCs w:val="28"/>
        </w:rPr>
        <w:t>) виключити.</w:t>
      </w:r>
    </w:p>
    <w:p w:rsidR="003D7DBE" w:rsidRDefault="003D7DBE" w:rsidP="003D7DBE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2. У </w:t>
      </w:r>
      <w:r w:rsidR="00C01990">
        <w:rPr>
          <w:rFonts w:ascii="Times New Roman" w:hAnsi="Times New Roman"/>
          <w:sz w:val="28"/>
          <w:szCs w:val="28"/>
        </w:rPr>
        <w:t xml:space="preserve">розділі </w:t>
      </w:r>
      <w:r w:rsidR="00CB5403">
        <w:rPr>
          <w:rFonts w:ascii="Times New Roman" w:hAnsi="Times New Roman"/>
          <w:sz w:val="28"/>
          <w:szCs w:val="28"/>
        </w:rPr>
        <w:t>Х “</w:t>
      </w:r>
      <w:r>
        <w:rPr>
          <w:rFonts w:ascii="Times New Roman" w:hAnsi="Times New Roman"/>
          <w:sz w:val="28"/>
          <w:szCs w:val="28"/>
        </w:rPr>
        <w:t>Пр</w:t>
      </w:r>
      <w:r w:rsidR="00CB5403">
        <w:rPr>
          <w:rFonts w:ascii="Times New Roman" w:hAnsi="Times New Roman"/>
          <w:sz w:val="28"/>
          <w:szCs w:val="28"/>
        </w:rPr>
        <w:t>икінцеві та перехідні положення”</w:t>
      </w:r>
      <w:r>
        <w:rPr>
          <w:rFonts w:ascii="Times New Roman" w:hAnsi="Times New Roman"/>
          <w:sz w:val="28"/>
          <w:szCs w:val="28"/>
        </w:rPr>
        <w:t xml:space="preserve"> Закону України </w:t>
      </w:r>
      <w:r w:rsidR="00CB5403">
        <w:rPr>
          <w:rFonts w:ascii="Times New Roman" w:hAnsi="Times New Roman"/>
          <w:sz w:val="28"/>
          <w:szCs w:val="28"/>
        </w:rPr>
        <w:t>“</w:t>
      </w:r>
      <w:r>
        <w:rPr>
          <w:rFonts w:ascii="Times New Roman" w:hAnsi="Times New Roman"/>
          <w:sz w:val="28"/>
          <w:szCs w:val="28"/>
        </w:rPr>
        <w:t>Про систему гар</w:t>
      </w:r>
      <w:r w:rsidR="00CB5403">
        <w:rPr>
          <w:rFonts w:ascii="Times New Roman" w:hAnsi="Times New Roman"/>
          <w:sz w:val="28"/>
          <w:szCs w:val="28"/>
        </w:rPr>
        <w:t>антування вкладів фізичних осіб”</w:t>
      </w:r>
      <w:r>
        <w:rPr>
          <w:rFonts w:ascii="Times New Roman" w:hAnsi="Times New Roman"/>
          <w:sz w:val="28"/>
          <w:szCs w:val="28"/>
        </w:rPr>
        <w:t xml:space="preserve"> (Відомості Верховної Ради України, 2012 р., № 50, ст. 564</w:t>
      </w:r>
      <w:r w:rsidR="00C01990">
        <w:rPr>
          <w:rFonts w:ascii="Times New Roman" w:hAnsi="Times New Roman"/>
          <w:sz w:val="28"/>
          <w:szCs w:val="28"/>
        </w:rPr>
        <w:t>; 2016 р., № 48, ст. 816</w:t>
      </w:r>
      <w:r>
        <w:rPr>
          <w:rFonts w:ascii="Times New Roman" w:hAnsi="Times New Roman"/>
          <w:sz w:val="28"/>
          <w:szCs w:val="28"/>
        </w:rPr>
        <w:t>):</w:t>
      </w:r>
    </w:p>
    <w:p w:rsidR="003D7DBE" w:rsidRDefault="003D7DBE" w:rsidP="003D7DBE">
      <w:pPr>
        <w:pStyle w:val="a3"/>
        <w:rPr>
          <w:rFonts w:ascii="Times New Roman" w:hAnsi="Times New Roman"/>
          <w:sz w:val="28"/>
          <w:szCs w:val="28"/>
        </w:rPr>
      </w:pPr>
      <w:r w:rsidRPr="003D7DBE">
        <w:rPr>
          <w:rFonts w:ascii="Times New Roman" w:hAnsi="Times New Roman"/>
          <w:sz w:val="28"/>
          <w:szCs w:val="28"/>
        </w:rPr>
        <w:t>1) пункт 6 виключити;</w:t>
      </w:r>
    </w:p>
    <w:p w:rsidR="003D7DBE" w:rsidRPr="003D7DBE" w:rsidRDefault="003D7DBE" w:rsidP="003D7DBE">
      <w:pPr>
        <w:pStyle w:val="a3"/>
        <w:rPr>
          <w:rFonts w:ascii="Times New Roman" w:hAnsi="Times New Roman"/>
          <w:sz w:val="28"/>
          <w:szCs w:val="28"/>
        </w:rPr>
      </w:pPr>
      <w:r w:rsidRPr="003D7DBE">
        <w:rPr>
          <w:rFonts w:ascii="Times New Roman" w:hAnsi="Times New Roman"/>
          <w:sz w:val="28"/>
          <w:szCs w:val="28"/>
        </w:rPr>
        <w:t>2) доповнити</w:t>
      </w:r>
      <w:r w:rsidR="00C01990">
        <w:rPr>
          <w:rFonts w:ascii="Times New Roman" w:hAnsi="Times New Roman"/>
          <w:sz w:val="28"/>
          <w:szCs w:val="28"/>
        </w:rPr>
        <w:t xml:space="preserve"> розділ</w:t>
      </w:r>
      <w:r w:rsidRPr="003D7DBE">
        <w:rPr>
          <w:rFonts w:ascii="Times New Roman" w:hAnsi="Times New Roman"/>
          <w:sz w:val="28"/>
          <w:szCs w:val="28"/>
        </w:rPr>
        <w:t xml:space="preserve"> пунктами 16</w:t>
      </w:r>
      <w:r w:rsidR="00C01990">
        <w:rPr>
          <w:rFonts w:ascii="Times New Roman" w:hAnsi="Times New Roman"/>
          <w:sz w:val="28"/>
          <w:szCs w:val="28"/>
        </w:rPr>
        <w:t>—</w:t>
      </w:r>
      <w:r w:rsidRPr="003D7DBE">
        <w:rPr>
          <w:rFonts w:ascii="Times New Roman" w:hAnsi="Times New Roman"/>
          <w:sz w:val="28"/>
          <w:szCs w:val="28"/>
        </w:rPr>
        <w:t>19 такого змісту:</w:t>
      </w:r>
    </w:p>
    <w:p w:rsidR="003D7DBE" w:rsidRPr="003D7DBE" w:rsidRDefault="00CB5403" w:rsidP="003D7DBE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“</w:t>
      </w:r>
      <w:r w:rsidR="003D7DBE" w:rsidRPr="003D7DBE">
        <w:rPr>
          <w:rFonts w:ascii="Times New Roman" w:hAnsi="Times New Roman"/>
          <w:sz w:val="28"/>
          <w:szCs w:val="28"/>
        </w:rPr>
        <w:t xml:space="preserve">16. Особливості набуття акціонерним товариством </w:t>
      </w:r>
      <w:r>
        <w:rPr>
          <w:rFonts w:ascii="Times New Roman" w:hAnsi="Times New Roman"/>
          <w:sz w:val="28"/>
          <w:szCs w:val="28"/>
        </w:rPr>
        <w:t>“</w:t>
      </w:r>
      <w:r w:rsidR="003D7DBE" w:rsidRPr="003D7DBE">
        <w:rPr>
          <w:rFonts w:ascii="Times New Roman" w:hAnsi="Times New Roman"/>
          <w:sz w:val="28"/>
          <w:szCs w:val="28"/>
        </w:rPr>
        <w:t>Державн</w:t>
      </w:r>
      <w:r>
        <w:rPr>
          <w:rFonts w:ascii="Times New Roman" w:hAnsi="Times New Roman"/>
          <w:sz w:val="28"/>
          <w:szCs w:val="28"/>
        </w:rPr>
        <w:t>ий ощадний банк України” (далі  —</w:t>
      </w:r>
      <w:r w:rsidR="003D7DBE" w:rsidRPr="003D7DBE">
        <w:rPr>
          <w:rFonts w:ascii="Times New Roman" w:hAnsi="Times New Roman"/>
          <w:sz w:val="28"/>
          <w:szCs w:val="28"/>
        </w:rPr>
        <w:t xml:space="preserve"> АТ </w:t>
      </w:r>
      <w:r>
        <w:rPr>
          <w:rFonts w:ascii="Times New Roman" w:hAnsi="Times New Roman"/>
          <w:sz w:val="28"/>
          <w:szCs w:val="28"/>
        </w:rPr>
        <w:t>“</w:t>
      </w:r>
      <w:r w:rsidR="003D7DBE" w:rsidRPr="003D7DBE">
        <w:rPr>
          <w:rFonts w:ascii="Times New Roman" w:hAnsi="Times New Roman"/>
          <w:sz w:val="28"/>
          <w:szCs w:val="28"/>
        </w:rPr>
        <w:t>Ощадбанк</w:t>
      </w:r>
      <w:r>
        <w:rPr>
          <w:rFonts w:ascii="Times New Roman" w:hAnsi="Times New Roman"/>
          <w:sz w:val="28"/>
          <w:szCs w:val="28"/>
        </w:rPr>
        <w:t>”</w:t>
      </w:r>
      <w:r w:rsidR="003D7DBE" w:rsidRPr="003D7DBE">
        <w:rPr>
          <w:rFonts w:ascii="Times New Roman" w:hAnsi="Times New Roman"/>
          <w:sz w:val="28"/>
          <w:szCs w:val="28"/>
        </w:rPr>
        <w:t>) статусу учасника Фонду визначаються цим Законом та нормативно-правовими актами Фонду.</w:t>
      </w:r>
    </w:p>
    <w:p w:rsidR="003D7DBE" w:rsidRPr="003D7DBE" w:rsidRDefault="003D7DBE" w:rsidP="003D7DBE">
      <w:pPr>
        <w:pStyle w:val="a3"/>
        <w:rPr>
          <w:rFonts w:ascii="Times New Roman" w:hAnsi="Times New Roman"/>
          <w:sz w:val="28"/>
          <w:szCs w:val="28"/>
        </w:rPr>
      </w:pPr>
      <w:r w:rsidRPr="003D7DBE">
        <w:rPr>
          <w:rFonts w:ascii="Times New Roman" w:hAnsi="Times New Roman"/>
          <w:sz w:val="28"/>
          <w:szCs w:val="28"/>
        </w:rPr>
        <w:t xml:space="preserve">АТ </w:t>
      </w:r>
      <w:r w:rsidR="00CB5403">
        <w:rPr>
          <w:rFonts w:ascii="Times New Roman" w:hAnsi="Times New Roman"/>
          <w:sz w:val="28"/>
          <w:szCs w:val="28"/>
        </w:rPr>
        <w:t>“</w:t>
      </w:r>
      <w:r w:rsidRPr="003D7DBE">
        <w:rPr>
          <w:rFonts w:ascii="Times New Roman" w:hAnsi="Times New Roman"/>
          <w:sz w:val="28"/>
          <w:szCs w:val="28"/>
        </w:rPr>
        <w:t>Ощадбанк</w:t>
      </w:r>
      <w:r w:rsidR="00CB5403">
        <w:rPr>
          <w:rFonts w:ascii="Times New Roman" w:hAnsi="Times New Roman"/>
          <w:sz w:val="28"/>
          <w:szCs w:val="28"/>
        </w:rPr>
        <w:t>”</w:t>
      </w:r>
      <w:r w:rsidRPr="003D7DBE">
        <w:rPr>
          <w:rFonts w:ascii="Times New Roman" w:hAnsi="Times New Roman"/>
          <w:sz w:val="28"/>
          <w:szCs w:val="28"/>
        </w:rPr>
        <w:t xml:space="preserve"> набуває статусу учасника Фонду з дня набрання чинності Законом України </w:t>
      </w:r>
      <w:r w:rsidR="00CB5403">
        <w:rPr>
          <w:rFonts w:ascii="Times New Roman" w:hAnsi="Times New Roman"/>
          <w:sz w:val="28"/>
          <w:szCs w:val="28"/>
        </w:rPr>
        <w:t>“</w:t>
      </w:r>
      <w:r w:rsidRPr="003D7DBE">
        <w:rPr>
          <w:rFonts w:ascii="Times New Roman" w:hAnsi="Times New Roman"/>
          <w:sz w:val="28"/>
          <w:szCs w:val="28"/>
        </w:rPr>
        <w:t xml:space="preserve">Про внесення змін до деяких законів України щодо набуття акціонерним товариством </w:t>
      </w:r>
      <w:r w:rsidR="00CB5403">
        <w:rPr>
          <w:rFonts w:ascii="Times New Roman" w:hAnsi="Times New Roman"/>
          <w:sz w:val="28"/>
          <w:szCs w:val="28"/>
        </w:rPr>
        <w:t>“</w:t>
      </w:r>
      <w:r w:rsidRPr="003D7DBE">
        <w:rPr>
          <w:rFonts w:ascii="Times New Roman" w:hAnsi="Times New Roman"/>
          <w:sz w:val="28"/>
          <w:szCs w:val="28"/>
        </w:rPr>
        <w:t>Державний ощадний банк України</w:t>
      </w:r>
      <w:r w:rsidR="00CB5403">
        <w:rPr>
          <w:rFonts w:ascii="Times New Roman" w:hAnsi="Times New Roman"/>
          <w:sz w:val="28"/>
          <w:szCs w:val="28"/>
        </w:rPr>
        <w:t>”</w:t>
      </w:r>
      <w:r w:rsidRPr="003D7DBE">
        <w:rPr>
          <w:rFonts w:ascii="Times New Roman" w:hAnsi="Times New Roman"/>
          <w:sz w:val="28"/>
          <w:szCs w:val="28"/>
        </w:rPr>
        <w:t xml:space="preserve"> статусу учасника Фонду гарантування вкладів фізичних осіб</w:t>
      </w:r>
      <w:r w:rsidR="00CB5403">
        <w:rPr>
          <w:rFonts w:ascii="Times New Roman" w:hAnsi="Times New Roman"/>
          <w:sz w:val="28"/>
          <w:szCs w:val="28"/>
        </w:rPr>
        <w:t>”</w:t>
      </w:r>
      <w:r w:rsidRPr="003D7DBE">
        <w:rPr>
          <w:rFonts w:ascii="Times New Roman" w:hAnsi="Times New Roman"/>
          <w:sz w:val="28"/>
          <w:szCs w:val="28"/>
        </w:rPr>
        <w:t>.</w:t>
      </w:r>
    </w:p>
    <w:p w:rsidR="003D7DBE" w:rsidRPr="003D7DBE" w:rsidRDefault="003D7DBE" w:rsidP="003D7DBE">
      <w:pPr>
        <w:pStyle w:val="a3"/>
        <w:rPr>
          <w:rFonts w:ascii="Times New Roman" w:hAnsi="Times New Roman"/>
          <w:sz w:val="28"/>
          <w:szCs w:val="28"/>
        </w:rPr>
      </w:pPr>
      <w:r w:rsidRPr="003D7DBE">
        <w:rPr>
          <w:rFonts w:ascii="Times New Roman" w:hAnsi="Times New Roman"/>
          <w:sz w:val="28"/>
          <w:szCs w:val="28"/>
        </w:rPr>
        <w:t>Фонд відшкодовує кошти за вкладами, що відповідають визначенню термін</w:t>
      </w:r>
      <w:r w:rsidR="00C01990">
        <w:rPr>
          <w:rFonts w:ascii="Times New Roman" w:hAnsi="Times New Roman"/>
          <w:sz w:val="28"/>
          <w:szCs w:val="28"/>
        </w:rPr>
        <w:t>а</w:t>
      </w:r>
      <w:r w:rsidRPr="003D7DBE">
        <w:rPr>
          <w:rFonts w:ascii="Times New Roman" w:hAnsi="Times New Roman"/>
          <w:sz w:val="28"/>
          <w:szCs w:val="28"/>
        </w:rPr>
        <w:t xml:space="preserve"> </w:t>
      </w:r>
      <w:r w:rsidR="00CB5403">
        <w:rPr>
          <w:rFonts w:ascii="Times New Roman" w:hAnsi="Times New Roman"/>
          <w:sz w:val="28"/>
          <w:szCs w:val="28"/>
        </w:rPr>
        <w:t>“</w:t>
      </w:r>
      <w:r w:rsidRPr="003D7DBE">
        <w:rPr>
          <w:rFonts w:ascii="Times New Roman" w:hAnsi="Times New Roman"/>
          <w:sz w:val="28"/>
          <w:szCs w:val="28"/>
        </w:rPr>
        <w:t>вклад</w:t>
      </w:r>
      <w:r w:rsidR="00CB5403">
        <w:rPr>
          <w:rFonts w:ascii="Times New Roman" w:hAnsi="Times New Roman"/>
          <w:sz w:val="28"/>
          <w:szCs w:val="28"/>
        </w:rPr>
        <w:t>”</w:t>
      </w:r>
      <w:r w:rsidRPr="003D7DBE">
        <w:rPr>
          <w:rFonts w:ascii="Times New Roman" w:hAnsi="Times New Roman"/>
          <w:sz w:val="28"/>
          <w:szCs w:val="28"/>
        </w:rPr>
        <w:t>, наведеному у статт</w:t>
      </w:r>
      <w:r w:rsidR="00CB5403">
        <w:rPr>
          <w:rFonts w:ascii="Times New Roman" w:hAnsi="Times New Roman"/>
          <w:sz w:val="28"/>
          <w:szCs w:val="28"/>
        </w:rPr>
        <w:t>і 2 цього Закону, залученими АТ “Ощадбанк”</w:t>
      </w:r>
      <w:r w:rsidRPr="003D7DBE">
        <w:rPr>
          <w:rFonts w:ascii="Times New Roman" w:hAnsi="Times New Roman"/>
          <w:sz w:val="28"/>
          <w:szCs w:val="28"/>
        </w:rPr>
        <w:t xml:space="preserve"> від </w:t>
      </w:r>
      <w:r w:rsidR="00CB5403">
        <w:rPr>
          <w:rFonts w:ascii="Times New Roman" w:hAnsi="Times New Roman"/>
          <w:sz w:val="28"/>
          <w:szCs w:val="28"/>
        </w:rPr>
        <w:t>вкладників, ідентифікованих АТ “</w:t>
      </w:r>
      <w:r w:rsidRPr="003D7DBE">
        <w:rPr>
          <w:rFonts w:ascii="Times New Roman" w:hAnsi="Times New Roman"/>
          <w:sz w:val="28"/>
          <w:szCs w:val="28"/>
        </w:rPr>
        <w:t>Ощадбанк</w:t>
      </w:r>
      <w:r w:rsidR="00CB5403">
        <w:rPr>
          <w:rFonts w:ascii="Times New Roman" w:hAnsi="Times New Roman"/>
          <w:sz w:val="28"/>
          <w:szCs w:val="28"/>
        </w:rPr>
        <w:t>”</w:t>
      </w:r>
      <w:r w:rsidRPr="003D7DBE">
        <w:rPr>
          <w:rFonts w:ascii="Times New Roman" w:hAnsi="Times New Roman"/>
          <w:sz w:val="28"/>
          <w:szCs w:val="28"/>
        </w:rPr>
        <w:t xml:space="preserve"> відповідно до законодавства.</w:t>
      </w:r>
    </w:p>
    <w:p w:rsidR="00CB5403" w:rsidRDefault="00CB5403" w:rsidP="003D7DBE">
      <w:pPr>
        <w:pStyle w:val="a3"/>
        <w:rPr>
          <w:rFonts w:ascii="Times New Roman" w:hAnsi="Times New Roman"/>
          <w:sz w:val="28"/>
          <w:szCs w:val="28"/>
        </w:rPr>
      </w:pPr>
    </w:p>
    <w:p w:rsidR="00CB5403" w:rsidRDefault="00CB5403" w:rsidP="003D7DBE">
      <w:pPr>
        <w:pStyle w:val="a3"/>
        <w:rPr>
          <w:rFonts w:ascii="Times New Roman" w:hAnsi="Times New Roman"/>
          <w:sz w:val="28"/>
          <w:szCs w:val="28"/>
        </w:rPr>
      </w:pPr>
    </w:p>
    <w:p w:rsidR="003D7DBE" w:rsidRPr="003D7DBE" w:rsidRDefault="003D7DBE" w:rsidP="003D7DBE">
      <w:pPr>
        <w:pStyle w:val="a3"/>
        <w:rPr>
          <w:rFonts w:ascii="Times New Roman" w:hAnsi="Times New Roman"/>
          <w:sz w:val="28"/>
          <w:szCs w:val="28"/>
        </w:rPr>
      </w:pPr>
      <w:r w:rsidRPr="003D7DBE">
        <w:rPr>
          <w:rFonts w:ascii="Times New Roman" w:hAnsi="Times New Roman"/>
          <w:sz w:val="28"/>
          <w:szCs w:val="28"/>
        </w:rPr>
        <w:lastRenderedPageBreak/>
        <w:t>17. З дня набуття АТ</w:t>
      </w:r>
      <w:r w:rsidR="00CB5403">
        <w:rPr>
          <w:rFonts w:ascii="Times New Roman" w:hAnsi="Times New Roman"/>
          <w:sz w:val="28"/>
          <w:szCs w:val="28"/>
        </w:rPr>
        <w:t xml:space="preserve"> “</w:t>
      </w:r>
      <w:r w:rsidRPr="003D7DBE">
        <w:rPr>
          <w:rFonts w:ascii="Times New Roman" w:hAnsi="Times New Roman"/>
          <w:sz w:val="28"/>
          <w:szCs w:val="28"/>
        </w:rPr>
        <w:t>Ощадбанк</w:t>
      </w:r>
      <w:r w:rsidR="00CB5403">
        <w:rPr>
          <w:rFonts w:ascii="Times New Roman" w:hAnsi="Times New Roman"/>
          <w:sz w:val="28"/>
          <w:szCs w:val="28"/>
        </w:rPr>
        <w:t>”</w:t>
      </w:r>
      <w:r w:rsidRPr="003D7DBE">
        <w:rPr>
          <w:rFonts w:ascii="Times New Roman" w:hAnsi="Times New Roman"/>
          <w:sz w:val="28"/>
          <w:szCs w:val="28"/>
        </w:rPr>
        <w:t xml:space="preserve"> статусу учасника Фонду:</w:t>
      </w:r>
    </w:p>
    <w:p w:rsidR="003D7DBE" w:rsidRPr="003D7DBE" w:rsidRDefault="003D7DBE" w:rsidP="003D7DBE">
      <w:pPr>
        <w:pStyle w:val="a3"/>
        <w:rPr>
          <w:rFonts w:ascii="Times New Roman" w:hAnsi="Times New Roman"/>
          <w:sz w:val="28"/>
          <w:szCs w:val="28"/>
        </w:rPr>
      </w:pPr>
      <w:r w:rsidRPr="003D7DBE">
        <w:rPr>
          <w:rFonts w:ascii="Times New Roman" w:hAnsi="Times New Roman"/>
          <w:sz w:val="28"/>
          <w:szCs w:val="28"/>
        </w:rPr>
        <w:t xml:space="preserve">якщо вклад, залучений АТ </w:t>
      </w:r>
      <w:r w:rsidR="00CB5403">
        <w:rPr>
          <w:rFonts w:ascii="Times New Roman" w:hAnsi="Times New Roman"/>
          <w:sz w:val="28"/>
          <w:szCs w:val="28"/>
        </w:rPr>
        <w:t>“</w:t>
      </w:r>
      <w:r w:rsidRPr="003D7DBE">
        <w:rPr>
          <w:rFonts w:ascii="Times New Roman" w:hAnsi="Times New Roman"/>
          <w:sz w:val="28"/>
          <w:szCs w:val="28"/>
        </w:rPr>
        <w:t>Ощадбанк</w:t>
      </w:r>
      <w:r w:rsidR="00CB5403">
        <w:rPr>
          <w:rFonts w:ascii="Times New Roman" w:hAnsi="Times New Roman"/>
          <w:sz w:val="28"/>
          <w:szCs w:val="28"/>
        </w:rPr>
        <w:t>”</w:t>
      </w:r>
      <w:r w:rsidRPr="003D7DBE">
        <w:rPr>
          <w:rFonts w:ascii="Times New Roman" w:hAnsi="Times New Roman"/>
          <w:sz w:val="28"/>
          <w:szCs w:val="28"/>
        </w:rPr>
        <w:t xml:space="preserve"> до дня набуття ним статусу учасника Фонду, перевищує граничний розмір відшкодування коштів за вкладом, частина такого вкладу, що перевищує граничний розмір відшкодування коштів за вкладом, гарантується державою;</w:t>
      </w:r>
    </w:p>
    <w:p w:rsidR="003D7DBE" w:rsidRPr="003D7DBE" w:rsidRDefault="003D7DBE" w:rsidP="003D7DBE">
      <w:pPr>
        <w:pStyle w:val="a3"/>
        <w:rPr>
          <w:rFonts w:ascii="Times New Roman" w:hAnsi="Times New Roman"/>
          <w:sz w:val="28"/>
          <w:szCs w:val="28"/>
        </w:rPr>
      </w:pPr>
      <w:r w:rsidRPr="003D7DBE">
        <w:rPr>
          <w:rFonts w:ascii="Times New Roman" w:hAnsi="Times New Roman"/>
          <w:sz w:val="28"/>
          <w:szCs w:val="28"/>
        </w:rPr>
        <w:t xml:space="preserve">якщо за вкладом, залученим АТ </w:t>
      </w:r>
      <w:r w:rsidR="00CB5403">
        <w:rPr>
          <w:rFonts w:ascii="Times New Roman" w:hAnsi="Times New Roman"/>
          <w:sz w:val="28"/>
          <w:szCs w:val="28"/>
        </w:rPr>
        <w:t>“</w:t>
      </w:r>
      <w:r w:rsidRPr="003D7DBE">
        <w:rPr>
          <w:rFonts w:ascii="Times New Roman" w:hAnsi="Times New Roman"/>
          <w:sz w:val="28"/>
          <w:szCs w:val="28"/>
        </w:rPr>
        <w:t>Ощадбанк</w:t>
      </w:r>
      <w:r w:rsidR="00CB5403">
        <w:rPr>
          <w:rFonts w:ascii="Times New Roman" w:hAnsi="Times New Roman"/>
          <w:sz w:val="28"/>
          <w:szCs w:val="28"/>
        </w:rPr>
        <w:t>”</w:t>
      </w:r>
      <w:r w:rsidRPr="003D7DBE">
        <w:rPr>
          <w:rFonts w:ascii="Times New Roman" w:hAnsi="Times New Roman"/>
          <w:sz w:val="28"/>
          <w:szCs w:val="28"/>
        </w:rPr>
        <w:t xml:space="preserve"> до дня набуття ним статусу учасника Фонду, Фонд відповідно до закону не відшкодовує кошти, такий вклад гарантується державою. </w:t>
      </w:r>
    </w:p>
    <w:p w:rsidR="003D7DBE" w:rsidRPr="003D7DBE" w:rsidRDefault="003D7DBE" w:rsidP="003D7DBE">
      <w:pPr>
        <w:pStyle w:val="a3"/>
        <w:rPr>
          <w:rFonts w:ascii="Times New Roman" w:hAnsi="Times New Roman"/>
          <w:sz w:val="28"/>
          <w:szCs w:val="28"/>
        </w:rPr>
      </w:pPr>
      <w:r w:rsidRPr="003D7DBE">
        <w:rPr>
          <w:rFonts w:ascii="Times New Roman" w:hAnsi="Times New Roman"/>
          <w:sz w:val="28"/>
          <w:szCs w:val="28"/>
        </w:rPr>
        <w:t xml:space="preserve">Гарантії держави, зазначені у цьому пункті, діють до закінчення шестимісячного строку з дня набуття АТ </w:t>
      </w:r>
      <w:r w:rsidR="00CB5403">
        <w:rPr>
          <w:rFonts w:ascii="Times New Roman" w:hAnsi="Times New Roman"/>
          <w:sz w:val="28"/>
          <w:szCs w:val="28"/>
        </w:rPr>
        <w:t>“</w:t>
      </w:r>
      <w:r w:rsidRPr="003D7DBE">
        <w:rPr>
          <w:rFonts w:ascii="Times New Roman" w:hAnsi="Times New Roman"/>
          <w:sz w:val="28"/>
          <w:szCs w:val="28"/>
        </w:rPr>
        <w:t>Ощадбанк</w:t>
      </w:r>
      <w:r w:rsidR="00CB5403">
        <w:rPr>
          <w:rFonts w:ascii="Times New Roman" w:hAnsi="Times New Roman"/>
          <w:sz w:val="28"/>
          <w:szCs w:val="28"/>
        </w:rPr>
        <w:t>”</w:t>
      </w:r>
      <w:r w:rsidRPr="003D7DBE">
        <w:rPr>
          <w:rFonts w:ascii="Times New Roman" w:hAnsi="Times New Roman"/>
          <w:sz w:val="28"/>
          <w:szCs w:val="28"/>
        </w:rPr>
        <w:t xml:space="preserve"> статусу учасника Фонду.</w:t>
      </w:r>
    </w:p>
    <w:p w:rsidR="003D7DBE" w:rsidRPr="003D7DBE" w:rsidRDefault="003D7DBE" w:rsidP="003D7DBE">
      <w:pPr>
        <w:pStyle w:val="a3"/>
        <w:rPr>
          <w:rFonts w:ascii="Times New Roman" w:hAnsi="Times New Roman"/>
          <w:sz w:val="28"/>
          <w:szCs w:val="28"/>
        </w:rPr>
      </w:pPr>
      <w:r w:rsidRPr="003D7DBE">
        <w:rPr>
          <w:rFonts w:ascii="Times New Roman" w:hAnsi="Times New Roman"/>
          <w:sz w:val="28"/>
          <w:szCs w:val="28"/>
        </w:rPr>
        <w:t xml:space="preserve">18. АТ </w:t>
      </w:r>
      <w:r w:rsidR="00CB5403">
        <w:rPr>
          <w:rFonts w:ascii="Times New Roman" w:hAnsi="Times New Roman"/>
          <w:sz w:val="28"/>
          <w:szCs w:val="28"/>
        </w:rPr>
        <w:t>“</w:t>
      </w:r>
      <w:r w:rsidRPr="003D7DBE">
        <w:rPr>
          <w:rFonts w:ascii="Times New Roman" w:hAnsi="Times New Roman"/>
          <w:sz w:val="28"/>
          <w:szCs w:val="28"/>
        </w:rPr>
        <w:t>Ощадбанк</w:t>
      </w:r>
      <w:r w:rsidR="00CB5403">
        <w:rPr>
          <w:rFonts w:ascii="Times New Roman" w:hAnsi="Times New Roman"/>
          <w:sz w:val="28"/>
          <w:szCs w:val="28"/>
        </w:rPr>
        <w:t>”</w:t>
      </w:r>
      <w:r w:rsidRPr="003D7DBE">
        <w:rPr>
          <w:rFonts w:ascii="Times New Roman" w:hAnsi="Times New Roman"/>
          <w:sz w:val="28"/>
          <w:szCs w:val="28"/>
        </w:rPr>
        <w:t xml:space="preserve"> протягом 90 календарних днів з дати набуття статусу учасника Фонду сплачує до Фонду початковий збір </w:t>
      </w:r>
      <w:r w:rsidR="00C01990">
        <w:rPr>
          <w:rFonts w:ascii="Times New Roman" w:hAnsi="Times New Roman"/>
          <w:sz w:val="28"/>
          <w:szCs w:val="28"/>
        </w:rPr>
        <w:t>у розмірі 1 </w:t>
      </w:r>
      <w:r w:rsidRPr="003D7DBE">
        <w:rPr>
          <w:rFonts w:ascii="Times New Roman" w:hAnsi="Times New Roman"/>
          <w:sz w:val="28"/>
          <w:szCs w:val="28"/>
        </w:rPr>
        <w:t>відсотка свого регулятивного капіталу, визначеного станом на дату набуття статусу учасника Фонду.</w:t>
      </w:r>
    </w:p>
    <w:p w:rsidR="003D7DBE" w:rsidRPr="003D7DBE" w:rsidRDefault="003D7DBE" w:rsidP="003D7DBE">
      <w:pPr>
        <w:pStyle w:val="a3"/>
        <w:rPr>
          <w:rFonts w:ascii="Times New Roman" w:hAnsi="Times New Roman"/>
          <w:sz w:val="28"/>
          <w:szCs w:val="28"/>
        </w:rPr>
      </w:pPr>
      <w:r w:rsidRPr="003D7DBE">
        <w:rPr>
          <w:rFonts w:ascii="Times New Roman" w:hAnsi="Times New Roman"/>
          <w:sz w:val="28"/>
          <w:szCs w:val="28"/>
        </w:rPr>
        <w:t xml:space="preserve">19. Протягом трьох років з дня набуття АТ </w:t>
      </w:r>
      <w:r w:rsidR="00CB5403">
        <w:rPr>
          <w:rFonts w:ascii="Times New Roman" w:hAnsi="Times New Roman"/>
          <w:sz w:val="28"/>
          <w:szCs w:val="28"/>
        </w:rPr>
        <w:t>“</w:t>
      </w:r>
      <w:r w:rsidRPr="003D7DBE">
        <w:rPr>
          <w:rFonts w:ascii="Times New Roman" w:hAnsi="Times New Roman"/>
          <w:sz w:val="28"/>
          <w:szCs w:val="28"/>
        </w:rPr>
        <w:t>Ощадбанк</w:t>
      </w:r>
      <w:r w:rsidR="00CB5403">
        <w:rPr>
          <w:rFonts w:ascii="Times New Roman" w:hAnsi="Times New Roman"/>
          <w:sz w:val="28"/>
          <w:szCs w:val="28"/>
        </w:rPr>
        <w:t>”</w:t>
      </w:r>
      <w:r w:rsidRPr="003D7DBE">
        <w:rPr>
          <w:rFonts w:ascii="Times New Roman" w:hAnsi="Times New Roman"/>
          <w:sz w:val="28"/>
          <w:szCs w:val="28"/>
        </w:rPr>
        <w:t xml:space="preserve"> статусу учасника Фонду:</w:t>
      </w:r>
    </w:p>
    <w:p w:rsidR="003D7DBE" w:rsidRPr="003D7DBE" w:rsidRDefault="003D7DBE" w:rsidP="003D7DBE">
      <w:pPr>
        <w:pStyle w:val="a3"/>
        <w:rPr>
          <w:rFonts w:ascii="Times New Roman" w:hAnsi="Times New Roman"/>
          <w:sz w:val="28"/>
          <w:szCs w:val="28"/>
        </w:rPr>
      </w:pPr>
      <w:r w:rsidRPr="003D7DBE">
        <w:rPr>
          <w:rFonts w:ascii="Times New Roman" w:hAnsi="Times New Roman"/>
          <w:sz w:val="28"/>
          <w:szCs w:val="28"/>
        </w:rPr>
        <w:t xml:space="preserve">1) АТ </w:t>
      </w:r>
      <w:r w:rsidR="00CB5403">
        <w:rPr>
          <w:rFonts w:ascii="Times New Roman" w:hAnsi="Times New Roman"/>
          <w:sz w:val="28"/>
          <w:szCs w:val="28"/>
        </w:rPr>
        <w:t>“</w:t>
      </w:r>
      <w:r w:rsidRPr="003D7DBE">
        <w:rPr>
          <w:rFonts w:ascii="Times New Roman" w:hAnsi="Times New Roman"/>
          <w:sz w:val="28"/>
          <w:szCs w:val="28"/>
        </w:rPr>
        <w:t>Ощадбанк</w:t>
      </w:r>
      <w:r w:rsidR="00CB5403">
        <w:rPr>
          <w:rFonts w:ascii="Times New Roman" w:hAnsi="Times New Roman"/>
          <w:sz w:val="28"/>
          <w:szCs w:val="28"/>
        </w:rPr>
        <w:t>”</w:t>
      </w:r>
      <w:r w:rsidRPr="003D7DBE">
        <w:rPr>
          <w:rFonts w:ascii="Times New Roman" w:hAnsi="Times New Roman"/>
          <w:sz w:val="28"/>
          <w:szCs w:val="28"/>
        </w:rPr>
        <w:t xml:space="preserve"> сплачує регулярний збір до Фонду лише з розрахунку базової річної ставки збору, визначеної статтею 22 цього Закону. Розрахунок розміру регулярних зборів до Фонду у формі диференційованих зборів не застосовується до АТ </w:t>
      </w:r>
      <w:r w:rsidR="00CB5403">
        <w:rPr>
          <w:rFonts w:ascii="Times New Roman" w:hAnsi="Times New Roman"/>
          <w:sz w:val="28"/>
          <w:szCs w:val="28"/>
        </w:rPr>
        <w:t>“</w:t>
      </w:r>
      <w:r w:rsidRPr="003D7DBE">
        <w:rPr>
          <w:rFonts w:ascii="Times New Roman" w:hAnsi="Times New Roman"/>
          <w:sz w:val="28"/>
          <w:szCs w:val="28"/>
        </w:rPr>
        <w:t>Ощадбанк</w:t>
      </w:r>
      <w:r w:rsidR="00CB5403">
        <w:rPr>
          <w:rFonts w:ascii="Times New Roman" w:hAnsi="Times New Roman"/>
          <w:sz w:val="28"/>
          <w:szCs w:val="28"/>
        </w:rPr>
        <w:t>”</w:t>
      </w:r>
      <w:r w:rsidRPr="003D7DBE">
        <w:rPr>
          <w:rFonts w:ascii="Times New Roman" w:hAnsi="Times New Roman"/>
          <w:sz w:val="28"/>
          <w:szCs w:val="28"/>
        </w:rPr>
        <w:t>;</w:t>
      </w:r>
    </w:p>
    <w:p w:rsidR="003D7DBE" w:rsidRPr="003D7DBE" w:rsidRDefault="003D7DBE" w:rsidP="003D7DBE">
      <w:pPr>
        <w:pStyle w:val="a3"/>
        <w:rPr>
          <w:rFonts w:ascii="Times New Roman" w:hAnsi="Times New Roman"/>
          <w:sz w:val="28"/>
          <w:szCs w:val="28"/>
        </w:rPr>
      </w:pPr>
      <w:r w:rsidRPr="003D7DBE">
        <w:rPr>
          <w:rFonts w:ascii="Times New Roman" w:hAnsi="Times New Roman"/>
          <w:sz w:val="28"/>
          <w:szCs w:val="28"/>
        </w:rPr>
        <w:t xml:space="preserve">2) Фонд своїми нормативно-правовими актами встановлює особливості подання АТ </w:t>
      </w:r>
      <w:r w:rsidR="00CB5403">
        <w:rPr>
          <w:rFonts w:ascii="Times New Roman" w:hAnsi="Times New Roman"/>
          <w:sz w:val="28"/>
          <w:szCs w:val="28"/>
        </w:rPr>
        <w:t>“</w:t>
      </w:r>
      <w:r w:rsidRPr="003D7DBE">
        <w:rPr>
          <w:rFonts w:ascii="Times New Roman" w:hAnsi="Times New Roman"/>
          <w:sz w:val="28"/>
          <w:szCs w:val="28"/>
        </w:rPr>
        <w:t>Ощадбанк</w:t>
      </w:r>
      <w:r w:rsidR="00CB5403">
        <w:rPr>
          <w:rFonts w:ascii="Times New Roman" w:hAnsi="Times New Roman"/>
          <w:sz w:val="28"/>
          <w:szCs w:val="28"/>
        </w:rPr>
        <w:t>”</w:t>
      </w:r>
      <w:r w:rsidRPr="003D7DBE">
        <w:rPr>
          <w:rFonts w:ascii="Times New Roman" w:hAnsi="Times New Roman"/>
          <w:sz w:val="28"/>
          <w:szCs w:val="28"/>
        </w:rPr>
        <w:t xml:space="preserve"> звітності до Фонду та </w:t>
      </w:r>
      <w:r w:rsidR="00C01990">
        <w:rPr>
          <w:rFonts w:ascii="Times New Roman" w:hAnsi="Times New Roman"/>
          <w:sz w:val="28"/>
          <w:szCs w:val="28"/>
        </w:rPr>
        <w:t>проведення</w:t>
      </w:r>
      <w:r w:rsidRPr="003D7DBE">
        <w:rPr>
          <w:rFonts w:ascii="Times New Roman" w:hAnsi="Times New Roman"/>
          <w:sz w:val="28"/>
          <w:szCs w:val="28"/>
        </w:rPr>
        <w:t xml:space="preserve"> Фондом перевірки </w:t>
      </w:r>
      <w:r w:rsidR="00C01990">
        <w:rPr>
          <w:rFonts w:ascii="Times New Roman" w:hAnsi="Times New Roman"/>
          <w:sz w:val="28"/>
          <w:szCs w:val="28"/>
        </w:rPr>
        <w:t>АТ “</w:t>
      </w:r>
      <w:r w:rsidRPr="003D7DBE">
        <w:rPr>
          <w:rFonts w:ascii="Times New Roman" w:hAnsi="Times New Roman"/>
          <w:sz w:val="28"/>
          <w:szCs w:val="28"/>
        </w:rPr>
        <w:t>Ощадбанк</w:t>
      </w:r>
      <w:r w:rsidR="00C01990">
        <w:rPr>
          <w:rFonts w:ascii="Times New Roman" w:hAnsi="Times New Roman"/>
          <w:sz w:val="28"/>
          <w:szCs w:val="28"/>
        </w:rPr>
        <w:t>”</w:t>
      </w:r>
      <w:r w:rsidRPr="003D7DBE">
        <w:rPr>
          <w:rFonts w:ascii="Times New Roman" w:hAnsi="Times New Roman"/>
          <w:sz w:val="28"/>
          <w:szCs w:val="28"/>
        </w:rPr>
        <w:t>;</w:t>
      </w:r>
    </w:p>
    <w:p w:rsidR="003D7DBE" w:rsidRPr="003D7DBE" w:rsidRDefault="003D7DBE" w:rsidP="003D7DBE">
      <w:pPr>
        <w:pStyle w:val="a3"/>
        <w:rPr>
          <w:rFonts w:ascii="Times New Roman" w:hAnsi="Times New Roman"/>
          <w:sz w:val="28"/>
          <w:szCs w:val="28"/>
        </w:rPr>
      </w:pPr>
      <w:r w:rsidRPr="003D7DBE">
        <w:rPr>
          <w:rFonts w:ascii="Times New Roman" w:hAnsi="Times New Roman"/>
          <w:sz w:val="28"/>
          <w:szCs w:val="28"/>
        </w:rPr>
        <w:t xml:space="preserve">3) Фонд може застосовувати до АТ </w:t>
      </w:r>
      <w:r w:rsidR="00CB5403">
        <w:rPr>
          <w:rFonts w:ascii="Times New Roman" w:hAnsi="Times New Roman"/>
          <w:sz w:val="28"/>
          <w:szCs w:val="28"/>
        </w:rPr>
        <w:t>“</w:t>
      </w:r>
      <w:r w:rsidRPr="003D7DBE">
        <w:rPr>
          <w:rFonts w:ascii="Times New Roman" w:hAnsi="Times New Roman"/>
          <w:sz w:val="28"/>
          <w:szCs w:val="28"/>
        </w:rPr>
        <w:t>Ощадбанк</w:t>
      </w:r>
      <w:r w:rsidR="00CB5403">
        <w:rPr>
          <w:rFonts w:ascii="Times New Roman" w:hAnsi="Times New Roman"/>
          <w:sz w:val="28"/>
          <w:szCs w:val="28"/>
        </w:rPr>
        <w:t>”</w:t>
      </w:r>
      <w:r w:rsidRPr="003D7DBE">
        <w:rPr>
          <w:rFonts w:ascii="Times New Roman" w:hAnsi="Times New Roman"/>
          <w:sz w:val="28"/>
          <w:szCs w:val="28"/>
        </w:rPr>
        <w:t xml:space="preserve"> адміністративно-господарські санкції у вигляді штрафу за порушення, передбачені частиною другою статті 33 цього Закону, та у розмірах, визначених відповідно до статті 33 цього Закону, якщо АТ </w:t>
      </w:r>
      <w:r w:rsidR="00CB5403">
        <w:rPr>
          <w:rFonts w:ascii="Times New Roman" w:hAnsi="Times New Roman"/>
          <w:sz w:val="28"/>
          <w:szCs w:val="28"/>
        </w:rPr>
        <w:t>“</w:t>
      </w:r>
      <w:r w:rsidRPr="003D7DBE">
        <w:rPr>
          <w:rFonts w:ascii="Times New Roman" w:hAnsi="Times New Roman"/>
          <w:sz w:val="28"/>
          <w:szCs w:val="28"/>
        </w:rPr>
        <w:t>Ощадбанк</w:t>
      </w:r>
      <w:r w:rsidR="00CB5403">
        <w:rPr>
          <w:rFonts w:ascii="Times New Roman" w:hAnsi="Times New Roman"/>
          <w:sz w:val="28"/>
          <w:szCs w:val="28"/>
        </w:rPr>
        <w:t>”</w:t>
      </w:r>
      <w:r w:rsidRPr="003D7DBE">
        <w:rPr>
          <w:rFonts w:ascii="Times New Roman" w:hAnsi="Times New Roman"/>
          <w:sz w:val="28"/>
          <w:szCs w:val="28"/>
        </w:rPr>
        <w:t xml:space="preserve"> не виконав або несвоєчасно виконав розпорядження про усунення порушень законодавства про систему гарантування вкладів фізичних осіб або повторно протягом року вчинив правопорушення.</w:t>
      </w:r>
    </w:p>
    <w:p w:rsidR="003D7DBE" w:rsidRPr="003D7DBE" w:rsidRDefault="003D7DBE" w:rsidP="003D7DBE">
      <w:pPr>
        <w:pStyle w:val="a3"/>
        <w:rPr>
          <w:rFonts w:ascii="Times New Roman" w:hAnsi="Times New Roman"/>
          <w:sz w:val="28"/>
          <w:szCs w:val="28"/>
        </w:rPr>
      </w:pPr>
      <w:r w:rsidRPr="003D7DBE">
        <w:rPr>
          <w:rFonts w:ascii="Times New Roman" w:hAnsi="Times New Roman"/>
          <w:sz w:val="28"/>
          <w:szCs w:val="28"/>
        </w:rPr>
        <w:t xml:space="preserve">Ознаки повторності протягом року вчинення АТ </w:t>
      </w:r>
      <w:r w:rsidR="00CB5403">
        <w:rPr>
          <w:rFonts w:ascii="Times New Roman" w:hAnsi="Times New Roman"/>
          <w:sz w:val="28"/>
          <w:szCs w:val="28"/>
        </w:rPr>
        <w:t>“</w:t>
      </w:r>
      <w:r w:rsidRPr="003D7DBE">
        <w:rPr>
          <w:rFonts w:ascii="Times New Roman" w:hAnsi="Times New Roman"/>
          <w:sz w:val="28"/>
          <w:szCs w:val="28"/>
        </w:rPr>
        <w:t>Ощадбанк</w:t>
      </w:r>
      <w:r w:rsidR="00CB5403">
        <w:rPr>
          <w:rFonts w:ascii="Times New Roman" w:hAnsi="Times New Roman"/>
          <w:sz w:val="28"/>
          <w:szCs w:val="28"/>
        </w:rPr>
        <w:t>”</w:t>
      </w:r>
      <w:r w:rsidRPr="003D7DBE">
        <w:rPr>
          <w:rFonts w:ascii="Times New Roman" w:hAnsi="Times New Roman"/>
          <w:sz w:val="28"/>
          <w:szCs w:val="28"/>
        </w:rPr>
        <w:t xml:space="preserve"> правопорушення визначаються нормативно-правовими актами Фонду.</w:t>
      </w:r>
      <w:r w:rsidR="00CB5403">
        <w:rPr>
          <w:rFonts w:ascii="Times New Roman" w:hAnsi="Times New Roman"/>
          <w:sz w:val="28"/>
          <w:szCs w:val="28"/>
        </w:rPr>
        <w:t>”</w:t>
      </w:r>
      <w:r w:rsidRPr="003D7DBE">
        <w:rPr>
          <w:rFonts w:ascii="Times New Roman" w:hAnsi="Times New Roman"/>
          <w:sz w:val="28"/>
          <w:szCs w:val="28"/>
        </w:rPr>
        <w:t>.</w:t>
      </w:r>
    </w:p>
    <w:p w:rsidR="003D7DBE" w:rsidRDefault="003D7DBE" w:rsidP="003D7DBE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II. Прикінцеві положення</w:t>
      </w:r>
    </w:p>
    <w:p w:rsidR="003D7DBE" w:rsidRDefault="003D7DBE" w:rsidP="003D7DBE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 Цей Закон набирає чинності з дня, наступного за днем його опублікування.</w:t>
      </w:r>
    </w:p>
    <w:p w:rsidR="003D7DBE" w:rsidRDefault="003D7DBE" w:rsidP="003D7DBE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 Кабінету Міністрів України у місячний строк з дня набрання чинності цим Законом привести власні нормативно-правові акти у відповідність із цим Законом.</w:t>
      </w:r>
    </w:p>
    <w:p w:rsidR="003D7DBE" w:rsidRDefault="003D7DBE" w:rsidP="003D7DBE">
      <w:pPr>
        <w:pStyle w:val="a3"/>
        <w:rPr>
          <w:rFonts w:ascii="Times New Roman" w:hAnsi="Times New Roman"/>
          <w:sz w:val="28"/>
          <w:szCs w:val="28"/>
        </w:rPr>
      </w:pPr>
    </w:p>
    <w:p w:rsidR="003D7DBE" w:rsidRDefault="003D7DBE" w:rsidP="003D7DBE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3. Фонду гарантування вкладів фізичних осіб у тримісячний строк з дня набрання чинності цим Законом привести свої нормативно-правові акти у відповідність із цим Законом та забезпечити прийняття нормативно-правових актів на виконання положень цього Закону.</w:t>
      </w:r>
    </w:p>
    <w:p w:rsidR="002B53D3" w:rsidRPr="004F402D" w:rsidRDefault="002B53D3" w:rsidP="002B53D3">
      <w:pPr>
        <w:spacing w:before="72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</w:t>
      </w:r>
      <w:r w:rsidRPr="004F402D">
        <w:rPr>
          <w:rFonts w:ascii="Times New Roman" w:hAnsi="Times New Roman"/>
          <w:b/>
          <w:sz w:val="28"/>
          <w:szCs w:val="28"/>
        </w:rPr>
        <w:t xml:space="preserve">Голова </w:t>
      </w:r>
      <w:r w:rsidRPr="004F402D">
        <w:rPr>
          <w:rFonts w:ascii="Times New Roman" w:hAnsi="Times New Roman"/>
          <w:b/>
          <w:sz w:val="28"/>
          <w:szCs w:val="28"/>
        </w:rPr>
        <w:br/>
        <w:t>Верховної Ради України</w:t>
      </w:r>
    </w:p>
    <w:p w:rsidR="002B53D3" w:rsidRPr="00096D61" w:rsidRDefault="002B53D3" w:rsidP="002B53D3">
      <w:pPr>
        <w:rPr>
          <w:szCs w:val="28"/>
        </w:rPr>
      </w:pPr>
    </w:p>
    <w:p w:rsidR="005C3CB4" w:rsidRDefault="005C3CB4"/>
    <w:sectPr w:rsidR="005C3CB4" w:rsidSect="00F44363">
      <w:headerReference w:type="even" r:id="rId8"/>
      <w:headerReference w:type="default" r:id="rId9"/>
      <w:pgSz w:w="11906" w:h="16838" w:code="9"/>
      <w:pgMar w:top="1134" w:right="1134" w:bottom="1134" w:left="1701" w:header="567" w:footer="56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67001" w:rsidRDefault="00067001">
      <w:r>
        <w:separator/>
      </w:r>
    </w:p>
  </w:endnote>
  <w:endnote w:type="continuationSeparator" w:id="0">
    <w:p w:rsidR="00067001" w:rsidRDefault="0006700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ntiqua">
    <w:panose1 w:val="020B0500000000000000"/>
    <w:charset w:val="00"/>
    <w:family w:val="swiss"/>
    <w:pitch w:val="variable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67001" w:rsidRDefault="00067001">
      <w:r>
        <w:separator/>
      </w:r>
    </w:p>
  </w:footnote>
  <w:footnote w:type="continuationSeparator" w:id="0">
    <w:p w:rsidR="00067001" w:rsidRDefault="0006700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45A63" w:rsidRDefault="00445A63">
    <w:pPr>
      <w:framePr w:wrap="around" w:vAnchor="text" w:hAnchor="margin" w:xAlign="center" w:y="1"/>
    </w:pPr>
    <w:r>
      <w:fldChar w:fldCharType="begin"/>
    </w:r>
    <w:r>
      <w:instrText xml:space="preserve">PAGE  </w:instrText>
    </w:r>
    <w:r>
      <w:fldChar w:fldCharType="separate"/>
    </w:r>
    <w:r>
      <w:rPr>
        <w:noProof/>
      </w:rPr>
      <w:t>1</w:t>
    </w:r>
    <w:r>
      <w:fldChar w:fldCharType="end"/>
    </w:r>
  </w:p>
  <w:p w:rsidR="00445A63" w:rsidRDefault="00445A63"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45A63" w:rsidRDefault="00445A63">
    <w:pPr>
      <w:framePr w:wrap="around" w:vAnchor="text" w:hAnchor="margin" w:xAlign="center" w:y="1"/>
    </w:pPr>
    <w:r>
      <w:fldChar w:fldCharType="begin"/>
    </w:r>
    <w:r>
      <w:instrText xml:space="preserve">PAGE  </w:instrText>
    </w:r>
    <w:r>
      <w:fldChar w:fldCharType="separate"/>
    </w:r>
    <w:r w:rsidR="00AD29E1">
      <w:rPr>
        <w:noProof/>
      </w:rPr>
      <w:t>3</w:t>
    </w:r>
    <w:r>
      <w:fldChar w:fldCharType="end"/>
    </w:r>
  </w:p>
  <w:p w:rsidR="00445A63" w:rsidRDefault="00445A63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971D3E"/>
    <w:multiLevelType w:val="hybridMultilevel"/>
    <w:tmpl w:val="E876B704"/>
    <w:lvl w:ilvl="0" w:tplc="80B62F0A">
      <w:start w:val="1"/>
      <w:numFmt w:val="decimal"/>
      <w:lvlText w:val="%1)"/>
      <w:lvlJc w:val="left"/>
      <w:pPr>
        <w:ind w:left="810" w:hanging="360"/>
      </w:pPr>
    </w:lvl>
    <w:lvl w:ilvl="1" w:tplc="04190019">
      <w:start w:val="1"/>
      <w:numFmt w:val="lowerLetter"/>
      <w:lvlText w:val="%2."/>
      <w:lvlJc w:val="left"/>
      <w:pPr>
        <w:ind w:left="1530" w:hanging="360"/>
      </w:pPr>
    </w:lvl>
    <w:lvl w:ilvl="2" w:tplc="0419001B">
      <w:start w:val="1"/>
      <w:numFmt w:val="lowerRoman"/>
      <w:lvlText w:val="%3."/>
      <w:lvlJc w:val="right"/>
      <w:pPr>
        <w:ind w:left="2250" w:hanging="180"/>
      </w:pPr>
    </w:lvl>
    <w:lvl w:ilvl="3" w:tplc="0419000F">
      <w:start w:val="1"/>
      <w:numFmt w:val="decimal"/>
      <w:lvlText w:val="%4."/>
      <w:lvlJc w:val="left"/>
      <w:pPr>
        <w:ind w:left="2970" w:hanging="360"/>
      </w:pPr>
    </w:lvl>
    <w:lvl w:ilvl="4" w:tplc="04190019">
      <w:start w:val="1"/>
      <w:numFmt w:val="lowerLetter"/>
      <w:lvlText w:val="%5."/>
      <w:lvlJc w:val="left"/>
      <w:pPr>
        <w:ind w:left="3690" w:hanging="360"/>
      </w:pPr>
    </w:lvl>
    <w:lvl w:ilvl="5" w:tplc="0419001B">
      <w:start w:val="1"/>
      <w:numFmt w:val="lowerRoman"/>
      <w:lvlText w:val="%6."/>
      <w:lvlJc w:val="right"/>
      <w:pPr>
        <w:ind w:left="4410" w:hanging="180"/>
      </w:pPr>
    </w:lvl>
    <w:lvl w:ilvl="6" w:tplc="0419000F">
      <w:start w:val="1"/>
      <w:numFmt w:val="decimal"/>
      <w:lvlText w:val="%7."/>
      <w:lvlJc w:val="left"/>
      <w:pPr>
        <w:ind w:left="5130" w:hanging="360"/>
      </w:pPr>
    </w:lvl>
    <w:lvl w:ilvl="7" w:tplc="04190019">
      <w:start w:val="1"/>
      <w:numFmt w:val="lowerLetter"/>
      <w:lvlText w:val="%8."/>
      <w:lvlJc w:val="left"/>
      <w:pPr>
        <w:ind w:left="5850" w:hanging="360"/>
      </w:pPr>
    </w:lvl>
    <w:lvl w:ilvl="8" w:tplc="0419001B">
      <w:start w:val="1"/>
      <w:numFmt w:val="lowerRoman"/>
      <w:lvlText w:val="%9."/>
      <w:lvlJc w:val="right"/>
      <w:pPr>
        <w:ind w:left="6570" w:hanging="180"/>
      </w:pPr>
    </w:lvl>
  </w:abstractNum>
  <w:abstractNum w:abstractNumId="1">
    <w:nsid w:val="1A166277"/>
    <w:multiLevelType w:val="hybridMultilevel"/>
    <w:tmpl w:val="36106A8A"/>
    <w:lvl w:ilvl="0" w:tplc="1CDA605C">
      <w:start w:val="1"/>
      <w:numFmt w:val="decimal"/>
      <w:lvlText w:val="%1."/>
      <w:lvlJc w:val="left"/>
      <w:pPr>
        <w:ind w:left="1452" w:hanging="885"/>
      </w:pPr>
      <w:rPr>
        <w:rFonts w:cs="Times New Roman"/>
      </w:rPr>
    </w:lvl>
    <w:lvl w:ilvl="1" w:tplc="04220019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22001B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22000F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220019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22001B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22000F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220019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22001B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B53D3"/>
    <w:rsid w:val="00046F84"/>
    <w:rsid w:val="00067001"/>
    <w:rsid w:val="000C703E"/>
    <w:rsid w:val="001054BE"/>
    <w:rsid w:val="00221D48"/>
    <w:rsid w:val="002223C5"/>
    <w:rsid w:val="00222A07"/>
    <w:rsid w:val="002729B5"/>
    <w:rsid w:val="002B53D3"/>
    <w:rsid w:val="002D5098"/>
    <w:rsid w:val="002F1A96"/>
    <w:rsid w:val="00311539"/>
    <w:rsid w:val="003D7DBE"/>
    <w:rsid w:val="00402994"/>
    <w:rsid w:val="00445A63"/>
    <w:rsid w:val="00455CFC"/>
    <w:rsid w:val="0048390E"/>
    <w:rsid w:val="005C3CB4"/>
    <w:rsid w:val="005F4706"/>
    <w:rsid w:val="00607093"/>
    <w:rsid w:val="00635060"/>
    <w:rsid w:val="006C6D58"/>
    <w:rsid w:val="007370F8"/>
    <w:rsid w:val="00737CFD"/>
    <w:rsid w:val="00757FFD"/>
    <w:rsid w:val="00764C95"/>
    <w:rsid w:val="00780723"/>
    <w:rsid w:val="007B0F23"/>
    <w:rsid w:val="007B5FAB"/>
    <w:rsid w:val="007D1318"/>
    <w:rsid w:val="008016F2"/>
    <w:rsid w:val="00881892"/>
    <w:rsid w:val="008D506E"/>
    <w:rsid w:val="008E0FCE"/>
    <w:rsid w:val="00906AB0"/>
    <w:rsid w:val="00A23977"/>
    <w:rsid w:val="00A455BA"/>
    <w:rsid w:val="00AD29E1"/>
    <w:rsid w:val="00AD6988"/>
    <w:rsid w:val="00B76F4B"/>
    <w:rsid w:val="00BB56AD"/>
    <w:rsid w:val="00BD70DC"/>
    <w:rsid w:val="00C01990"/>
    <w:rsid w:val="00C3481E"/>
    <w:rsid w:val="00C362EA"/>
    <w:rsid w:val="00C945BE"/>
    <w:rsid w:val="00CB44E4"/>
    <w:rsid w:val="00CB5403"/>
    <w:rsid w:val="00D4191B"/>
    <w:rsid w:val="00D432A8"/>
    <w:rsid w:val="00D91477"/>
    <w:rsid w:val="00F37B32"/>
    <w:rsid w:val="00F44363"/>
    <w:rsid w:val="00F90EFF"/>
    <w:rsid w:val="00FC392F"/>
    <w:rsid w:val="00FF39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aliases w:val="Звичайний"/>
    <w:qFormat/>
    <w:rsid w:val="002B53D3"/>
    <w:rPr>
      <w:rFonts w:ascii="Antiqua" w:hAnsi="Antiqua"/>
      <w:sz w:val="26"/>
      <w:lang w:eastAsia="ru-RU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customStyle="1" w:styleId="a3">
    <w:name w:val="Нормальний текст"/>
    <w:basedOn w:val="a"/>
    <w:rsid w:val="002B53D3"/>
    <w:pPr>
      <w:spacing w:before="120"/>
      <w:ind w:firstLine="567"/>
      <w:jc w:val="both"/>
    </w:pPr>
  </w:style>
  <w:style w:type="paragraph" w:customStyle="1" w:styleId="a4">
    <w:name w:val="Установа"/>
    <w:basedOn w:val="a"/>
    <w:rsid w:val="002B53D3"/>
    <w:pPr>
      <w:keepNext/>
      <w:keepLines/>
      <w:spacing w:before="120"/>
      <w:jc w:val="center"/>
    </w:pPr>
    <w:rPr>
      <w:b/>
      <w:i/>
      <w:caps/>
      <w:sz w:val="48"/>
    </w:rPr>
  </w:style>
  <w:style w:type="paragraph" w:customStyle="1" w:styleId="a5">
    <w:name w:val="Вид документа"/>
    <w:basedOn w:val="a4"/>
    <w:next w:val="a"/>
    <w:rsid w:val="002B53D3"/>
    <w:pPr>
      <w:spacing w:before="0" w:after="240"/>
      <w:jc w:val="right"/>
    </w:pPr>
    <w:rPr>
      <w:b w:val="0"/>
      <w:i w:val="0"/>
      <w:caps w:val="0"/>
      <w:spacing w:val="20"/>
      <w:sz w:val="26"/>
    </w:rPr>
  </w:style>
  <w:style w:type="paragraph" w:customStyle="1" w:styleId="a6">
    <w:name w:val="Назва документа"/>
    <w:basedOn w:val="a"/>
    <w:next w:val="a3"/>
    <w:rsid w:val="002B53D3"/>
    <w:pPr>
      <w:keepNext/>
      <w:keepLines/>
      <w:spacing w:before="360" w:after="360"/>
      <w:jc w:val="center"/>
    </w:pPr>
    <w:rPr>
      <w:b/>
    </w:rPr>
  </w:style>
  <w:style w:type="paragraph" w:styleId="a7">
    <w:name w:val="footer"/>
    <w:basedOn w:val="a"/>
    <w:rsid w:val="008E0FCE"/>
    <w:pPr>
      <w:tabs>
        <w:tab w:val="center" w:pos="4819"/>
        <w:tab w:val="right" w:pos="9639"/>
      </w:tabs>
    </w:pPr>
  </w:style>
  <w:style w:type="paragraph" w:styleId="a8">
    <w:name w:val="header"/>
    <w:basedOn w:val="a"/>
    <w:rsid w:val="008E0FCE"/>
    <w:pPr>
      <w:tabs>
        <w:tab w:val="center" w:pos="4819"/>
        <w:tab w:val="right" w:pos="9639"/>
      </w:tabs>
    </w:pPr>
  </w:style>
  <w:style w:type="paragraph" w:customStyle="1" w:styleId="rvps2">
    <w:name w:val="rvps2"/>
    <w:basedOn w:val="a"/>
    <w:rsid w:val="003D7DBE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uk-U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aliases w:val="Звичайний"/>
    <w:qFormat/>
    <w:rsid w:val="002B53D3"/>
    <w:rPr>
      <w:rFonts w:ascii="Antiqua" w:hAnsi="Antiqua"/>
      <w:sz w:val="26"/>
      <w:lang w:eastAsia="ru-RU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customStyle="1" w:styleId="a3">
    <w:name w:val="Нормальний текст"/>
    <w:basedOn w:val="a"/>
    <w:rsid w:val="002B53D3"/>
    <w:pPr>
      <w:spacing w:before="120"/>
      <w:ind w:firstLine="567"/>
      <w:jc w:val="both"/>
    </w:pPr>
  </w:style>
  <w:style w:type="paragraph" w:customStyle="1" w:styleId="a4">
    <w:name w:val="Установа"/>
    <w:basedOn w:val="a"/>
    <w:rsid w:val="002B53D3"/>
    <w:pPr>
      <w:keepNext/>
      <w:keepLines/>
      <w:spacing w:before="120"/>
      <w:jc w:val="center"/>
    </w:pPr>
    <w:rPr>
      <w:b/>
      <w:i/>
      <w:caps/>
      <w:sz w:val="48"/>
    </w:rPr>
  </w:style>
  <w:style w:type="paragraph" w:customStyle="1" w:styleId="a5">
    <w:name w:val="Вид документа"/>
    <w:basedOn w:val="a4"/>
    <w:next w:val="a"/>
    <w:rsid w:val="002B53D3"/>
    <w:pPr>
      <w:spacing w:before="0" w:after="240"/>
      <w:jc w:val="right"/>
    </w:pPr>
    <w:rPr>
      <w:b w:val="0"/>
      <w:i w:val="0"/>
      <w:caps w:val="0"/>
      <w:spacing w:val="20"/>
      <w:sz w:val="26"/>
    </w:rPr>
  </w:style>
  <w:style w:type="paragraph" w:customStyle="1" w:styleId="a6">
    <w:name w:val="Назва документа"/>
    <w:basedOn w:val="a"/>
    <w:next w:val="a3"/>
    <w:rsid w:val="002B53D3"/>
    <w:pPr>
      <w:keepNext/>
      <w:keepLines/>
      <w:spacing w:before="360" w:after="360"/>
      <w:jc w:val="center"/>
    </w:pPr>
    <w:rPr>
      <w:b/>
    </w:rPr>
  </w:style>
  <w:style w:type="paragraph" w:styleId="a7">
    <w:name w:val="footer"/>
    <w:basedOn w:val="a"/>
    <w:rsid w:val="008E0FCE"/>
    <w:pPr>
      <w:tabs>
        <w:tab w:val="center" w:pos="4819"/>
        <w:tab w:val="right" w:pos="9639"/>
      </w:tabs>
    </w:pPr>
  </w:style>
  <w:style w:type="paragraph" w:styleId="a8">
    <w:name w:val="header"/>
    <w:basedOn w:val="a"/>
    <w:rsid w:val="008E0FCE"/>
    <w:pPr>
      <w:tabs>
        <w:tab w:val="center" w:pos="4819"/>
        <w:tab w:val="right" w:pos="9639"/>
      </w:tabs>
    </w:pPr>
  </w:style>
  <w:style w:type="paragraph" w:customStyle="1" w:styleId="rvps2">
    <w:name w:val="rvps2"/>
    <w:basedOn w:val="a"/>
    <w:rsid w:val="003D7DBE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04532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2508</Words>
  <Characters>1430</Characters>
  <Application>Microsoft Office Word</Application>
  <DocSecurity>0</DocSecurity>
  <Lines>11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ПРОЕКТ</vt:lpstr>
    </vt:vector>
  </TitlesOfParts>
  <Company>KMU</Company>
  <LinksUpToDate>false</LinksUpToDate>
  <CharactersWithSpaces>3931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creator>Vlasova-T-P</dc:creator>
  <cp:lastModifiedBy>User</cp:lastModifiedBy>
  <cp:revision>2</cp:revision>
  <dcterms:created xsi:type="dcterms:W3CDTF">2021-05-21T08:05:00Z</dcterms:created>
  <dcterms:modified xsi:type="dcterms:W3CDTF">2021-05-21T08:05:00Z</dcterms:modified>
</cp:coreProperties>
</file>