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EE5A9C" w:rsidRPr="00EE5A9C" w:rsidRDefault="00EE5A9C" w:rsidP="00EE5A9C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</w:t>
      </w:r>
      <w:bookmarkStart w:id="1" w:name="_Hlk69594639"/>
      <w:r w:rsidRPr="00EE5A9C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 «</w:t>
      </w:r>
      <w:r w:rsidRPr="00EE5A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 внесення змін до деяких законів України щодо обмеження вмісту трансжирних кислот</w:t>
      </w:r>
    </w:p>
    <w:p w:rsidR="00EE5A9C" w:rsidRPr="00EE5A9C" w:rsidRDefault="00EE5A9C" w:rsidP="00EE5A9C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 харчових продуктах»</w:t>
      </w:r>
    </w:p>
    <w:bookmarkEnd w:id="1"/>
    <w:p w:rsidR="00EE5A9C" w:rsidRPr="00EE5A9C" w:rsidRDefault="00EE5A9C" w:rsidP="00EE5A9C">
      <w:pPr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>У проекті</w:t>
      </w:r>
      <w:bookmarkStart w:id="2" w:name="_Hlk63080874"/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, метою якого є «запровадження заходів щодо регулювання вмісту трансжирних кислот у харчових продуктах, що в свою чергу направлено на профілактику виникнення неінфекційних захворювань, зокрема ішемічної хвороби серця за рахунок сприяння здоровому харчуванню, поліпшення раціону харчування та здоров’я населення» (п. 1 пояснювальної записки до нього), пропонується внесення ряду відповідних змін до законів України 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EE5A9C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>Про основні принципи та вимоги до безпечності та якості харчових продуктів» (далі – Закон), «Про інформацію для споживачів щодо харчових продуктів»</w:t>
      </w:r>
      <w:bookmarkEnd w:id="2"/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>. У цих змінах, зокрема: надається визначення терміну «трансжирні кислоти»; забороняється обіг харчових продуктів, призначених для кінцевого споживача, в яких вміст трансжирних кислот перевищує рівень, встановлений центральним органом виконавчої влади, що забезпечує формування та реалізує державну політику у сфері охорони здоров’я; оператори ринку зобов’язуються повідомляти іншим операторам ринку про харчові продукти, що не призначені для кінцевого споживача або не призначені для закладів роздрібної торгівлі і кількість трансжирних кислот в яких перевищує встановлений рівень, крім трансжирних кислот, які природньо містяться в жирах тваринного походження, тощо.</w:t>
      </w: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Прийняття </w:t>
      </w:r>
      <w:bookmarkStart w:id="3" w:name="_Hlk68717108"/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>проекту, на думку суб’єкта права законодавчої ініціативи, зокрема, «створить передумови для забезпечення високого рівня захисту здоров’я людей від споживання харчових продуктів, що містять трансжирні кислоти»</w:t>
      </w:r>
      <w:bookmarkEnd w:id="3"/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 (п. 8 пояснювальної записки до проекту).</w:t>
      </w: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на момент підготовки висновку не включено до Плану законопроектної роботи Верховної Ради України на 2021 рік, затвердженого постановою Верховної Ради України від 02.02.2021 № 1165-IX. </w:t>
      </w:r>
    </w:p>
    <w:p w:rsidR="00EE5A9C" w:rsidRPr="005C6C2D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управління, у цілому підтримуючи ініціативу запровадження регулювання вмісту </w:t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 xml:space="preserve">трансжирних кислот у харчових продуктах, водночас, проаналізувавши проект, висловлює щодо його змісту наступні зауваження та пропозиції. </w:t>
      </w: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6C2D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 xml:space="preserve"> Згідно з новими п. 10 ч. 2 ст. 20 та п. 8 ч. 1 ст. 37 Закону, відповідно, оператори ринку зобов’язані: «повідомляти іншим операторам ринку про харчові продукти, що не призначені для кінцевого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 споживача або не призначені для 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закладів громадського харчування і кількість трансжирних кислот в яких перевищує рівень, </w:t>
      </w:r>
      <w:r w:rsidRPr="00EE5A9C">
        <w:rPr>
          <w:rFonts w:ascii="Times New Roman" w:eastAsia="Times New Roman" w:hAnsi="Times New Roman"/>
          <w:i/>
          <w:sz w:val="28"/>
          <w:szCs w:val="28"/>
          <w:lang w:eastAsia="ru-RU"/>
        </w:rPr>
        <w:t>встановлений центральним органом виконавчої влади, що забезпечує формування та реалізує державну політику у сфері охорони здоров’я»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; забороняється: «обіг харчових продуктів, призначених для кінцевого споживача, в яких вміст трансжирних кислот перевищує рівень, встановлений </w:t>
      </w:r>
      <w:r w:rsidRPr="00EE5A9C">
        <w:rPr>
          <w:rFonts w:ascii="Times New Roman" w:eastAsia="Times New Roman" w:hAnsi="Times New Roman"/>
          <w:i/>
          <w:sz w:val="28"/>
          <w:szCs w:val="28"/>
          <w:lang w:eastAsia="ru-RU"/>
        </w:rPr>
        <w:t>центральним органом виконавчої влади, що забезпечує формування та реалізує державну політику у сфері охорони здоров’я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. Положення цього пункту не стосуються трансжирних кислот, які природньо містяться в жирах тваринного походження». Тобто, із змісту цих приписів  випливає, що рівень трансжирних кислот для відповідних харчових продуктів </w:t>
      </w:r>
      <w:r w:rsidRPr="00EE5A9C">
        <w:rPr>
          <w:rFonts w:ascii="Times New Roman" w:eastAsia="Times New Roman" w:hAnsi="Times New Roman"/>
          <w:i/>
          <w:sz w:val="28"/>
          <w:szCs w:val="28"/>
          <w:lang w:eastAsia="ru-RU"/>
        </w:rPr>
        <w:t>встановлюється центральним органом виконавчої влади, що забезпечує формування та реалізує державну політику у сфері охорони здоров’я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EE5A9C" w:rsidRPr="005C6C2D" w:rsidRDefault="00EE5A9C" w:rsidP="00EE5A9C">
      <w:pPr>
        <w:ind w:firstLine="720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Проте слід </w:t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 xml:space="preserve">звернути увагу, що у п. 2 пояснювальної записки до проекту зазначається, що у Регламенті Комісії (ЄС) 2019/649 «Про внесення змін до Додатку ІІІ до Регламенту (ЄС) № 1925/2006 Європейського Парламенту та Ради щодо трансжирних кислот, крім трансжирних кислот, що містяться в жирі тваринного походження» від 24 квітня 2019 року (далі – Регламент </w:t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№ 1925/2006) встановлено, що з 2019 року «на території всього Європейського Союзу запроваджено регулювання вмісту трансжирних кислот, а саме: вміст трансжирних кислот, крім трансжирних кислот, який природним чином міститься у жирі тваринного походження, в харчових продуктах, призначених для кінцевого споживача, </w:t>
      </w:r>
      <w:r w:rsidRPr="005C6C2D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не повинен перевищувати 2 грам на 100 грам жиру»</w:t>
      </w:r>
      <w:r w:rsidRPr="005C6C2D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r w:rsidRPr="005C6C2D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</w:p>
    <w:p w:rsidR="00EE5A9C" w:rsidRPr="00EE5A9C" w:rsidRDefault="00EE5A9C" w:rsidP="00EE5A9C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>Зазначимо, що частина В Додатку ІІІ до Регламенту № 1925/2006</w:t>
      </w:r>
      <w:r w:rsidRPr="005C6C2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ootnoteReference w:id="1"/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містить таблицю, у якій визначаються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 умови використання заборонених трансжирів, крім тих, що природним чином міститься у жирі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тваринного походження, а саме: </w:t>
      </w:r>
      <w:r w:rsidRPr="00EE5A9C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м</w:t>
      </w:r>
      <w:r w:rsidRPr="00EE5A9C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аксимум 2 грами на 100 грамів жиру</w:t>
      </w:r>
      <w:r w:rsidRPr="00EE5A9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у 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продуктах харчування, призначених для кінцевого споживача і у продуктах харчування, призначених для поставки у роздрібну торгівлю. Крім того, встановлюється додаткова вимога щодо необхідності інформування інших операторів ринку харчових продуктів про кількість трансжирних кислот у разі, якщо їх вміст перевищує встановлений рівень. </w:t>
      </w:r>
    </w:p>
    <w:p w:rsidR="00EE5A9C" w:rsidRPr="00EE5A9C" w:rsidRDefault="00EE5A9C" w:rsidP="00EE5A9C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У зв’язку з цим, на нашу думку, враховуючи відповідний досвід ЄС,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доречніше 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>визначати рівень трансжирних кислот для відповідних харчових продуктів безпосередньо у законі, а не у підзако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нному нормативно-правовому акті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центрального органу виконавчої влади, що забезпечує формування та реалізує державну політику у сфері охорони здоров’я (як це передбачено у проекті), що може забезпечити більш надійний захист населення України від шкідливого впливу трансжирних кислот. </w:t>
      </w:r>
    </w:p>
    <w:p w:rsidR="00EE5A9C" w:rsidRPr="00EE5A9C" w:rsidRDefault="00EE5A9C" w:rsidP="00EE5A9C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>Аналогічне зауваження стосується також відповідних змін, які у проекті пропонується внести  до ст. 5 Закону України «Про інформацію для споживачів щодо харчових продуктів».</w:t>
      </w:r>
    </w:p>
    <w:p w:rsidR="00EE5A9C" w:rsidRPr="00EE5A9C" w:rsidRDefault="00EE5A9C" w:rsidP="00EE5A9C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6C2D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2.</w:t>
      </w:r>
      <w:r w:rsidRPr="005C6C2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вимагає техніко-юридичного доопрацювання. Так, у проекті йдеться про доповнення ч. 1. ст. 1 Закону п. 87 відповідного змісту.  Проте, оскільки такий пункт вже був в Законі, але виключений з нього на підставі Закону України «Про державний контроль за дотриманням законодавства про харчові продукти, корми, побічні продукти тваринного походження, ветеринарну медицину та благополуччя тварин» </w:t>
      </w:r>
      <w:r w:rsidR="005C6C2D" w:rsidRPr="005C6C2D">
        <w:rPr>
          <w:rFonts w:ascii="Times New Roman" w:eastAsia="Times New Roman" w:hAnsi="Times New Roman"/>
          <w:sz w:val="28"/>
          <w:szCs w:val="28"/>
          <w:lang w:eastAsia="ru-RU"/>
        </w:rPr>
        <w:t xml:space="preserve">від 18.05.2017 </w:t>
      </w:r>
      <w:r w:rsidR="005C6C2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C6C2D" w:rsidRPr="005C6C2D">
        <w:rPr>
          <w:rFonts w:ascii="Times New Roman" w:eastAsia="Times New Roman" w:hAnsi="Times New Roman"/>
          <w:sz w:val="28"/>
          <w:szCs w:val="28"/>
          <w:lang w:eastAsia="ru-RU"/>
        </w:rPr>
        <w:t>№ 2042-VIII</w:t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>, юридично коректнішим виглядає доповнення ч. 1 ст. 1 Закону новим п. 86</w:t>
      </w:r>
      <w:r w:rsidRPr="005C6C2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5C6C2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5A9C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                                                  С. Тихонюк</w:t>
      </w: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E5A9C">
        <w:rPr>
          <w:rFonts w:ascii="Times New Roman" w:eastAsia="Times New Roman" w:hAnsi="Times New Roman"/>
          <w:sz w:val="20"/>
          <w:szCs w:val="20"/>
          <w:lang w:eastAsia="ru-RU"/>
        </w:rPr>
        <w:t xml:space="preserve">Вик.: </w:t>
      </w:r>
      <w:r w:rsidRPr="00EE5A9C">
        <w:rPr>
          <w:rFonts w:ascii="Times New Roman" w:eastAsia="Times New Roman" w:hAnsi="Times New Roman"/>
          <w:sz w:val="20"/>
          <w:szCs w:val="20"/>
          <w:lang w:val="en-US" w:eastAsia="ru-RU"/>
        </w:rPr>
        <w:t>C</w:t>
      </w:r>
      <w:r w:rsidRPr="00EE5A9C">
        <w:rPr>
          <w:rFonts w:ascii="Times New Roman" w:eastAsia="Times New Roman" w:hAnsi="Times New Roman"/>
          <w:sz w:val="20"/>
          <w:szCs w:val="20"/>
          <w:lang w:val="ru-RU" w:eastAsia="ru-RU"/>
        </w:rPr>
        <w:t xml:space="preserve">. Кузнецова, </w:t>
      </w:r>
      <w:r w:rsidRPr="00EE5A9C">
        <w:rPr>
          <w:rFonts w:ascii="Times New Roman" w:eastAsia="Times New Roman" w:hAnsi="Times New Roman"/>
          <w:sz w:val="20"/>
          <w:szCs w:val="20"/>
          <w:lang w:eastAsia="ru-RU"/>
        </w:rPr>
        <w:t>А. Мусаєва</w:t>
      </w: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4362" w:rsidRPr="006A7EE4" w:rsidRDefault="000D4362" w:rsidP="000D43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0D4362" w:rsidRPr="006A7EE4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16C" w:rsidRDefault="00CD616C">
      <w:r>
        <w:separator/>
      </w:r>
    </w:p>
  </w:endnote>
  <w:endnote w:type="continuationSeparator" w:id="0">
    <w:p w:rsidR="00CD616C" w:rsidRDefault="00CD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16C" w:rsidRDefault="00CD616C">
      <w:r>
        <w:separator/>
      </w:r>
    </w:p>
  </w:footnote>
  <w:footnote w:type="continuationSeparator" w:id="0">
    <w:p w:rsidR="00CD616C" w:rsidRDefault="00CD616C">
      <w:r>
        <w:continuationSeparator/>
      </w:r>
    </w:p>
  </w:footnote>
  <w:footnote w:id="1">
    <w:p w:rsidR="00EE5A9C" w:rsidRPr="007C0818" w:rsidRDefault="00EE5A9C" w:rsidP="00EE5A9C">
      <w:pPr>
        <w:pStyle w:val="a7"/>
        <w:ind w:firstLine="709"/>
        <w:jc w:val="both"/>
      </w:pPr>
      <w:r w:rsidRPr="00C828B0">
        <w:rPr>
          <w:rStyle w:val="a9"/>
        </w:rPr>
        <w:footnoteRef/>
      </w:r>
      <w:r w:rsidRPr="00C828B0">
        <w:t xml:space="preserve"> </w:t>
      </w:r>
      <w:r>
        <w:t xml:space="preserve">- </w:t>
      </w:r>
      <w:r w:rsidRPr="00EE5A9C">
        <w:rPr>
          <w:rFonts w:ascii="Times New Roman" w:hAnsi="Times New Roman"/>
          <w:shd w:val="clear" w:color="auto" w:fill="FFFFFF"/>
        </w:rPr>
        <w:t xml:space="preserve">Commission Regulation (EU) 2019/649 of 24 April 2019 amending Annex III to Regulation (EC) </w:t>
      </w:r>
      <w:r w:rsidR="005C6C2D">
        <w:rPr>
          <w:rFonts w:ascii="Times New Roman" w:hAnsi="Times New Roman"/>
          <w:shd w:val="clear" w:color="auto" w:fill="FFFFFF"/>
        </w:rPr>
        <w:br/>
      </w:r>
      <w:r w:rsidRPr="00EE5A9C">
        <w:rPr>
          <w:rFonts w:ascii="Times New Roman" w:hAnsi="Times New Roman"/>
          <w:shd w:val="clear" w:color="auto" w:fill="FFFFFF"/>
        </w:rPr>
        <w:t>No 1925/2006 of the European Parliament and of the Council as regards trans fat, other than trans fat naturally occurring in fat of animal origin (Text with EEA relevance.)//</w:t>
      </w:r>
      <w:r w:rsidRPr="00EE5A9C">
        <w:rPr>
          <w:rFonts w:ascii="Times New Roman" w:hAnsi="Times New Roman"/>
        </w:rPr>
        <w:t xml:space="preserve"> URL: https://eur-lex.europa.eu/legal-content/EN/TXT/?uri=CELEX%3A32019R0649#ntr6-L_2019110EN.01001701-E0006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CEF" w:rsidRDefault="007875B1">
    <w:pPr>
      <w:pStyle w:val="a3"/>
      <w:jc w:val="center"/>
      <w:rPr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 w:rsidR="00AA1FDD" w:rsidRPr="00AA1FDD">
      <w:rPr>
        <w:rFonts w:ascii="Times New Roman" w:hAnsi="Times New Roman"/>
        <w:noProof/>
        <w:sz w:val="28"/>
        <w:szCs w:val="28"/>
        <w:lang w:val="ru-RU"/>
      </w:rPr>
      <w:t>3</w:t>
    </w:r>
    <w:r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362" w:rsidRDefault="007875B1" w:rsidP="000D4362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До реєстр. № </w:t>
    </w:r>
    <w:r w:rsidR="0059758F">
      <w:rPr>
        <w:rFonts w:ascii="Times New Roman" w:hAnsi="Times New Roman"/>
        <w:sz w:val="20"/>
      </w:rPr>
      <w:t>5</w:t>
    </w:r>
    <w:r w:rsidR="00EE5A9C">
      <w:rPr>
        <w:rFonts w:ascii="Times New Roman" w:hAnsi="Times New Roman"/>
        <w:sz w:val="20"/>
      </w:rPr>
      <w:t>543 від 21.05.2021</w:t>
    </w:r>
  </w:p>
  <w:p w:rsidR="00527CEF" w:rsidRDefault="00EE5A9C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E42A0"/>
    <w:multiLevelType w:val="hybridMultilevel"/>
    <w:tmpl w:val="4B205D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786931"/>
    <w:multiLevelType w:val="hybridMultilevel"/>
    <w:tmpl w:val="A61E4A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051B9A"/>
    <w:multiLevelType w:val="hybridMultilevel"/>
    <w:tmpl w:val="604A8C3E"/>
    <w:lvl w:ilvl="0" w:tplc="793EDD90">
      <w:start w:val="3"/>
      <w:numFmt w:val="bullet"/>
      <w:lvlText w:val="-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08"/>
    <w:rsid w:val="0000245F"/>
    <w:rsid w:val="000C4B3B"/>
    <w:rsid w:val="000D4362"/>
    <w:rsid w:val="00132EB5"/>
    <w:rsid w:val="001676D2"/>
    <w:rsid w:val="00193977"/>
    <w:rsid w:val="002213B9"/>
    <w:rsid w:val="002B2967"/>
    <w:rsid w:val="003670A8"/>
    <w:rsid w:val="00461F08"/>
    <w:rsid w:val="00480A08"/>
    <w:rsid w:val="00527CEF"/>
    <w:rsid w:val="0059758F"/>
    <w:rsid w:val="005C6C2D"/>
    <w:rsid w:val="00654998"/>
    <w:rsid w:val="006823F0"/>
    <w:rsid w:val="006A7EE4"/>
    <w:rsid w:val="00701F8A"/>
    <w:rsid w:val="00763F28"/>
    <w:rsid w:val="007875B1"/>
    <w:rsid w:val="00793BBD"/>
    <w:rsid w:val="007A3878"/>
    <w:rsid w:val="008D7591"/>
    <w:rsid w:val="00975A81"/>
    <w:rsid w:val="009C105D"/>
    <w:rsid w:val="009C3379"/>
    <w:rsid w:val="00AA1FDD"/>
    <w:rsid w:val="00B12DD7"/>
    <w:rsid w:val="00B66545"/>
    <w:rsid w:val="00BA01F2"/>
    <w:rsid w:val="00BB5770"/>
    <w:rsid w:val="00BD0737"/>
    <w:rsid w:val="00CD616C"/>
    <w:rsid w:val="00D122B7"/>
    <w:rsid w:val="00D17CD3"/>
    <w:rsid w:val="00DD0D32"/>
    <w:rsid w:val="00DE408D"/>
    <w:rsid w:val="00EC4936"/>
    <w:rsid w:val="00EE5A9C"/>
    <w:rsid w:val="00F05632"/>
    <w:rsid w:val="00F8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paragraph" w:styleId="a7">
    <w:name w:val="footnote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виноски Знак"/>
    <w:link w:val="a7"/>
    <w:uiPriority w:val="99"/>
    <w:rPr>
      <w:sz w:val="20"/>
      <w:szCs w:val="20"/>
      <w:lang w:val="uk-UA"/>
    </w:rPr>
  </w:style>
  <w:style w:type="character" w:styleId="a9">
    <w:name w:val="footnote reference"/>
    <w:uiPriority w:val="99"/>
    <w:semiHidden/>
    <w:unhideWhenUsed/>
    <w:rPr>
      <w:vertAlign w:val="superscript"/>
    </w:rPr>
  </w:style>
  <w:style w:type="paragraph" w:styleId="aa">
    <w:name w:val="List Paragraph"/>
    <w:basedOn w:val="a"/>
    <w:uiPriority w:val="34"/>
    <w:qFormat/>
    <w:rsid w:val="00763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3561F-8CC3-45E6-9832-C75E3C109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3643</Words>
  <Characters>2077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2021-06-29T12:08:00Z</dcterms:created>
  <dcterms:modified xsi:type="dcterms:W3CDTF">2021-06-29T12:08:00Z</dcterms:modified>
</cp:coreProperties>
</file>