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F70" w:rsidRDefault="00975F7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 CYR" w:hAnsi="Times New Roman CYR" w:cs="Times New Roman CYR"/>
          <w:b/>
          <w:bCs/>
          <w:sz w:val="28"/>
          <w:szCs w:val="28"/>
        </w:rPr>
        <w:t>ПОЯСНЮВАЛЬНА ЗАПИСКА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до проекту Закону України «Про </w:t>
      </w:r>
      <w:r w:rsidR="005768D3">
        <w:rPr>
          <w:rFonts w:ascii="Times New Roman CYR" w:hAnsi="Times New Roman CYR" w:cs="Times New Roman CYR"/>
          <w:b/>
          <w:bCs/>
          <w:sz w:val="28"/>
          <w:szCs w:val="28"/>
        </w:rPr>
        <w:t xml:space="preserve">внесення змін до Кримінального процесуального кодексу України щодо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посилення відповідальності за невиконання рішень Європейського суду з прав людини»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962EE" w:rsidRDefault="00975F70" w:rsidP="00CD29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Обґрунтування необхідності прийняття законопроекту</w:t>
      </w:r>
    </w:p>
    <w:p w:rsidR="005169C7" w:rsidRDefault="005169C7" w:rsidP="00CD2924">
      <w:pPr>
        <w:pStyle w:val="a3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частини четвертої статті 382 Кримінального кодексу України, у</w:t>
      </w:r>
      <w:r w:rsidRPr="005169C7">
        <w:rPr>
          <w:sz w:val="28"/>
          <w:szCs w:val="28"/>
          <w:lang w:val="uk-UA"/>
        </w:rPr>
        <w:t>мисне невиконання службовою особою рішення Єв</w:t>
      </w:r>
      <w:r>
        <w:rPr>
          <w:sz w:val="28"/>
          <w:szCs w:val="28"/>
          <w:lang w:val="uk-UA"/>
        </w:rPr>
        <w:t xml:space="preserve">ропейського суду з прав людини є кримінальним правопорушенням, за вчинення якого передбачене покарання у вигляді </w:t>
      </w:r>
      <w:r w:rsidRPr="005169C7">
        <w:rPr>
          <w:sz w:val="28"/>
          <w:szCs w:val="28"/>
          <w:lang w:val="uk-UA"/>
        </w:rPr>
        <w:t>позбавленням волі на строк від трьох до восьми років з позбавленням права обіймати певні посади чи займатися певною діяльністю на строк до трьох рокі</w:t>
      </w:r>
      <w:r>
        <w:rPr>
          <w:sz w:val="28"/>
          <w:szCs w:val="28"/>
          <w:lang w:val="uk-UA"/>
        </w:rPr>
        <w:t xml:space="preserve">. </w:t>
      </w:r>
    </w:p>
    <w:p w:rsidR="005169C7" w:rsidRDefault="005169C7" w:rsidP="00CD2924">
      <w:pPr>
        <w:pStyle w:val="a3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Водночас, що Україна є однією із країн лідерів щодо невиконання рішень ЄСПЛ, жодну особу не було притягнуто до відповідальності за частиною 4 статті 382 КК України, що свідчить про неефективність цих законодавчих положень і необхідність пошуків інших механізмів виконання рішень </w:t>
      </w:r>
      <w:r w:rsidRPr="005169C7">
        <w:rPr>
          <w:sz w:val="28"/>
          <w:szCs w:val="28"/>
          <w:lang w:val="uk-UA"/>
        </w:rPr>
        <w:t>Європейського суду з прав людини</w:t>
      </w:r>
      <w:r>
        <w:rPr>
          <w:sz w:val="28"/>
          <w:szCs w:val="28"/>
          <w:lang w:val="uk-UA"/>
        </w:rPr>
        <w:t>.</w:t>
      </w:r>
    </w:p>
    <w:p w:rsidR="004962EE" w:rsidRDefault="004962EE" w:rsidP="00CD2924">
      <w:pPr>
        <w:pStyle w:val="a3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394565">
        <w:rPr>
          <w:sz w:val="28"/>
          <w:szCs w:val="28"/>
          <w:lang w:val="uk-UA"/>
        </w:rPr>
        <w:t>Європейська комісія «За демократію через право» (Венеційської комісії) у своєму Висновку для Конституційного Суду Республіки Молдова про право регресу держави до суддів від 13 червня 2016 року № CDL-AD (2016)015 зазначає, що відповідальність суддів є допустимою лише за умови свідомого (умисного або з огляду на грубу недбалість) вчинення відповідного проступку. Тому відповідальність суддів, спричинена негативним рішенням ЄСПЛ, повинна ґрунтуватися виключно на висновку національного суду про наявність умислу або грубої недбалості в діях судді (підпункти «а», «с» пункту 77); помилкові рішення необхідно оскаржувати в межах апеляційного провадження, а не притягати суддів до індивідуальної відповідальності, крім випадків, коли помилка виникла внаслідок умислу або грубої недбалості з боку судді (пункти 77-79).</w:t>
      </w:r>
    </w:p>
    <w:p w:rsidR="00975F70" w:rsidRDefault="005169C7" w:rsidP="00CD2924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Попри те, що формально суддю може бути притягнуто</w:t>
      </w:r>
      <w:r w:rsidR="00D97505" w:rsidRPr="00D97505">
        <w:t xml:space="preserve"> </w:t>
      </w:r>
      <w:r w:rsidR="00D97505" w:rsidRPr="00D97505">
        <w:rPr>
          <w:rFonts w:ascii="Times New Roman CYR" w:hAnsi="Times New Roman CYR" w:cs="Times New Roman CYR"/>
          <w:sz w:val="28"/>
          <w:szCs w:val="28"/>
        </w:rPr>
        <w:t>до дисциплінарної відповідальності в порядку дисциплінарного провадження з підстав</w:t>
      </w:r>
      <w:r w:rsidR="00D97505" w:rsidRPr="00D97505">
        <w:t xml:space="preserve"> </w:t>
      </w:r>
      <w:r w:rsidR="00D97505" w:rsidRPr="00D97505">
        <w:rPr>
          <w:rFonts w:ascii="Times New Roman CYR" w:hAnsi="Times New Roman CYR" w:cs="Times New Roman CYR"/>
          <w:sz w:val="28"/>
          <w:szCs w:val="28"/>
        </w:rPr>
        <w:t>порушення прав людини і основоположних свобод</w:t>
      </w:r>
      <w:r w:rsidR="00D97505">
        <w:rPr>
          <w:rFonts w:ascii="Times New Roman CYR" w:hAnsi="Times New Roman CYR" w:cs="Times New Roman CYR"/>
          <w:sz w:val="28"/>
          <w:szCs w:val="28"/>
        </w:rPr>
        <w:t>, на практиці такі випадки відсутні.  Тобто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7505">
        <w:rPr>
          <w:rFonts w:ascii="Times New Roman CYR" w:hAnsi="Times New Roman CYR" w:cs="Times New Roman CYR"/>
          <w:sz w:val="28"/>
          <w:szCs w:val="28"/>
        </w:rPr>
        <w:t>ч</w:t>
      </w:r>
      <w:r w:rsidR="00975F70">
        <w:rPr>
          <w:rFonts w:ascii="Times New Roman CYR" w:hAnsi="Times New Roman CYR" w:cs="Times New Roman CYR"/>
          <w:sz w:val="28"/>
          <w:szCs w:val="28"/>
        </w:rPr>
        <w:t xml:space="preserve">инне законодавче регулювання не визначає жодної відповідальності для суддів, інших посадових і службових осіб державних органів, винних у вчиненні дій (бездіяльності), які стали підставою порушення Конвенції про захист прав людини і основоположних свобод та, відповідно, прийняття негативного для України, як її Договірної Сторони, рішення Європейського суду з прав людини. Так само законодавчо не визначений і механізм притягнення таких </w:t>
      </w:r>
      <w:r w:rsidR="00D97505">
        <w:rPr>
          <w:rFonts w:ascii="Times New Roman CYR" w:hAnsi="Times New Roman CYR" w:cs="Times New Roman CYR"/>
          <w:sz w:val="28"/>
          <w:szCs w:val="28"/>
        </w:rPr>
        <w:t xml:space="preserve">посадових і службових </w:t>
      </w:r>
      <w:r w:rsidR="00975F70">
        <w:rPr>
          <w:rFonts w:ascii="Times New Roman CYR" w:hAnsi="Times New Roman CYR" w:cs="Times New Roman CYR"/>
          <w:sz w:val="28"/>
          <w:szCs w:val="28"/>
        </w:rPr>
        <w:t>осіб до відповідальності.</w:t>
      </w:r>
    </w:p>
    <w:p w:rsidR="00975F70" w:rsidRP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75F70">
        <w:rPr>
          <w:rFonts w:ascii="Times New Roman" w:hAnsi="Times New Roman"/>
          <w:sz w:val="28"/>
          <w:szCs w:val="28"/>
        </w:rPr>
        <w:t xml:space="preserve">Існування процедури, за якою суддю, іншу посадову і службову особу державних органів може бути притягнуто до індивідуальної відповідальності за </w:t>
      </w:r>
      <w:r w:rsidRPr="00975F70">
        <w:rPr>
          <w:rFonts w:ascii="Times New Roman" w:hAnsi="Times New Roman"/>
          <w:sz w:val="28"/>
          <w:szCs w:val="28"/>
        </w:rPr>
        <w:lastRenderedPageBreak/>
        <w:t>ухвалені на національному рівні рішення, що оскаржені до Європейського суду з прав людини і наслідком яких є встановлення порушення Європейської конвенції про захист прав людини і основоположних свобод державою-членом у рішенні є необхідн</w:t>
      </w:r>
      <w:r>
        <w:rPr>
          <w:rFonts w:ascii="Times New Roman" w:hAnsi="Times New Roman"/>
          <w:sz w:val="28"/>
          <w:szCs w:val="28"/>
        </w:rPr>
        <w:t>ою</w:t>
      </w:r>
      <w:r w:rsidRPr="00975F70">
        <w:rPr>
          <w:rFonts w:ascii="Times New Roman" w:hAnsi="Times New Roman"/>
          <w:sz w:val="28"/>
          <w:szCs w:val="28"/>
        </w:rPr>
        <w:t xml:space="preserve">, оскільки дозволить підвищити ефективність діяльності судової системи, удосконалити порядок притягнення до відповідальності осіб, дії яких призвели до порушення Європейської конвенції про захист прав людини і основоположних свобод. 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Крім того, рівень виконання вже прийнятих Європейським судом з прав людини рішень щодо України є ненабагато вищим від рівня виконання рішень національних судів, тобто низьким.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2. Мета і завдання законопроекту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Основною метою прийняття законопроекту є запровадження правового механізму, який би гарантував виконання рішень Європейського суду з прав людини та визначав порядок притягнення до відповідальності суддів, інших посадових і службових осіб державних органів, винних у вчиненні дій (бездіяльності), які стали підставою порушення Конвенції про захист прав людини і основоположних свобод та, відповідно, прийняття негативного для України, як її Договірної Сторони, рішення Європейського суду з прав людини.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3. Загальна характеристика й основні положення законопроекту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Законопроектом пропонується доповнити окремими положеннями Кримінальний процесуальний кодекс України</w:t>
      </w:r>
      <w:r w:rsidR="005768D3">
        <w:rPr>
          <w:rFonts w:ascii="Times New Roman CYR" w:hAnsi="Times New Roman CYR" w:cs="Times New Roman CYR"/>
          <w:sz w:val="28"/>
          <w:szCs w:val="28"/>
        </w:rPr>
        <w:t xml:space="preserve"> в частині посилення відповідальності за невиконання рішень Європейського суду з прав людини.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4. Стан нормативно-правової бази в даній сфері правового 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регулювання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Нормативно-правовою базою в цій сфері правового регулювання є Конституція України та Закон України «Про виконання рішень та застосування практики Європейського суду з прав людини», Кримінальний процесуальний кодекс України, Закон Укр</w:t>
      </w:r>
      <w:r w:rsidR="00CD2924">
        <w:rPr>
          <w:rFonts w:ascii="Times New Roman CYR" w:hAnsi="Times New Roman CYR" w:cs="Times New Roman CYR"/>
          <w:sz w:val="28"/>
          <w:szCs w:val="28"/>
        </w:rPr>
        <w:t>аїни «Про запобігання корупції», інші нормативно-правові акти</w:t>
      </w:r>
    </w:p>
    <w:p w:rsidR="00CD2924" w:rsidRPr="00CD2924" w:rsidRDefault="00CD2924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>Реалізація положень законопроекту не потребує внесення змін до інших нормативно-правових актів.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5. Фінансово-економічне обґрунтування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Реалізація положень цього законопроекту не потребує додаткових видатків із Державного бюджету України. 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6. Прогноз соціально-економічних</w:t>
      </w:r>
      <w:r w:rsidR="00FF1213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та інших наслідків прийняття законопроекту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разі прийняття законопроекту будуть внесені зміни до чинної нормативної бази у сфері забезпечення виконання рішення Європейського суду з прав людини, які матимуть позитивний ефект у питаннях гарантування їх реального виконання, притягнення до відповідальності осіб, винних у порушенні Конвенції про захист прав людини і основоположних свобод.</w:t>
      </w: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75F70" w:rsidRDefault="00975F70" w:rsidP="00CD2924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Народні депутати України                                </w:t>
      </w:r>
    </w:p>
    <w:sectPr w:rsidR="00975F70"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BDF" w:rsidRDefault="00381BDF" w:rsidP="004962EE">
      <w:pPr>
        <w:spacing w:after="0" w:line="240" w:lineRule="auto"/>
      </w:pPr>
      <w:r>
        <w:separator/>
      </w:r>
    </w:p>
  </w:endnote>
  <w:endnote w:type="continuationSeparator" w:id="0">
    <w:p w:rsidR="00381BDF" w:rsidRDefault="00381BDF" w:rsidP="00496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BDF" w:rsidRDefault="00381BDF" w:rsidP="004962EE">
      <w:pPr>
        <w:spacing w:after="0" w:line="240" w:lineRule="auto"/>
      </w:pPr>
      <w:r>
        <w:separator/>
      </w:r>
    </w:p>
  </w:footnote>
  <w:footnote w:type="continuationSeparator" w:id="0">
    <w:p w:rsidR="00381BDF" w:rsidRDefault="00381BDF" w:rsidP="00496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B1214"/>
    <w:multiLevelType w:val="hybridMultilevel"/>
    <w:tmpl w:val="CC1A7564"/>
    <w:lvl w:ilvl="0" w:tplc="FCA61F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13"/>
    <w:rsid w:val="00381BDF"/>
    <w:rsid w:val="00394565"/>
    <w:rsid w:val="004962EE"/>
    <w:rsid w:val="005169C7"/>
    <w:rsid w:val="005768D3"/>
    <w:rsid w:val="005972A4"/>
    <w:rsid w:val="006832DB"/>
    <w:rsid w:val="007E4835"/>
    <w:rsid w:val="00975F70"/>
    <w:rsid w:val="009E3CDF"/>
    <w:rsid w:val="00A005BA"/>
    <w:rsid w:val="00B7635D"/>
    <w:rsid w:val="00CD2924"/>
    <w:rsid w:val="00D97505"/>
    <w:rsid w:val="00FF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4BF2552-6172-45C7-ACEB-ED170AF2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962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semiHidden/>
    <w:unhideWhenUsed/>
    <w:rsid w:val="004962EE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4962EE"/>
    <w:rPr>
      <w:rFonts w:cs="Times New Roman"/>
    </w:rPr>
  </w:style>
  <w:style w:type="paragraph" w:styleId="a6">
    <w:name w:val="footer"/>
    <w:basedOn w:val="a"/>
    <w:link w:val="a7"/>
    <w:uiPriority w:val="99"/>
    <w:semiHidden/>
    <w:unhideWhenUsed/>
    <w:rsid w:val="004962E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4962E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A813E0-A057-45E5-B441-4336A97473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BB90D-B452-4BB0-86A3-57E2F54DC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93EAEF-6312-449F-BAA8-FF10D1345C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3277</Words>
  <Characters>1869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2021-05-28T08:07:00Z</dcterms:created>
  <dcterms:modified xsi:type="dcterms:W3CDTF">2021-05-28T08:07:00Z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