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A10" w:rsidRDefault="007C4A10" w:rsidP="007C4A10">
      <w:pPr>
        <w:ind w:firstLine="567"/>
        <w:jc w:val="center"/>
        <w:outlineLvl w:val="4"/>
        <w:rPr>
          <w:b/>
          <w:bCs/>
          <w:szCs w:val="28"/>
        </w:rPr>
      </w:pPr>
      <w:r>
        <w:rPr>
          <w:b/>
          <w:bCs/>
          <w:szCs w:val="28"/>
        </w:rPr>
        <w:t>ВИСНОВОК</w:t>
      </w:r>
    </w:p>
    <w:p w:rsidR="007C4A10" w:rsidRDefault="007C4A10" w:rsidP="007C4A10">
      <w:pPr>
        <w:ind w:firstLine="567"/>
        <w:jc w:val="center"/>
        <w:outlineLvl w:val="4"/>
        <w:rPr>
          <w:b/>
          <w:szCs w:val="28"/>
        </w:rPr>
      </w:pPr>
      <w:r>
        <w:rPr>
          <w:b/>
          <w:bCs/>
          <w:szCs w:val="28"/>
        </w:rPr>
        <w:t xml:space="preserve">Комітету Верховної Ради України з питань </w:t>
      </w:r>
      <w:r>
        <w:rPr>
          <w:b/>
          <w:szCs w:val="28"/>
        </w:rPr>
        <w:t xml:space="preserve">інтеграції України </w:t>
      </w:r>
      <w:r>
        <w:rPr>
          <w:b/>
          <w:szCs w:val="28"/>
          <w:lang w:val="uk-UA"/>
        </w:rPr>
        <w:t>до</w:t>
      </w:r>
      <w:r>
        <w:rPr>
          <w:b/>
          <w:szCs w:val="28"/>
        </w:rPr>
        <w:t xml:space="preserve"> Європейського Союзу щодо проекту Закону України</w:t>
      </w:r>
    </w:p>
    <w:p w:rsidR="007C4A10" w:rsidRDefault="007C4A10" w:rsidP="007C4A10">
      <w:pPr>
        <w:pStyle w:val="3"/>
        <w:shd w:val="clear" w:color="auto" w:fill="FFFFFF"/>
        <w:spacing w:before="0" w:beforeAutospacing="0" w:after="0" w:afterAutospacing="0"/>
        <w:jc w:val="center"/>
        <w:textAlignment w:val="baseline"/>
        <w:rPr>
          <w:sz w:val="28"/>
          <w:szCs w:val="28"/>
        </w:rPr>
      </w:pPr>
      <w:r>
        <w:rPr>
          <w:sz w:val="28"/>
          <w:szCs w:val="28"/>
        </w:rPr>
        <w:t xml:space="preserve">«Про внесення змін до деяких законодавчих актів України щодо регулювання обігу конопель в медичних цілях, науковій та науково-технічній діяльності» </w:t>
      </w:r>
    </w:p>
    <w:p w:rsidR="007C4A10" w:rsidRDefault="007C4A10" w:rsidP="007C4A10">
      <w:pPr>
        <w:jc w:val="center"/>
        <w:rPr>
          <w:b/>
          <w:szCs w:val="28"/>
          <w:lang w:val="uk-UA"/>
        </w:rPr>
      </w:pPr>
      <w:r w:rsidRPr="004E23A9">
        <w:rPr>
          <w:b/>
          <w:szCs w:val="28"/>
          <w:lang w:val="uk-UA"/>
        </w:rPr>
        <w:t>(реєстр.</w:t>
      </w:r>
      <w:r w:rsidRPr="004E23A9">
        <w:rPr>
          <w:b/>
          <w:szCs w:val="28"/>
        </w:rPr>
        <w:t> </w:t>
      </w:r>
      <w:r w:rsidRPr="004E23A9">
        <w:rPr>
          <w:b/>
          <w:szCs w:val="28"/>
          <w:lang w:val="uk-UA"/>
        </w:rPr>
        <w:t>№ 5596 від 02.06.2021</w:t>
      </w:r>
      <w:r w:rsidRPr="004E23A9">
        <w:rPr>
          <w:b/>
          <w:szCs w:val="28"/>
        </w:rPr>
        <w:t> </w:t>
      </w:r>
      <w:r w:rsidRPr="004E23A9">
        <w:rPr>
          <w:b/>
          <w:szCs w:val="28"/>
          <w:lang w:val="uk-UA"/>
        </w:rPr>
        <w:t>р., нду, О.Стефанишина, І. Климпуш-Цинцадзе, В. Галайчук, М. Мезенцева та інші)</w:t>
      </w:r>
    </w:p>
    <w:p w:rsidR="006710F0" w:rsidRDefault="006710F0" w:rsidP="007C4A10">
      <w:pPr>
        <w:jc w:val="center"/>
        <w:rPr>
          <w:b/>
          <w:szCs w:val="28"/>
          <w:lang w:val="uk-UA"/>
        </w:rPr>
      </w:pPr>
    </w:p>
    <w:p w:rsidR="006710F0" w:rsidRPr="006710F0" w:rsidRDefault="006710F0" w:rsidP="007C4A10">
      <w:pPr>
        <w:jc w:val="center"/>
        <w:rPr>
          <w:szCs w:val="28"/>
          <w:lang w:val="uk-UA"/>
        </w:rPr>
      </w:pPr>
      <w:r w:rsidRPr="006710F0">
        <w:rPr>
          <w:szCs w:val="28"/>
          <w:lang w:val="uk-UA"/>
        </w:rPr>
        <w:t>Комітет розглянув проект Закону на своєму засіданні 07 липня 2021 року (протокол № 79) відповідно до статті 93 Регламенту Верховної Ради України.</w:t>
      </w:r>
    </w:p>
    <w:p w:rsidR="007C4A10" w:rsidRDefault="007C4A10" w:rsidP="007C4A10">
      <w:pPr>
        <w:ind w:firstLine="567"/>
        <w:jc w:val="both"/>
        <w:rPr>
          <w:b/>
          <w:szCs w:val="28"/>
          <w:lang w:val="uk-UA"/>
        </w:rPr>
      </w:pPr>
      <w:r>
        <w:rPr>
          <w:b/>
          <w:szCs w:val="28"/>
          <w:lang w:val="uk-UA"/>
        </w:rPr>
        <w:t>1.</w:t>
      </w:r>
      <w:r>
        <w:rPr>
          <w:b/>
          <w:szCs w:val="28"/>
          <w:lang w:val="en-US"/>
        </w:rPr>
        <w:t> </w:t>
      </w:r>
      <w:r>
        <w:rPr>
          <w:b/>
          <w:szCs w:val="28"/>
          <w:lang w:val="uk-UA"/>
        </w:rPr>
        <w:t>Загальна характеристика законопроекту.</w:t>
      </w:r>
    </w:p>
    <w:p w:rsidR="007C4A10" w:rsidRDefault="007C4A10" w:rsidP="007C4A10">
      <w:pPr>
        <w:widowControl w:val="0"/>
        <w:tabs>
          <w:tab w:val="left" w:pos="0"/>
          <w:tab w:val="left" w:pos="993"/>
        </w:tabs>
        <w:ind w:firstLine="709"/>
        <w:jc w:val="both"/>
        <w:rPr>
          <w:szCs w:val="28"/>
          <w:lang w:val="uk-UA"/>
        </w:rPr>
      </w:pPr>
      <w:r>
        <w:rPr>
          <w:szCs w:val="28"/>
          <w:lang w:val="uk-UA"/>
        </w:rPr>
        <w:t>Як зазначено у пояснювальній записці до законопроекту, прийняття проєкту закону дозволить: посилити гарантії забезпечення фундаментального права особи на життя шляхом розширення доступу до необхідних медичних послуг і лікарських засобів, включаючи лікарські засоби, що виготовлені на основі медичних конопель; сприяти розвитку медичної науки та національної фармацевтичної індустрії, зокрема, шляхом започаткування клінічних випробувань препаратів на основі конопель з метою більш глибокого вивчення можливості його застосування в лікувальних цілях; дозволити суб’єктам господарювання здійснювати законну діяльність із культивування конопель, які містять дозволені кількості наркотичних речовин, використовувати такі рослини у наукових, навчальних та медичних цілях без порушення міжнародних зобов'язань України щодо запобігання обігу наркотичних засобів і речовин; сприяти залученню міжнародних інвестицій у науку та виробничу галузь України.</w:t>
      </w:r>
    </w:p>
    <w:p w:rsidR="007C4A10" w:rsidRDefault="007C4A10" w:rsidP="007C4A10">
      <w:pPr>
        <w:ind w:firstLine="709"/>
        <w:jc w:val="both"/>
        <w:rPr>
          <w:i/>
          <w:szCs w:val="28"/>
        </w:rPr>
      </w:pPr>
      <w:r>
        <w:rPr>
          <w:rFonts w:eastAsia="Verdana"/>
          <w:b/>
          <w:bCs/>
          <w:szCs w:val="28"/>
        </w:rPr>
        <w:t>2.  </w:t>
      </w:r>
      <w:r>
        <w:rPr>
          <w:b/>
          <w:bCs/>
          <w:szCs w:val="28"/>
        </w:rPr>
        <w:t>Належність законопроекту за предметом правового регулювання до сфери дії права Європейського Союзу.</w:t>
      </w:r>
    </w:p>
    <w:p w:rsidR="007C4A10" w:rsidRDefault="007C4A10" w:rsidP="007C4A10">
      <w:pPr>
        <w:ind w:firstLine="567"/>
        <w:jc w:val="both"/>
        <w:rPr>
          <w:szCs w:val="28"/>
        </w:rPr>
      </w:pPr>
      <w:r>
        <w:rPr>
          <w:szCs w:val="28"/>
        </w:rPr>
        <w:t>Предмет правового регулювання законопроекту охоплюється положеннями статтями 21 та 22 Розділу ІІІ «Юстиція, свобода та безпека», статтями 426 - 428 Глави 22 «Громадське здоров'я» Розділу V «Економічне і галузеве співробітництво»</w:t>
      </w:r>
      <w:r>
        <w:rPr>
          <w:szCs w:val="28"/>
          <w:lang w:val="uk-UA"/>
        </w:rPr>
        <w:t xml:space="preserve"> </w:t>
      </w:r>
      <w:r>
        <w:rPr>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Pr>
          <w:szCs w:val="28"/>
          <w:lang w:val="uk-UA"/>
        </w:rPr>
        <w:t xml:space="preserve"> </w:t>
      </w:r>
      <w:r>
        <w:rPr>
          <w:szCs w:val="28"/>
        </w:rPr>
        <w:t xml:space="preserve">(далі – Угода про асоціацію). </w:t>
      </w:r>
    </w:p>
    <w:p w:rsidR="007C4A10" w:rsidRDefault="007C4A10" w:rsidP="007C4A10">
      <w:pPr>
        <w:pStyle w:val="1"/>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7C4A10" w:rsidRDefault="007C4A10" w:rsidP="007C4A10">
      <w:pPr>
        <w:pStyle w:val="1"/>
        <w:spacing w:after="0" w:line="240" w:lineRule="auto"/>
        <w:ind w:left="0" w:firstLine="567"/>
        <w:jc w:val="both"/>
        <w:rPr>
          <w:rFonts w:ascii="Times New Roman" w:hAnsi="Times New Roman"/>
          <w:i/>
          <w:iCs/>
          <w:sz w:val="28"/>
          <w:szCs w:val="28"/>
        </w:rPr>
      </w:pPr>
      <w:r>
        <w:rPr>
          <w:rFonts w:ascii="Times New Roman" w:eastAsia="Times New Roman" w:hAnsi="Times New Roman"/>
          <w:sz w:val="28"/>
          <w:szCs w:val="28"/>
          <w:lang w:val="uk-UA" w:eastAsia="ru-RU"/>
        </w:rPr>
        <w:t xml:space="preserve">- </w:t>
      </w:r>
      <w:r>
        <w:rPr>
          <w:i/>
          <w:iCs/>
          <w:sz w:val="23"/>
          <w:szCs w:val="23"/>
        </w:rPr>
        <w:t xml:space="preserve"> </w:t>
      </w:r>
      <w:r>
        <w:rPr>
          <w:rFonts w:ascii="Times New Roman" w:hAnsi="Times New Roman"/>
          <w:bCs/>
          <w:i/>
          <w:iCs/>
          <w:sz w:val="28"/>
          <w:szCs w:val="28"/>
        </w:rPr>
        <w:t xml:space="preserve">Єдиною Конвенцією Організації Об’єднаних Націй про наркотичні засоби 1961 року </w:t>
      </w:r>
      <w:r>
        <w:rPr>
          <w:rFonts w:ascii="Times New Roman" w:hAnsi="Times New Roman"/>
          <w:i/>
          <w:iCs/>
          <w:sz w:val="28"/>
          <w:szCs w:val="28"/>
        </w:rPr>
        <w:t xml:space="preserve">(далі – Конвенція про наркотичні засоби); </w:t>
      </w:r>
    </w:p>
    <w:p w:rsidR="007C4A10" w:rsidRDefault="007C4A10" w:rsidP="007C4A10">
      <w:pPr>
        <w:pStyle w:val="1"/>
        <w:spacing w:after="0" w:line="240" w:lineRule="auto"/>
        <w:ind w:left="0" w:firstLine="567"/>
        <w:jc w:val="both"/>
        <w:rPr>
          <w:rFonts w:ascii="Times New Roman" w:hAnsi="Times New Roman"/>
          <w:bCs/>
          <w:i/>
          <w:iCs/>
          <w:sz w:val="28"/>
          <w:szCs w:val="28"/>
        </w:rPr>
      </w:pPr>
      <w:r>
        <w:rPr>
          <w:rFonts w:ascii="Times New Roman" w:hAnsi="Times New Roman"/>
          <w:i/>
          <w:iCs/>
          <w:sz w:val="28"/>
          <w:szCs w:val="28"/>
          <w:lang w:val="uk-UA"/>
        </w:rPr>
        <w:lastRenderedPageBreak/>
        <w:t xml:space="preserve">- </w:t>
      </w:r>
      <w:r>
        <w:rPr>
          <w:rFonts w:ascii="Times New Roman" w:hAnsi="Times New Roman"/>
          <w:bCs/>
          <w:i/>
          <w:iCs/>
          <w:sz w:val="28"/>
          <w:szCs w:val="28"/>
        </w:rPr>
        <w:t xml:space="preserve">Конвенцією Організації Об’єднаних Націй про психотропні речовини від 21 лютого 1971 року; </w:t>
      </w:r>
    </w:p>
    <w:p w:rsidR="007C4A10" w:rsidRDefault="007C4A10" w:rsidP="007C4A10">
      <w:pPr>
        <w:pStyle w:val="1"/>
        <w:spacing w:after="0" w:line="240" w:lineRule="auto"/>
        <w:ind w:left="0" w:firstLine="567"/>
        <w:jc w:val="both"/>
        <w:rPr>
          <w:rFonts w:ascii="Times New Roman" w:hAnsi="Times New Roman"/>
          <w:i/>
          <w:iCs/>
          <w:sz w:val="28"/>
          <w:szCs w:val="28"/>
        </w:rPr>
      </w:pPr>
      <w:r>
        <w:rPr>
          <w:rFonts w:ascii="Times New Roman" w:hAnsi="Times New Roman"/>
          <w:bCs/>
          <w:i/>
          <w:iCs/>
          <w:sz w:val="28"/>
          <w:szCs w:val="28"/>
          <w:lang w:val="uk-UA"/>
        </w:rPr>
        <w:t xml:space="preserve">- </w:t>
      </w:r>
      <w:r>
        <w:rPr>
          <w:rFonts w:ascii="Times New Roman" w:hAnsi="Times New Roman"/>
          <w:bCs/>
          <w:i/>
          <w:iCs/>
          <w:sz w:val="28"/>
          <w:szCs w:val="28"/>
        </w:rPr>
        <w:t>Конвенцією Організації Об’єднаних Націй про боротьбу проти незаконного обігу наркотичних засобів і психотропних речовин від 20 грудня 1988 року</w:t>
      </w:r>
      <w:r>
        <w:rPr>
          <w:rFonts w:ascii="Times New Roman" w:hAnsi="Times New Roman"/>
          <w:i/>
          <w:iCs/>
          <w:sz w:val="28"/>
          <w:szCs w:val="28"/>
        </w:rPr>
        <w:t xml:space="preserve">. </w:t>
      </w:r>
    </w:p>
    <w:p w:rsidR="007C4A10" w:rsidRDefault="007C4A10" w:rsidP="007C4A10">
      <w:pPr>
        <w:ind w:firstLine="709"/>
        <w:jc w:val="both"/>
        <w:rPr>
          <w:b/>
          <w:bCs/>
          <w:szCs w:val="28"/>
        </w:rPr>
      </w:pPr>
      <w:r>
        <w:rPr>
          <w:b/>
          <w:bCs/>
          <w:szCs w:val="28"/>
        </w:rPr>
        <w:t>3.  Відповідність законопроекту праву ЄС.</w:t>
      </w:r>
    </w:p>
    <w:p w:rsidR="007C4A10" w:rsidRDefault="007C4A10" w:rsidP="007C4A10">
      <w:pPr>
        <w:widowControl w:val="0"/>
        <w:shd w:val="clear" w:color="auto" w:fill="FFFFFF"/>
        <w:tabs>
          <w:tab w:val="num" w:pos="0"/>
        </w:tabs>
        <w:ind w:firstLine="567"/>
        <w:jc w:val="both"/>
        <w:rPr>
          <w:szCs w:val="28"/>
          <w:lang w:val="uk-UA"/>
        </w:rPr>
      </w:pPr>
      <w:r>
        <w:rPr>
          <w:szCs w:val="28"/>
          <w:lang w:val="uk-UA"/>
        </w:rPr>
        <w:t>За результатами правового аналізу проекту Закону щодо його відповідності a</w:t>
      </w:r>
      <w:r>
        <w:rPr>
          <w:szCs w:val="28"/>
          <w:lang w:val="en-GB"/>
        </w:rPr>
        <w:t>c</w:t>
      </w:r>
      <w:r>
        <w:rPr>
          <w:szCs w:val="28"/>
          <w:lang w:val="uk-UA"/>
        </w:rPr>
        <w:t xml:space="preserve">quis ЄС та Угоді про асоціацію слід зазначити таке. </w:t>
      </w:r>
    </w:p>
    <w:p w:rsidR="007C4A10" w:rsidRDefault="007C4A10" w:rsidP="007C4A10">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ab/>
        <w:t xml:space="preserve">Стаття 22 Угоди про асоціацію між Україною та ЄС передбачає, що Сторони співробітничають у боротьбі з кримінальною та незаконною організованою чи іншою діяльністю, а також з метою її попередження. Таке співробітництво спрямовується на вирішення, inter alia, такої проблеми як незаконний обіг наркотиків. </w:t>
      </w:r>
    </w:p>
    <w:p w:rsidR="007C4A10" w:rsidRDefault="007C4A10" w:rsidP="007C4A10">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ab/>
        <w:t xml:space="preserve">Стаття 426 Угоди про асоціацію передбачає, що Сторони розвивають співробітництво в галузі охорони здоров’я з метою підвищення рівня його безпеки та захисту здоров’я людини як передумови сталого розвитку та економічного зростання. </w:t>
      </w:r>
    </w:p>
    <w:p w:rsidR="007C4A10" w:rsidRDefault="007C4A10" w:rsidP="007C4A10">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ab/>
        <w:t xml:space="preserve">Стаття 427 Угоди про асоціацію передбачає, що співробітництво, зокрема, охоплює сфери попередження та контроль за неінфекційними хворобами шляхом визначення основних детермінант здоров’я та проблем в галузі охорони здоров’я, наприклад наркотична залежність. </w:t>
      </w:r>
    </w:p>
    <w:p w:rsidR="007C4A10" w:rsidRDefault="007C4A10" w:rsidP="007C4A10">
      <w:pPr>
        <w:widowControl w:val="0"/>
        <w:shd w:val="clear" w:color="auto" w:fill="FFFFFF"/>
        <w:tabs>
          <w:tab w:val="num" w:pos="0"/>
        </w:tabs>
        <w:ind w:firstLine="567"/>
        <w:jc w:val="both"/>
        <w:rPr>
          <w:szCs w:val="28"/>
          <w:lang w:val="uk-UA"/>
        </w:rPr>
      </w:pPr>
      <w:r>
        <w:rPr>
          <w:szCs w:val="28"/>
          <w:lang w:val="uk-UA"/>
        </w:rPr>
        <w:t xml:space="preserve">Крім того, статтею 21 Угоди про асоціацію між Україною та ЄС передбачено, що Сторони співробітничають у питаннях, що стосуються боротьби </w:t>
      </w:r>
      <w:r>
        <w:rPr>
          <w:bCs/>
          <w:szCs w:val="28"/>
          <w:lang w:val="uk-UA"/>
        </w:rPr>
        <w:t>з незаконним обігом наркотиків, ґрунтуючись на спільно погоджених принципах, що відповідають міжнародним конвенціям у цій сфері</w:t>
      </w:r>
      <w:r>
        <w:rPr>
          <w:szCs w:val="28"/>
          <w:lang w:val="uk-UA"/>
        </w:rPr>
        <w:t xml:space="preserve">. </w:t>
      </w:r>
      <w:r>
        <w:t>Сторони використовують необхідні методи співробітництва для досягнення зазначених цілей, забезпечуючи збалансований та інтегрований підхід до зазначених питань</w:t>
      </w:r>
      <w:r>
        <w:rPr>
          <w:lang w:val="uk-UA"/>
        </w:rPr>
        <w:t xml:space="preserve">. </w:t>
      </w:r>
      <w:r>
        <w:rPr>
          <w:szCs w:val="28"/>
          <w:lang w:val="uk-UA"/>
        </w:rPr>
        <w:t xml:space="preserve">Отже проект Закону за своєю метою </w:t>
      </w:r>
      <w:r>
        <w:rPr>
          <w:i/>
          <w:szCs w:val="28"/>
          <w:u w:val="single"/>
          <w:lang w:val="uk-UA"/>
        </w:rPr>
        <w:t xml:space="preserve">відповідає </w:t>
      </w:r>
      <w:r>
        <w:rPr>
          <w:szCs w:val="28"/>
          <w:lang w:val="uk-UA"/>
        </w:rPr>
        <w:t>цілям Угоди про асоціацію.</w:t>
      </w:r>
    </w:p>
    <w:p w:rsidR="0083731E" w:rsidRPr="004E23A9" w:rsidRDefault="0083731E" w:rsidP="0083731E">
      <w:pPr>
        <w:widowControl w:val="0"/>
        <w:shd w:val="clear" w:color="auto" w:fill="FFFFFF"/>
        <w:tabs>
          <w:tab w:val="num" w:pos="0"/>
        </w:tabs>
        <w:ind w:firstLine="567"/>
        <w:jc w:val="both"/>
        <w:rPr>
          <w:bCs/>
          <w:iCs/>
          <w:szCs w:val="28"/>
          <w:lang w:val="uk-UA"/>
        </w:rPr>
      </w:pPr>
      <w:r w:rsidRPr="006C4EF1">
        <w:rPr>
          <w:szCs w:val="28"/>
          <w:lang w:val="uk-UA"/>
        </w:rPr>
        <w:t xml:space="preserve">Також, законопроект </w:t>
      </w:r>
      <w:r w:rsidRPr="007A6431">
        <w:rPr>
          <w:i/>
          <w:szCs w:val="28"/>
          <w:u w:val="single"/>
          <w:lang w:val="uk-UA"/>
        </w:rPr>
        <w:t>відповідає цілям</w:t>
      </w:r>
      <w:r w:rsidRPr="006C4EF1">
        <w:rPr>
          <w:szCs w:val="28"/>
          <w:lang w:val="uk-UA"/>
        </w:rPr>
        <w:t xml:space="preserve"> </w:t>
      </w:r>
      <w:r w:rsidRPr="004E23A9">
        <w:rPr>
          <w:bCs/>
          <w:iCs/>
          <w:szCs w:val="28"/>
          <w:lang w:val="uk-UA"/>
        </w:rPr>
        <w:t>Єдиної Конвенції Організації Об’єднаних Націй про наркотичні засоби, Конвенції Організації Об’єднаних Націй про психотропні речовини, Конвенції Організації Об’єднаних Націй про боротьбу проти незаконного обігу наркотичних засобів і психотропних речовин.</w:t>
      </w:r>
    </w:p>
    <w:p w:rsidR="0083731E" w:rsidRDefault="0083731E" w:rsidP="007C4A10">
      <w:pPr>
        <w:widowControl w:val="0"/>
        <w:shd w:val="clear" w:color="auto" w:fill="FFFFFF"/>
        <w:tabs>
          <w:tab w:val="num" w:pos="0"/>
        </w:tabs>
        <w:ind w:firstLine="567"/>
        <w:jc w:val="both"/>
        <w:rPr>
          <w:szCs w:val="28"/>
          <w:lang w:val="uk-UA"/>
        </w:rPr>
      </w:pPr>
      <w:r w:rsidRPr="006C4EF1">
        <w:rPr>
          <w:szCs w:val="28"/>
          <w:lang w:val="uk-UA"/>
        </w:rPr>
        <w:t>Як зазначається у Стратегії ЄС щодо наркотичних речовин 2021-2023: «</w:t>
      </w:r>
      <w:r>
        <w:rPr>
          <w:szCs w:val="28"/>
          <w:lang w:val="uk-UA"/>
        </w:rPr>
        <w:t>6.7. в</w:t>
      </w:r>
      <w:r w:rsidRPr="006C4EF1">
        <w:rPr>
          <w:szCs w:val="28"/>
          <w:lang w:val="uk-UA"/>
        </w:rPr>
        <w:t>ідсутність доступу та доступності контрольованих речовин для медичних та наукових цілей є причиною непотрібних людських страждань, і це не відповідає міжнародним угодам та дотриманню прав людини. У той же час існує реальний ризик неправомірного використання та поширення цих речовин. Отже, використання цих речовин належним чином є основою. Потрібно сприяти та впроваджувати збалансований підхід, що фокусується як на системному, юридичному, так і на фінансовому питанні, а також на питанні забезпечення діяльності з розбудови потенціалу та підвищення обізнаності».</w:t>
      </w:r>
    </w:p>
    <w:p w:rsidR="007C4A10" w:rsidRDefault="007C4A10" w:rsidP="007C4A10">
      <w:pPr>
        <w:pStyle w:val="rvps2"/>
        <w:spacing w:before="0" w:beforeAutospacing="0" w:after="0" w:afterAutospacing="0"/>
        <w:ind w:firstLine="29"/>
        <w:jc w:val="both"/>
        <w:textAlignment w:val="baseline"/>
        <w:rPr>
          <w:bCs/>
          <w:sz w:val="28"/>
          <w:szCs w:val="28"/>
        </w:rPr>
      </w:pPr>
      <w:r>
        <w:rPr>
          <w:sz w:val="28"/>
          <w:szCs w:val="28"/>
        </w:rPr>
        <w:tab/>
        <w:t xml:space="preserve">Законопроектом вносяться зміни до статті 1 </w:t>
      </w:r>
      <w:bookmarkStart w:id="0" w:name="_Hlk534979136"/>
      <w:r>
        <w:rPr>
          <w:bCs/>
          <w:sz w:val="28"/>
          <w:szCs w:val="28"/>
        </w:rPr>
        <w:t>Закону України «Про наркотичні засоби, психотропні речовини і прекурсори</w:t>
      </w:r>
      <w:bookmarkEnd w:id="0"/>
      <w:r>
        <w:rPr>
          <w:bCs/>
          <w:sz w:val="28"/>
          <w:szCs w:val="28"/>
        </w:rPr>
        <w:t xml:space="preserve">», якими запроваджуються наступні терміни: </w:t>
      </w:r>
      <w:r>
        <w:rPr>
          <w:sz w:val="28"/>
          <w:szCs w:val="28"/>
        </w:rPr>
        <w:t>«лікарські  коноплі з низьким вмістом  тетрагідроканабінолу –  сорти рослин роду коноплі (Cannabis), вміст тетрагідроканабінолу у сухій масі яких становить від 0,2 відсотка до 1 відсотка»;</w:t>
      </w:r>
      <w:r>
        <w:rPr>
          <w:bCs/>
          <w:sz w:val="28"/>
          <w:szCs w:val="28"/>
        </w:rPr>
        <w:t xml:space="preserve"> </w:t>
      </w:r>
      <w:r>
        <w:rPr>
          <w:sz w:val="28"/>
          <w:szCs w:val="28"/>
        </w:rPr>
        <w:t xml:space="preserve">«лікарські  коноплі з високим вмістом тетрагідроканабінолу –  сорти рослин роду </w:t>
      </w:r>
      <w:r>
        <w:rPr>
          <w:sz w:val="28"/>
          <w:szCs w:val="28"/>
        </w:rPr>
        <w:lastRenderedPageBreak/>
        <w:t>коноплі (Cannabis), вміст тетрагідроканабінолу у сухій масі яких перевищує 1 відсоток»</w:t>
      </w:r>
      <w:r>
        <w:rPr>
          <w:bCs/>
          <w:sz w:val="28"/>
          <w:szCs w:val="28"/>
        </w:rPr>
        <w:t xml:space="preserve"> «промислові коноплі – </w:t>
      </w:r>
      <w:r>
        <w:rPr>
          <w:sz w:val="28"/>
          <w:szCs w:val="28"/>
        </w:rPr>
        <w:t xml:space="preserve"> сорти рослин роду коноплі (Cannabis), вміст тетрагідроканабінолу у сухій масі яких не перевищує 0,2 відсотка».  До статті 2 цього ж Закону запропоновано додати таку новелу: «</w:t>
      </w:r>
      <w:bookmarkStart w:id="1" w:name="_Hlk17998138"/>
      <w:r>
        <w:rPr>
          <w:bCs/>
          <w:sz w:val="28"/>
          <w:szCs w:val="28"/>
        </w:rPr>
        <w:t>до наркотичних засобів, психотропних речовин та прекурсорів не належать промислові коноплі, товари, які вироблені (виготовлені) з них, продукти їх переробки, якщо вміст тетрагідроканабінолу у сухій масі таких товарів чи продуктів переробки не перевищує 0,2 відсотка</w:t>
      </w:r>
      <w:bookmarkEnd w:id="1"/>
      <w:r>
        <w:rPr>
          <w:bCs/>
          <w:sz w:val="28"/>
          <w:szCs w:val="28"/>
        </w:rPr>
        <w:t>».</w:t>
      </w:r>
    </w:p>
    <w:p w:rsidR="007C4A10" w:rsidRDefault="007C4A10" w:rsidP="007C4A10">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ab/>
      </w:r>
      <w:r>
        <w:rPr>
          <w:rFonts w:ascii="Times New Roman" w:hAnsi="Times New Roman" w:cs="Times New Roman"/>
          <w:iCs/>
          <w:color w:val="auto"/>
          <w:sz w:val="28"/>
          <w:szCs w:val="28"/>
        </w:rPr>
        <w:t xml:space="preserve">В праві ЄС та Конвенції про наркотичні засоби визначення термінів </w:t>
      </w:r>
      <w:r>
        <w:rPr>
          <w:rFonts w:ascii="Times New Roman" w:hAnsi="Times New Roman" w:cs="Times New Roman"/>
          <w:color w:val="auto"/>
          <w:sz w:val="28"/>
          <w:szCs w:val="28"/>
        </w:rPr>
        <w:t>«</w:t>
      </w:r>
      <w:r>
        <w:rPr>
          <w:rFonts w:ascii="Times New Roman" w:hAnsi="Times New Roman" w:cs="Times New Roman"/>
          <w:iCs/>
          <w:color w:val="auto"/>
          <w:sz w:val="28"/>
          <w:szCs w:val="28"/>
        </w:rPr>
        <w:t>промислові коноплі</w:t>
      </w:r>
      <w:r>
        <w:rPr>
          <w:rFonts w:ascii="Times New Roman" w:hAnsi="Times New Roman" w:cs="Times New Roman"/>
          <w:color w:val="auto"/>
          <w:sz w:val="28"/>
          <w:szCs w:val="28"/>
        </w:rPr>
        <w:t xml:space="preserve">» </w:t>
      </w:r>
      <w:r>
        <w:rPr>
          <w:rFonts w:ascii="Times New Roman" w:hAnsi="Times New Roman" w:cs="Times New Roman"/>
          <w:iCs/>
          <w:color w:val="auto"/>
          <w:sz w:val="28"/>
          <w:szCs w:val="28"/>
        </w:rPr>
        <w:t xml:space="preserve">та </w:t>
      </w:r>
      <w:r>
        <w:rPr>
          <w:rFonts w:ascii="Times New Roman" w:hAnsi="Times New Roman" w:cs="Times New Roman"/>
          <w:color w:val="auto"/>
          <w:sz w:val="28"/>
          <w:szCs w:val="28"/>
        </w:rPr>
        <w:t>«</w:t>
      </w:r>
      <w:r>
        <w:rPr>
          <w:rFonts w:ascii="Times New Roman" w:hAnsi="Times New Roman" w:cs="Times New Roman"/>
          <w:iCs/>
          <w:color w:val="auto"/>
          <w:sz w:val="28"/>
          <w:szCs w:val="28"/>
        </w:rPr>
        <w:t>лікарські коноплі</w:t>
      </w:r>
      <w:r>
        <w:rPr>
          <w:rFonts w:ascii="Times New Roman" w:hAnsi="Times New Roman" w:cs="Times New Roman"/>
          <w:color w:val="auto"/>
          <w:sz w:val="28"/>
          <w:szCs w:val="28"/>
        </w:rPr>
        <w:t xml:space="preserve">» </w:t>
      </w:r>
      <w:r>
        <w:rPr>
          <w:rFonts w:ascii="Times New Roman" w:hAnsi="Times New Roman" w:cs="Times New Roman"/>
          <w:iCs/>
          <w:color w:val="auto"/>
          <w:sz w:val="28"/>
          <w:szCs w:val="28"/>
        </w:rPr>
        <w:t>відсутні</w:t>
      </w:r>
      <w:r>
        <w:rPr>
          <w:rFonts w:ascii="Times New Roman" w:hAnsi="Times New Roman" w:cs="Times New Roman"/>
          <w:i/>
          <w:iCs/>
          <w:color w:val="auto"/>
          <w:sz w:val="28"/>
          <w:szCs w:val="28"/>
        </w:rPr>
        <w:t>.</w:t>
      </w:r>
      <w:r>
        <w:rPr>
          <w:rFonts w:ascii="Times New Roman" w:hAnsi="Times New Roman" w:cs="Times New Roman"/>
          <w:color w:val="auto"/>
          <w:sz w:val="28"/>
          <w:szCs w:val="28"/>
        </w:rPr>
        <w:t xml:space="preserve"> Правом ЄС встановлюється рівень тетрагідроканабінолу в сфері надання субсидій фермерам, які вирощують коноплі. Регламентом 1307/2013 передбачено право сільськогосподарських виробників на отримання субсидій на вирощування сортів конопель, вміст тетрагідроканабінолу в яких не перевищує 0,2%. Для інших цілей на рівні законодавства держав-членів може бути встановлено більш високі рівні вмісту тетрагідроканабінолу. Наприклад, в Австрії дозволеним рівнем тетрагідроканабінолу визначено 0,3%. В Італії вирощування конопель є законним у випадку, якщо рівень тетрагідроканабінолу нижче 0,2%. Але, фермер не притягується до кримінальної відповідальності, якщо такий рівень є більшим 0,2%, але не перевищує 0,6%. У Франції законним є вирощування, ввезення та використання (волокон та насіння) сортів Сannabis sativa L. з вмістом менш ніж 0,2% дельта-9-тетрагідроканабінолу. Окрім цього, в циркулярі Міністерства юстиції Франції від 23 липня 2018 року щодо правового режиму, який застосовується до підприємств, що пропонують продукти з конопель для публічного продажу (кав'ярні) наголошується, що </w:t>
      </w:r>
      <w:r>
        <w:rPr>
          <w:rFonts w:ascii="Times New Roman" w:hAnsi="Times New Roman" w:cs="Times New Roman"/>
          <w:bCs/>
          <w:color w:val="auto"/>
          <w:sz w:val="28"/>
          <w:szCs w:val="28"/>
        </w:rPr>
        <w:t xml:space="preserve">дозволений вміст дельта-9-тетрагідроканабінолу в 0,2% поширюється на рослину конопель, а не на готовий продукт, отриманий з неї. </w:t>
      </w:r>
    </w:p>
    <w:p w:rsidR="007C4A10" w:rsidRDefault="007C4A10" w:rsidP="007C4A10">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ab/>
        <w:t xml:space="preserve">Варто зазначити, що Суд ЄС у справі C-663/18 від 19 листопада 2020 року наголосив, що рішення про віднесення речовин до наркотичних засобів має прийматися на підставі наявності </w:t>
      </w:r>
      <w:r>
        <w:rPr>
          <w:rFonts w:ascii="Times New Roman" w:hAnsi="Times New Roman" w:cs="Times New Roman"/>
          <w:bCs/>
          <w:color w:val="auto"/>
          <w:sz w:val="28"/>
          <w:szCs w:val="28"/>
        </w:rPr>
        <w:t xml:space="preserve">науково доведених фактів прояву ними психоактивного впливу на людину </w:t>
      </w:r>
      <w:r>
        <w:rPr>
          <w:rFonts w:ascii="Times New Roman" w:hAnsi="Times New Roman" w:cs="Times New Roman"/>
          <w:color w:val="auto"/>
          <w:sz w:val="28"/>
          <w:szCs w:val="28"/>
        </w:rPr>
        <w:t xml:space="preserve">за умови регулярного вживання. </w:t>
      </w:r>
    </w:p>
    <w:p w:rsidR="00784DDE" w:rsidRDefault="007C4A10" w:rsidP="00784DDE">
      <w:pPr>
        <w:jc w:val="both"/>
        <w:rPr>
          <w:bCs/>
          <w:szCs w:val="28"/>
        </w:rPr>
      </w:pPr>
      <w:r>
        <w:rPr>
          <w:bCs/>
          <w:szCs w:val="28"/>
        </w:rPr>
        <w:tab/>
        <w:t>Отже, встановлення рівня вмісту тетрагідроканабінолу в коноплях для промислового використання повинно ґрунтуватися на наукових даних щодо відсутності шкоди для здоров’я людини.</w:t>
      </w:r>
      <w:r>
        <w:rPr>
          <w:bCs/>
          <w:szCs w:val="28"/>
          <w:lang w:val="uk-UA"/>
        </w:rPr>
        <w:t xml:space="preserve"> </w:t>
      </w:r>
      <w:r>
        <w:rPr>
          <w:iCs/>
          <w:szCs w:val="28"/>
        </w:rPr>
        <w:t>Таким чином, право ЄС не містить визначення промислових конопель, а дозволений рівень тетрагідроканабінолу в сортах рослин роду коноплі встановлюється на рівні законодавства держав-членів (зазвичай 0.2-0.3%</w:t>
      </w:r>
      <w:r>
        <w:rPr>
          <w:iCs/>
          <w:szCs w:val="28"/>
          <w:lang w:val="uk-UA"/>
        </w:rPr>
        <w:t>).</w:t>
      </w:r>
      <w:r w:rsidR="00784DDE" w:rsidRPr="00784DDE">
        <w:rPr>
          <w:bCs/>
          <w:szCs w:val="28"/>
        </w:rPr>
        <w:t xml:space="preserve"> </w:t>
      </w:r>
    </w:p>
    <w:p w:rsidR="00784DDE" w:rsidRPr="006C4EF1" w:rsidRDefault="00784DDE" w:rsidP="00784DDE">
      <w:pPr>
        <w:jc w:val="both"/>
        <w:rPr>
          <w:bCs/>
          <w:szCs w:val="28"/>
        </w:rPr>
      </w:pPr>
      <w:r>
        <w:rPr>
          <w:bCs/>
          <w:szCs w:val="28"/>
        </w:rPr>
        <w:tab/>
      </w:r>
      <w:r w:rsidRPr="006C4EF1">
        <w:rPr>
          <w:bCs/>
          <w:szCs w:val="28"/>
        </w:rPr>
        <w:t>У Німеччині на законодавчому рівні було розширено можливості призначення канабісу Законом про внесення змін до закону про наркотичні засоби та інших положень, який набув чинності 10 березня 2017 року. Відповідно до вимог Єдиної конвенції ООН про наркотичні засоби 1961 року закон визначає державну установу, так зване Агентство з канабісу при Федеральному інституті лікарських засобів і медичних виробів (BfArM). Цей орган здійснює контроль і нагляд за вирощуванням канабісу для медичних цілей у Німеччині.</w:t>
      </w:r>
      <w:r w:rsidR="004E23A9">
        <w:rPr>
          <w:rStyle w:val="a5"/>
          <w:bCs/>
          <w:szCs w:val="28"/>
        </w:rPr>
        <w:footnoteReference w:id="1"/>
      </w:r>
    </w:p>
    <w:p w:rsidR="00784DDE" w:rsidRPr="006C4EF1" w:rsidRDefault="00784DDE" w:rsidP="00784DDE">
      <w:pPr>
        <w:jc w:val="both"/>
        <w:rPr>
          <w:bCs/>
          <w:szCs w:val="28"/>
        </w:rPr>
      </w:pPr>
      <w:r>
        <w:rPr>
          <w:bCs/>
          <w:szCs w:val="28"/>
        </w:rPr>
        <w:lastRenderedPageBreak/>
        <w:tab/>
      </w:r>
      <w:r w:rsidRPr="006C4EF1">
        <w:rPr>
          <w:bCs/>
          <w:szCs w:val="28"/>
        </w:rPr>
        <w:t>Марихуана для медичних цілей є лікарським засобом у Німеччині. Проте, можна використовувати лише канабіс, що відповідає наступним критеріям:</w:t>
      </w:r>
      <w:r w:rsidRPr="006C4EF1">
        <w:rPr>
          <w:bCs/>
          <w:szCs w:val="28"/>
        </w:rPr>
        <w:br/>
        <w:t>• культивується відповідно до Належної сільськогосподарської практики (GACP)</w:t>
      </w:r>
      <w:r w:rsidR="004E23A9">
        <w:rPr>
          <w:bCs/>
          <w:szCs w:val="28"/>
          <w:lang w:val="uk-UA"/>
        </w:rPr>
        <w:t>;</w:t>
      </w:r>
      <w:r w:rsidRPr="006C4EF1">
        <w:rPr>
          <w:bCs/>
          <w:szCs w:val="28"/>
        </w:rPr>
        <w:br/>
        <w:t>• відповідає вимогам діючої моно</w:t>
      </w:r>
      <w:r w:rsidR="004E23A9">
        <w:rPr>
          <w:bCs/>
          <w:szCs w:val="28"/>
        </w:rPr>
        <w:t>графії «Рослини канабіса» (DAB)</w:t>
      </w:r>
      <w:r w:rsidR="004E23A9">
        <w:rPr>
          <w:bCs/>
          <w:szCs w:val="28"/>
          <w:lang w:val="uk-UA"/>
        </w:rPr>
        <w:t>;</w:t>
      </w:r>
      <w:r w:rsidRPr="006C4EF1">
        <w:rPr>
          <w:bCs/>
          <w:szCs w:val="28"/>
        </w:rPr>
        <w:br/>
        <w:t>• відповідає вимогам інших відповідних фармакопейних монографій для лікарських засобів рослинного походження та рекомендацій, наприклад, належної виробничої практики (GMP).</w:t>
      </w:r>
    </w:p>
    <w:p w:rsidR="00784DDE" w:rsidRPr="006C4EF1" w:rsidRDefault="00784DDE" w:rsidP="00784DDE">
      <w:pPr>
        <w:jc w:val="both"/>
        <w:rPr>
          <w:bCs/>
          <w:szCs w:val="28"/>
        </w:rPr>
      </w:pPr>
      <w:r>
        <w:rPr>
          <w:bCs/>
          <w:szCs w:val="28"/>
        </w:rPr>
        <w:tab/>
      </w:r>
      <w:r w:rsidRPr="006C4EF1">
        <w:rPr>
          <w:bCs/>
          <w:szCs w:val="28"/>
        </w:rPr>
        <w:t>У Німеччині медичний канабіс також має відповідати нормам німецького Федерального закону про наркотичні засоби (Betäubungsmittelrecht). Цей закон передбачає, що, згідно з положеннями Єдиної конвенції про наркотичні засоби, контроль за вирощуванням канабісу повинно здійснювати Агентство з канабісу.</w:t>
      </w:r>
    </w:p>
    <w:p w:rsidR="007C4A10" w:rsidRDefault="00784DDE" w:rsidP="007C4A10">
      <w:pPr>
        <w:jc w:val="both"/>
        <w:rPr>
          <w:bCs/>
          <w:szCs w:val="28"/>
        </w:rPr>
      </w:pPr>
      <w:r>
        <w:rPr>
          <w:bCs/>
          <w:szCs w:val="28"/>
          <w:lang w:val="uk-UA"/>
        </w:rPr>
        <w:tab/>
        <w:t>Л</w:t>
      </w:r>
      <w:r w:rsidR="004E23A9">
        <w:rPr>
          <w:bCs/>
          <w:szCs w:val="28"/>
        </w:rPr>
        <w:t>іцензій</w:t>
      </w:r>
      <w:r w:rsidRPr="006C4EF1">
        <w:rPr>
          <w:bCs/>
          <w:szCs w:val="28"/>
        </w:rPr>
        <w:t xml:space="preserve"> на вирощування канабісу в лікувальних цілях </w:t>
      </w:r>
      <w:r>
        <w:rPr>
          <w:bCs/>
          <w:szCs w:val="28"/>
        </w:rPr>
        <w:t>у</w:t>
      </w:r>
      <w:r w:rsidRPr="006C4EF1">
        <w:rPr>
          <w:bCs/>
          <w:szCs w:val="28"/>
        </w:rPr>
        <w:t xml:space="preserve"> Німеччині не видається.</w:t>
      </w:r>
      <w:r w:rsidR="004E23A9">
        <w:rPr>
          <w:rStyle w:val="a5"/>
          <w:bCs/>
          <w:szCs w:val="28"/>
        </w:rPr>
        <w:footnoteReference w:id="2"/>
      </w:r>
      <w:r w:rsidRPr="006C4EF1">
        <w:rPr>
          <w:bCs/>
          <w:szCs w:val="28"/>
        </w:rPr>
        <w:t> Після проведення загальноєвропейського тендерного процесу відбувається узгодження «контрактів на поставку», обмежених у часі та кількості.</w:t>
      </w:r>
      <w:r>
        <w:rPr>
          <w:bCs/>
          <w:szCs w:val="28"/>
        </w:rPr>
        <w:t xml:space="preserve"> </w:t>
      </w:r>
      <w:r w:rsidRPr="006C4EF1">
        <w:rPr>
          <w:bCs/>
          <w:szCs w:val="28"/>
        </w:rPr>
        <w:t>Відповідно до Єдиної конвенції ООН про наркотичні засоби 1961 р., канабіс, вирощений в Німеччині для медичних цілей, повинен закуповуватися Агентством з канабісу.</w:t>
      </w:r>
      <w:r>
        <w:rPr>
          <w:bCs/>
          <w:szCs w:val="28"/>
          <w:lang w:val="uk-UA"/>
        </w:rPr>
        <w:t xml:space="preserve"> </w:t>
      </w:r>
      <w:r w:rsidRPr="006C4EF1">
        <w:rPr>
          <w:bCs/>
          <w:szCs w:val="28"/>
        </w:rPr>
        <w:t>Стаття 19 ( 2а) Закону про наркотичні засоби передбачає, що Агентство з канабісу повинно закуповувати канабіс для медичних цілей відповідно до положень закону про державні закупівлі. </w:t>
      </w:r>
    </w:p>
    <w:p w:rsidR="007C4A10" w:rsidRDefault="007C4A10" w:rsidP="007C4A10">
      <w:pPr>
        <w:ind w:firstLine="450"/>
        <w:jc w:val="both"/>
        <w:rPr>
          <w:bCs/>
          <w:szCs w:val="28"/>
          <w:lang w:val="uk-UA"/>
        </w:rPr>
      </w:pPr>
      <w:r>
        <w:rPr>
          <w:bCs/>
          <w:szCs w:val="28"/>
          <w:lang w:val="uk-UA"/>
        </w:rPr>
        <w:t>Також, у редакції законопроекту, в рамках вищезазначеного Закону України, додається Стаття 5</w:t>
      </w:r>
      <w:r>
        <w:rPr>
          <w:bCs/>
          <w:szCs w:val="28"/>
          <w:vertAlign w:val="superscript"/>
          <w:lang w:val="uk-UA"/>
        </w:rPr>
        <w:t>1</w:t>
      </w:r>
      <w:r>
        <w:rPr>
          <w:bCs/>
          <w:szCs w:val="28"/>
          <w:lang w:val="uk-UA"/>
        </w:rPr>
        <w:t xml:space="preserve"> «Уповноважений орган у сфері обігу лікарських конопель», яка передбачає утворення такого органу та його наступних функцій: «ліцензування господарської діяльності з обігу лікарських конопель, продуктів їх переробки та вироблених (виготовлених) із них препаратів, включаючи право зупинення дії такої ліцензії та (або) її анулювання повністю або частково у разі недотримання вимог щодо провадження відповідного виду діяльності, встановлених законом; здійснення заходів контролю за дотриманням встановлених законом вимог щодо провадження діяльності у сфері обігу лікарських конопель, продуктів їх переробки та вироблених (виготовлених) із них препаратів в межах повноважень  уповноваженого органу з лікарських конопель». </w:t>
      </w:r>
    </w:p>
    <w:p w:rsidR="007C4A10" w:rsidRDefault="007C4A10" w:rsidP="007C4A10">
      <w:pPr>
        <w:ind w:firstLine="450"/>
        <w:jc w:val="both"/>
        <w:rPr>
          <w:szCs w:val="28"/>
          <w:lang w:val="uk-UA"/>
        </w:rPr>
      </w:pPr>
      <w:r>
        <w:rPr>
          <w:szCs w:val="28"/>
          <w:lang w:val="uk-UA"/>
        </w:rPr>
        <w:t xml:space="preserve">Згідно зі статтею 30 Конвенції про наркотичні засоби, Сторони вимагають, щоб торгівля наркотичними засобами та їх розподіл здійснювалися за ліцензіями. Крім того, Сторони контролюють всіх осіб і всі підприємства, які здійснюють торгівлю наркотичними засобами або їх розподіл, або займаються цією торгівлею, або розподілом, контролюють за допомогою ліцензій підприємства і приміщення, в яких така торгівля або розподіл може мати місце. А отже, статті </w:t>
      </w:r>
      <w:r>
        <w:rPr>
          <w:bCs/>
          <w:szCs w:val="28"/>
          <w:lang w:val="uk-UA"/>
        </w:rPr>
        <w:t>5</w:t>
      </w:r>
      <w:r>
        <w:rPr>
          <w:bCs/>
          <w:szCs w:val="28"/>
          <w:vertAlign w:val="superscript"/>
          <w:lang w:val="uk-UA"/>
        </w:rPr>
        <w:t>1</w:t>
      </w:r>
      <w:r>
        <w:rPr>
          <w:szCs w:val="28"/>
          <w:lang w:val="uk-UA"/>
        </w:rPr>
        <w:t xml:space="preserve">, 8, 11 </w:t>
      </w:r>
      <w:r>
        <w:rPr>
          <w:i/>
          <w:szCs w:val="28"/>
          <w:u w:val="single"/>
          <w:lang w:val="uk-UA"/>
        </w:rPr>
        <w:t>не суперечать</w:t>
      </w:r>
      <w:r>
        <w:rPr>
          <w:szCs w:val="28"/>
          <w:lang w:val="uk-UA"/>
        </w:rPr>
        <w:t xml:space="preserve"> Конвенції про наркотичні засоби, а також статті 7 Конвенції про психотропні речовини.</w:t>
      </w:r>
    </w:p>
    <w:p w:rsidR="007C4A10" w:rsidRDefault="007C4A10" w:rsidP="007C4A10">
      <w:pPr>
        <w:pStyle w:val="rvps2"/>
        <w:spacing w:before="0" w:beforeAutospacing="0" w:after="0" w:afterAutospacing="0"/>
        <w:jc w:val="both"/>
        <w:textAlignment w:val="baseline"/>
        <w:rPr>
          <w:bCs/>
          <w:sz w:val="28"/>
          <w:szCs w:val="28"/>
        </w:rPr>
      </w:pPr>
      <w:r>
        <w:rPr>
          <w:sz w:val="28"/>
          <w:szCs w:val="28"/>
        </w:rPr>
        <w:tab/>
        <w:t>У редакції проекту Закону</w:t>
      </w:r>
      <w:r>
        <w:rPr>
          <w:bCs/>
          <w:sz w:val="28"/>
          <w:szCs w:val="28"/>
        </w:rPr>
        <w:t xml:space="preserve">, статтею 12 Закону України «Про наркотичні засоби, психотропні речовини і прекурсори» зазначено: </w:t>
      </w:r>
      <w:bookmarkStart w:id="2" w:name="_Hlk17987307"/>
      <w:bookmarkStart w:id="3" w:name="_Hlk534989272"/>
      <w:r>
        <w:rPr>
          <w:bCs/>
          <w:sz w:val="28"/>
          <w:szCs w:val="28"/>
        </w:rPr>
        <w:t xml:space="preserve">«обіг </w:t>
      </w:r>
      <w:r>
        <w:rPr>
          <w:sz w:val="28"/>
          <w:szCs w:val="28"/>
        </w:rPr>
        <w:t xml:space="preserve"> </w:t>
      </w:r>
      <w:r>
        <w:rPr>
          <w:rStyle w:val="FontStyle18"/>
          <w:rFonts w:eastAsiaTheme="majorEastAsia"/>
          <w:sz w:val="28"/>
          <w:szCs w:val="28"/>
        </w:rPr>
        <w:t>лікарських конопель</w:t>
      </w:r>
      <w:r>
        <w:rPr>
          <w:sz w:val="28"/>
          <w:szCs w:val="28"/>
        </w:rPr>
        <w:t xml:space="preserve">, </w:t>
      </w:r>
      <w:r>
        <w:rPr>
          <w:bCs/>
          <w:sz w:val="28"/>
          <w:szCs w:val="28"/>
        </w:rPr>
        <w:t xml:space="preserve">продуктів їх переробки та вироблених (виготовлених) із них лікарських засобів допускається у </w:t>
      </w:r>
      <w:r>
        <w:rPr>
          <w:sz w:val="28"/>
          <w:szCs w:val="28"/>
        </w:rPr>
        <w:t>науковій та науково-технічній діяльності</w:t>
      </w:r>
      <w:r>
        <w:rPr>
          <w:bCs/>
          <w:sz w:val="28"/>
          <w:szCs w:val="28"/>
        </w:rPr>
        <w:t xml:space="preserve">, а </w:t>
      </w:r>
      <w:r>
        <w:rPr>
          <w:bCs/>
          <w:sz w:val="28"/>
          <w:szCs w:val="28"/>
        </w:rPr>
        <w:lastRenderedPageBreak/>
        <w:t>також у медичній практиці відповідно до статей 15, 17, 19, 20, 21, 22, 24, 25-27 цього Закону</w:t>
      </w:r>
      <w:bookmarkEnd w:id="2"/>
      <w:r>
        <w:rPr>
          <w:bCs/>
          <w:sz w:val="28"/>
          <w:szCs w:val="28"/>
        </w:rPr>
        <w:t xml:space="preserve"> </w:t>
      </w:r>
      <w:r>
        <w:rPr>
          <w:sz w:val="28"/>
          <w:szCs w:val="28"/>
        </w:rPr>
        <w:t xml:space="preserve">за умови забезпечення контролю та простежуваності на всіх етапах такого обігу».  Така новела </w:t>
      </w:r>
      <w:r>
        <w:rPr>
          <w:i/>
          <w:sz w:val="28"/>
          <w:szCs w:val="28"/>
          <w:u w:val="single"/>
        </w:rPr>
        <w:t>не суперечить</w:t>
      </w:r>
      <w:r>
        <w:rPr>
          <w:sz w:val="28"/>
          <w:szCs w:val="28"/>
        </w:rPr>
        <w:t xml:space="preserve"> статті 7 Конвенції про психотропні речовини.</w:t>
      </w:r>
    </w:p>
    <w:bookmarkEnd w:id="3"/>
    <w:p w:rsidR="007C4A10" w:rsidRDefault="007C4A10" w:rsidP="007C4A10">
      <w:pPr>
        <w:pStyle w:val="rvps2"/>
        <w:spacing w:before="0" w:beforeAutospacing="0" w:after="0" w:afterAutospacing="0"/>
        <w:jc w:val="both"/>
        <w:textAlignment w:val="baseline"/>
        <w:rPr>
          <w:sz w:val="28"/>
          <w:szCs w:val="28"/>
          <w:shd w:val="clear" w:color="auto" w:fill="FFFFFF"/>
        </w:rPr>
      </w:pPr>
      <w:r>
        <w:rPr>
          <w:sz w:val="28"/>
          <w:szCs w:val="28"/>
        </w:rPr>
        <w:tab/>
        <w:t xml:space="preserve">У статті 14 визначено, що </w:t>
      </w:r>
      <w:bookmarkStart w:id="4" w:name="_Hlk18488020"/>
      <w:bookmarkStart w:id="5" w:name="_Hlk17987608"/>
      <w:bookmarkStart w:id="6" w:name="_Hlk534989455"/>
      <w:r>
        <w:rPr>
          <w:sz w:val="28"/>
          <w:szCs w:val="28"/>
        </w:rPr>
        <w:t>«</w:t>
      </w:r>
      <w:r>
        <w:rPr>
          <w:bCs/>
          <w:sz w:val="28"/>
          <w:szCs w:val="28"/>
        </w:rPr>
        <w:t>квоти не встановлюються</w:t>
      </w:r>
      <w:bookmarkEnd w:id="4"/>
      <w:bookmarkEnd w:id="5"/>
      <w:bookmarkEnd w:id="6"/>
      <w:r>
        <w:rPr>
          <w:bCs/>
          <w:sz w:val="28"/>
          <w:szCs w:val="28"/>
        </w:rPr>
        <w:t xml:space="preserve"> на діяльність, пов’язану з обігом лікарських конопель, продуктів їх переробки та вироблених (виготовлених) із них лікарських засобів. </w:t>
      </w:r>
      <w:r>
        <w:rPr>
          <w:sz w:val="28"/>
          <w:szCs w:val="28"/>
        </w:rPr>
        <w:t>Суб’єкт господарювання, який здійснює таку діяльність відповідно до виданої йому ліцензії, надає інформацію, необхідну для обрахування щорічної потреби в   наркотичних  засобах, психотропних  речовинах,  препаратах,  що  містять  наркотичні  засоби, психотропні  речовини  і  прекурсори, а також звітність про результати діяльності в порядку та в обсязі, визначеному ліцензійними умовами на провадження відповідного виду господарської діяльності та іншими нормативно-правовими актами України.</w:t>
      </w:r>
      <w:r>
        <w:rPr>
          <w:bCs/>
          <w:sz w:val="28"/>
          <w:szCs w:val="28"/>
        </w:rPr>
        <w:t xml:space="preserve"> Квоти не встановлюються на діяльність, пов’язану з обігом промислових конопель». У статті 7 </w:t>
      </w:r>
      <w:r>
        <w:rPr>
          <w:sz w:val="28"/>
          <w:szCs w:val="28"/>
        </w:rPr>
        <w:t xml:space="preserve">Конвенції про психотропні речовини </w:t>
      </w:r>
      <w:r>
        <w:rPr>
          <w:bCs/>
          <w:sz w:val="28"/>
          <w:szCs w:val="28"/>
        </w:rPr>
        <w:t xml:space="preserve">наголошується: «сторони </w:t>
      </w:r>
      <w:r>
        <w:rPr>
          <w:sz w:val="28"/>
          <w:szCs w:val="28"/>
          <w:shd w:val="clear" w:color="auto" w:fill="FFFFFF"/>
        </w:rPr>
        <w:t>обмежують кількість речовини, що видається будь-якій належним чином уповноваженій особі, до кількісті, необхідної для дозволеної йому мети».</w:t>
      </w:r>
    </w:p>
    <w:p w:rsidR="007C4A10" w:rsidRDefault="007C4A10" w:rsidP="007C4A10">
      <w:pPr>
        <w:pStyle w:val="rvps2"/>
        <w:spacing w:before="0" w:beforeAutospacing="0" w:after="0" w:afterAutospacing="0"/>
        <w:ind w:firstLine="601"/>
        <w:jc w:val="both"/>
        <w:textAlignment w:val="baseline"/>
        <w:rPr>
          <w:bCs/>
          <w:sz w:val="28"/>
          <w:szCs w:val="28"/>
        </w:rPr>
      </w:pPr>
      <w:r>
        <w:rPr>
          <w:sz w:val="28"/>
          <w:szCs w:val="28"/>
        </w:rPr>
        <w:t xml:space="preserve">Стаття 15 </w:t>
      </w:r>
      <w:r>
        <w:rPr>
          <w:bCs/>
          <w:sz w:val="28"/>
          <w:szCs w:val="28"/>
        </w:rPr>
        <w:t xml:space="preserve">«Діяльність із культивування рослин, включених до Переліку» </w:t>
      </w:r>
      <w:r>
        <w:rPr>
          <w:bCs/>
          <w:i/>
          <w:sz w:val="28"/>
          <w:szCs w:val="28"/>
          <w:u w:val="single"/>
        </w:rPr>
        <w:t>не суперечить</w:t>
      </w:r>
      <w:r>
        <w:rPr>
          <w:bCs/>
          <w:sz w:val="28"/>
          <w:szCs w:val="28"/>
        </w:rPr>
        <w:t xml:space="preserve"> статті 23 </w:t>
      </w:r>
      <w:r>
        <w:rPr>
          <w:sz w:val="28"/>
          <w:szCs w:val="28"/>
        </w:rPr>
        <w:t xml:space="preserve">Конвенції про наркотичні засоби, де визначається таке: «якщо будь-яка Сторона дозволяє культивування рослини канабісу для виробництва канабісу або смоли канабісу, вона застосовує при цьому таку систему контролю:  встановлюються райони та земельні ділянки, на яких дозволяється культивування; культивування дозволяється лише за наявності ліцензії;  у кожній ліцензії точно вказуються розміри земельної площі, на якій дозволяється культивування». </w:t>
      </w:r>
    </w:p>
    <w:p w:rsidR="007C4A10" w:rsidRDefault="004E23A9" w:rsidP="007C4A10">
      <w:pPr>
        <w:jc w:val="both"/>
        <w:rPr>
          <w:b/>
          <w:bCs/>
          <w:sz w:val="24"/>
          <w:lang w:val="uk-UA"/>
        </w:rPr>
      </w:pPr>
      <w:r>
        <w:rPr>
          <w:bCs/>
          <w:szCs w:val="28"/>
          <w:lang w:val="uk-UA"/>
        </w:rPr>
        <w:tab/>
      </w:r>
      <w:r w:rsidR="008D3B28">
        <w:rPr>
          <w:bCs/>
          <w:szCs w:val="28"/>
          <w:lang w:val="uk-UA"/>
        </w:rPr>
        <w:t>Окрім того</w:t>
      </w:r>
      <w:r>
        <w:rPr>
          <w:bCs/>
          <w:szCs w:val="28"/>
          <w:lang w:val="uk-UA"/>
        </w:rPr>
        <w:t xml:space="preserve">, </w:t>
      </w:r>
      <w:r w:rsidRPr="006C4EF1">
        <w:rPr>
          <w:bCs/>
          <w:szCs w:val="28"/>
        </w:rPr>
        <w:t>Головне науково-експертне управління зазначає, що потребує удосконалення та уточнення термінологія законопроекту задля непорушення принципу правової визначеності.</w:t>
      </w:r>
    </w:p>
    <w:p w:rsidR="007C4A10" w:rsidRDefault="007C4A10" w:rsidP="007C4A10">
      <w:pPr>
        <w:jc w:val="both"/>
        <w:rPr>
          <w:b/>
          <w:bCs/>
          <w:lang w:val="uk-UA"/>
        </w:rPr>
      </w:pPr>
      <w:r>
        <w:rPr>
          <w:rFonts w:eastAsia="Verdana"/>
          <w:b/>
          <w:bCs/>
          <w:lang w:val="uk-UA"/>
        </w:rPr>
        <w:t>4.</w:t>
      </w:r>
      <w:r>
        <w:rPr>
          <w:rFonts w:eastAsia="Verdana"/>
          <w:b/>
          <w:bCs/>
        </w:rPr>
        <w:t>   </w:t>
      </w:r>
      <w:r>
        <w:rPr>
          <w:b/>
          <w:lang w:val="uk-UA"/>
        </w:rPr>
        <w:t xml:space="preserve">Висновок Комітету з питань інтеграції України до Європейського Союзу. </w:t>
      </w:r>
    </w:p>
    <w:p w:rsidR="007C4A10" w:rsidRDefault="007C4A10" w:rsidP="007C4A10">
      <w:pPr>
        <w:pStyle w:val="3"/>
        <w:shd w:val="clear" w:color="auto" w:fill="FFFFFF"/>
        <w:spacing w:before="0" w:beforeAutospacing="0" w:after="0" w:afterAutospacing="0"/>
        <w:jc w:val="both"/>
        <w:textAlignment w:val="baseline"/>
        <w:rPr>
          <w:sz w:val="28"/>
          <w:szCs w:val="28"/>
        </w:rPr>
      </w:pPr>
      <w:r>
        <w:rPr>
          <w:b w:val="0"/>
          <w:szCs w:val="28"/>
        </w:rPr>
        <w:tab/>
      </w:r>
      <w:r>
        <w:rPr>
          <w:b w:val="0"/>
          <w:sz w:val="28"/>
          <w:szCs w:val="28"/>
        </w:rPr>
        <w:t>Проект Закону «Про внесення змін до деяких законодавчих актів України щодо регулювання обігу конопель в медичних цілях, науковій та науково-технічній діяльності»  (реєстр. № 5596 від 02.06.2021 р., нду, О.Стефанишина, І. Климпуш-Цинцадзе, В. Галайчук, М. Мезенцева та інші)</w:t>
      </w:r>
      <w:r>
        <w:rPr>
          <w:szCs w:val="28"/>
        </w:rPr>
        <w:t xml:space="preserve"> </w:t>
      </w:r>
      <w:r>
        <w:rPr>
          <w:i/>
          <w:sz w:val="28"/>
          <w:szCs w:val="28"/>
          <w:u w:val="single"/>
        </w:rPr>
        <w:t>не суперечить</w:t>
      </w:r>
      <w:r>
        <w:rPr>
          <w:b w:val="0"/>
          <w:i/>
          <w:sz w:val="28"/>
          <w:szCs w:val="28"/>
        </w:rPr>
        <w:t xml:space="preserve"> </w:t>
      </w:r>
      <w:r>
        <w:rPr>
          <w:b w:val="0"/>
          <w:sz w:val="28"/>
          <w:szCs w:val="28"/>
        </w:rPr>
        <w:t>міжнародно-правовим зобов’язанням України у сфері європейської інтеграції</w:t>
      </w:r>
      <w:r>
        <w:rPr>
          <w:b w:val="0"/>
          <w:i/>
          <w:sz w:val="28"/>
          <w:szCs w:val="28"/>
        </w:rPr>
        <w:t>.</w:t>
      </w:r>
    </w:p>
    <w:p w:rsidR="007C4A10" w:rsidRDefault="007C4A10" w:rsidP="007C4A10">
      <w:pPr>
        <w:pStyle w:val="3"/>
        <w:shd w:val="clear" w:color="auto" w:fill="FFFFFF"/>
        <w:spacing w:before="0" w:beforeAutospacing="0" w:after="0" w:afterAutospacing="0"/>
        <w:jc w:val="both"/>
        <w:textAlignment w:val="baseline"/>
        <w:rPr>
          <w:b w:val="0"/>
          <w:sz w:val="24"/>
          <w:szCs w:val="24"/>
        </w:rPr>
      </w:pPr>
    </w:p>
    <w:p w:rsidR="007C4A10" w:rsidRDefault="007C4A10" w:rsidP="007C4A10">
      <w:pPr>
        <w:pStyle w:val="3"/>
        <w:shd w:val="clear" w:color="auto" w:fill="FFFFFF"/>
        <w:spacing w:before="0" w:beforeAutospacing="0" w:after="0" w:afterAutospacing="0"/>
        <w:jc w:val="both"/>
        <w:textAlignment w:val="baseline"/>
        <w:rPr>
          <w:b w:val="0"/>
          <w:sz w:val="24"/>
          <w:szCs w:val="28"/>
        </w:rPr>
      </w:pPr>
    </w:p>
    <w:p w:rsidR="007C4A10" w:rsidRDefault="007C4A10" w:rsidP="007C4A10">
      <w:pPr>
        <w:pStyle w:val="3"/>
        <w:shd w:val="clear" w:color="auto" w:fill="FFFFFF"/>
        <w:spacing w:before="0" w:beforeAutospacing="0" w:after="0" w:afterAutospacing="0"/>
        <w:jc w:val="both"/>
        <w:textAlignment w:val="baseline"/>
        <w:rPr>
          <w:b w:val="0"/>
          <w:sz w:val="24"/>
          <w:szCs w:val="28"/>
        </w:rPr>
      </w:pPr>
    </w:p>
    <w:p w:rsidR="008D13CC" w:rsidRDefault="005B63DA">
      <w:bookmarkStart w:id="7" w:name="_GoBack"/>
      <w:bookmarkEnd w:id="7"/>
    </w:p>
    <w:sectPr w:rsidR="008D13CC" w:rsidSect="00501758">
      <w:headerReference w:type="firs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3DA" w:rsidRDefault="005B63DA" w:rsidP="004E23A9">
      <w:r>
        <w:separator/>
      </w:r>
    </w:p>
  </w:endnote>
  <w:endnote w:type="continuationSeparator" w:id="0">
    <w:p w:rsidR="005B63DA" w:rsidRDefault="005B63DA" w:rsidP="004E2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3DA" w:rsidRDefault="005B63DA" w:rsidP="004E23A9">
      <w:r>
        <w:separator/>
      </w:r>
    </w:p>
  </w:footnote>
  <w:footnote w:type="continuationSeparator" w:id="0">
    <w:p w:rsidR="005B63DA" w:rsidRDefault="005B63DA" w:rsidP="004E23A9">
      <w:r>
        <w:continuationSeparator/>
      </w:r>
    </w:p>
  </w:footnote>
  <w:footnote w:id="1">
    <w:p w:rsidR="004E23A9" w:rsidRPr="004E23A9" w:rsidRDefault="004E23A9">
      <w:pPr>
        <w:pStyle w:val="a3"/>
        <w:rPr>
          <w:lang w:val="uk-UA"/>
        </w:rPr>
      </w:pPr>
      <w:r>
        <w:rPr>
          <w:rStyle w:val="a5"/>
        </w:rPr>
        <w:footnoteRef/>
      </w:r>
      <w:r>
        <w:t xml:space="preserve"> </w:t>
      </w:r>
      <w:r w:rsidRPr="003E164E">
        <w:t>http://gmpcenter.org.ua/news/vooz-rekomenduje-zminiti-klasifikatsiju-marihuani</w:t>
      </w:r>
    </w:p>
  </w:footnote>
  <w:footnote w:id="2">
    <w:p w:rsidR="004E23A9" w:rsidRPr="003E164E" w:rsidRDefault="004E23A9" w:rsidP="004E23A9">
      <w:pPr>
        <w:rPr>
          <w:lang w:val="uk-UA"/>
        </w:rPr>
      </w:pPr>
      <w:r>
        <w:rPr>
          <w:rStyle w:val="a5"/>
        </w:rPr>
        <w:footnoteRef/>
      </w:r>
      <w:r w:rsidRPr="004E23A9">
        <w:rPr>
          <w:lang w:val="uk-UA"/>
        </w:rPr>
        <w:t xml:space="preserve"> </w:t>
      </w:r>
      <w:hyperlink r:id="rId1" w:history="1">
        <w:r w:rsidRPr="003E164E">
          <w:rPr>
            <w:rStyle w:val="a6"/>
            <w:color w:val="auto"/>
            <w:sz w:val="20"/>
            <w:u w:val="none"/>
          </w:rPr>
          <w:t>https</w:t>
        </w:r>
        <w:r w:rsidRPr="003E164E">
          <w:rPr>
            <w:rStyle w:val="a6"/>
            <w:color w:val="auto"/>
            <w:sz w:val="20"/>
            <w:u w:val="none"/>
            <w:lang w:val="uk-UA"/>
          </w:rPr>
          <w:t>://</w:t>
        </w:r>
        <w:r w:rsidRPr="003E164E">
          <w:rPr>
            <w:rStyle w:val="a6"/>
            <w:color w:val="auto"/>
            <w:sz w:val="20"/>
            <w:u w:val="none"/>
          </w:rPr>
          <w:t>www</w:t>
        </w:r>
        <w:r w:rsidRPr="003E164E">
          <w:rPr>
            <w:rStyle w:val="a6"/>
            <w:color w:val="auto"/>
            <w:sz w:val="20"/>
            <w:u w:val="none"/>
            <w:lang w:val="uk-UA"/>
          </w:rPr>
          <w:t>.</w:t>
        </w:r>
        <w:r w:rsidRPr="003E164E">
          <w:rPr>
            <w:rStyle w:val="a6"/>
            <w:color w:val="auto"/>
            <w:sz w:val="20"/>
            <w:u w:val="none"/>
          </w:rPr>
          <w:t>bfarm</w:t>
        </w:r>
        <w:r w:rsidRPr="003E164E">
          <w:rPr>
            <w:rStyle w:val="a6"/>
            <w:color w:val="auto"/>
            <w:sz w:val="20"/>
            <w:u w:val="none"/>
            <w:lang w:val="uk-UA"/>
          </w:rPr>
          <w:t>.</w:t>
        </w:r>
        <w:r w:rsidRPr="003E164E">
          <w:rPr>
            <w:rStyle w:val="a6"/>
            <w:color w:val="auto"/>
            <w:sz w:val="20"/>
            <w:u w:val="none"/>
          </w:rPr>
          <w:t>de</w:t>
        </w:r>
        <w:r w:rsidRPr="003E164E">
          <w:rPr>
            <w:rStyle w:val="a6"/>
            <w:color w:val="auto"/>
            <w:sz w:val="20"/>
            <w:u w:val="none"/>
            <w:lang w:val="uk-UA"/>
          </w:rPr>
          <w:t>/</w:t>
        </w:r>
        <w:r w:rsidRPr="003E164E">
          <w:rPr>
            <w:rStyle w:val="a6"/>
            <w:color w:val="auto"/>
            <w:sz w:val="20"/>
            <w:u w:val="none"/>
          </w:rPr>
          <w:t>DE</w:t>
        </w:r>
        <w:r w:rsidRPr="003E164E">
          <w:rPr>
            <w:rStyle w:val="a6"/>
            <w:color w:val="auto"/>
            <w:sz w:val="20"/>
            <w:u w:val="none"/>
            <w:lang w:val="uk-UA"/>
          </w:rPr>
          <w:t>/</w:t>
        </w:r>
        <w:r w:rsidRPr="003E164E">
          <w:rPr>
            <w:rStyle w:val="a6"/>
            <w:color w:val="auto"/>
            <w:sz w:val="20"/>
            <w:u w:val="none"/>
          </w:rPr>
          <w:t>Bundesopiumstelle</w:t>
        </w:r>
        <w:r w:rsidRPr="003E164E">
          <w:rPr>
            <w:rStyle w:val="a6"/>
            <w:color w:val="auto"/>
            <w:sz w:val="20"/>
            <w:u w:val="none"/>
            <w:lang w:val="uk-UA"/>
          </w:rPr>
          <w:t>/</w:t>
        </w:r>
        <w:r w:rsidRPr="003E164E">
          <w:rPr>
            <w:rStyle w:val="a6"/>
            <w:color w:val="auto"/>
            <w:sz w:val="20"/>
            <w:u w:val="none"/>
          </w:rPr>
          <w:t>Cannabis</w:t>
        </w:r>
        <w:r w:rsidRPr="003E164E">
          <w:rPr>
            <w:rStyle w:val="a6"/>
            <w:color w:val="auto"/>
            <w:sz w:val="20"/>
            <w:u w:val="none"/>
            <w:lang w:val="uk-UA"/>
          </w:rPr>
          <w:t>-</w:t>
        </w:r>
        <w:r w:rsidRPr="003E164E">
          <w:rPr>
            <w:rStyle w:val="a6"/>
            <w:color w:val="auto"/>
            <w:sz w:val="20"/>
            <w:u w:val="none"/>
          </w:rPr>
          <w:t>als</w:t>
        </w:r>
        <w:r w:rsidRPr="003E164E">
          <w:rPr>
            <w:rStyle w:val="a6"/>
            <w:color w:val="auto"/>
            <w:sz w:val="20"/>
            <w:u w:val="none"/>
            <w:lang w:val="uk-UA"/>
          </w:rPr>
          <w:t>-</w:t>
        </w:r>
        <w:r w:rsidRPr="003E164E">
          <w:rPr>
            <w:rStyle w:val="a6"/>
            <w:color w:val="auto"/>
            <w:sz w:val="20"/>
            <w:u w:val="none"/>
          </w:rPr>
          <w:t>Medizin</w:t>
        </w:r>
        <w:r w:rsidRPr="003E164E">
          <w:rPr>
            <w:rStyle w:val="a6"/>
            <w:color w:val="auto"/>
            <w:sz w:val="20"/>
            <w:u w:val="none"/>
            <w:lang w:val="uk-UA"/>
          </w:rPr>
          <w:t>/</w:t>
        </w:r>
        <w:r w:rsidRPr="003E164E">
          <w:rPr>
            <w:rStyle w:val="a6"/>
            <w:color w:val="auto"/>
            <w:sz w:val="20"/>
            <w:u w:val="none"/>
          </w:rPr>
          <w:t>Cannabisagentur</w:t>
        </w:r>
        <w:r w:rsidRPr="003E164E">
          <w:rPr>
            <w:rStyle w:val="a6"/>
            <w:color w:val="auto"/>
            <w:sz w:val="20"/>
            <w:u w:val="none"/>
            <w:lang w:val="uk-UA"/>
          </w:rPr>
          <w:t>/_</w:t>
        </w:r>
        <w:r w:rsidRPr="003E164E">
          <w:rPr>
            <w:rStyle w:val="a6"/>
            <w:color w:val="auto"/>
            <w:sz w:val="20"/>
            <w:u w:val="none"/>
          </w:rPr>
          <w:t>node</w:t>
        </w:r>
        <w:r w:rsidRPr="003E164E">
          <w:rPr>
            <w:rStyle w:val="a6"/>
            <w:color w:val="auto"/>
            <w:sz w:val="20"/>
            <w:u w:val="none"/>
            <w:lang w:val="uk-UA"/>
          </w:rPr>
          <w:t>.</w:t>
        </w:r>
        <w:r w:rsidRPr="003E164E">
          <w:rPr>
            <w:rStyle w:val="a6"/>
            <w:color w:val="auto"/>
            <w:sz w:val="20"/>
            <w:u w:val="none"/>
          </w:rPr>
          <w:t>html</w:t>
        </w:r>
      </w:hyperlink>
    </w:p>
    <w:p w:rsidR="004E23A9" w:rsidRPr="004E23A9" w:rsidRDefault="004E23A9">
      <w:pPr>
        <w:pStyle w:val="a3"/>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758" w:rsidRDefault="00501758" w:rsidP="00501758">
    <w:pPr>
      <w:pStyle w:val="a7"/>
      <w:rPr>
        <w:color w:val="002060"/>
        <w:sz w:val="32"/>
        <w:szCs w:val="32"/>
      </w:rPr>
    </w:pPr>
    <w:r>
      <w:rPr>
        <w:noProof/>
        <w:lang w:val="uk-UA" w:eastAsia="uk-UA"/>
      </w:rPr>
      <w:drawing>
        <wp:anchor distT="360045" distB="0" distL="114300" distR="114300" simplePos="0" relativeHeight="251659264" behindDoc="0" locked="0" layoutInCell="1" allowOverlap="1">
          <wp:simplePos x="0" y="0"/>
          <wp:positionH relativeFrom="page">
            <wp:align>center</wp:align>
          </wp:positionH>
          <wp:positionV relativeFrom="paragraph">
            <wp:posOffset>-119380</wp:posOffset>
          </wp:positionV>
          <wp:extent cx="461010" cy="63690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501758" w:rsidRDefault="00501758" w:rsidP="00501758">
    <w:pPr>
      <w:pStyle w:val="a7"/>
      <w:rPr>
        <w:color w:val="002060"/>
        <w:sz w:val="32"/>
        <w:szCs w:val="32"/>
      </w:rPr>
    </w:pPr>
  </w:p>
  <w:p w:rsidR="00501758" w:rsidRDefault="00501758" w:rsidP="00501758">
    <w:pPr>
      <w:pStyle w:val="a7"/>
      <w:rPr>
        <w:color w:val="002060"/>
        <w:sz w:val="32"/>
        <w:szCs w:val="32"/>
      </w:rPr>
    </w:pPr>
  </w:p>
  <w:p w:rsidR="00501758" w:rsidRDefault="00501758" w:rsidP="00501758">
    <w:pPr>
      <w:pStyle w:val="a7"/>
      <w:spacing w:before="80"/>
      <w:jc w:val="center"/>
      <w:rPr>
        <w:color w:val="1829A8"/>
        <w:spacing w:val="20"/>
        <w:sz w:val="34"/>
        <w:szCs w:val="34"/>
      </w:rPr>
    </w:pPr>
    <w:r>
      <w:rPr>
        <w:color w:val="1829A8"/>
        <w:spacing w:val="20"/>
        <w:sz w:val="34"/>
        <w:szCs w:val="34"/>
        <w:lang w:val="uk-UA"/>
      </w:rPr>
      <w:t>ВЕРХОВНА РАДА УКРАЇНИ</w:t>
    </w:r>
  </w:p>
  <w:p w:rsidR="00501758" w:rsidRDefault="00501758" w:rsidP="00501758">
    <w:pPr>
      <w:pStyle w:val="a7"/>
      <w:spacing w:before="100"/>
      <w:jc w:val="center"/>
      <w:rPr>
        <w:b/>
        <w:color w:val="1829A8"/>
        <w:spacing w:val="20"/>
        <w:sz w:val="24"/>
      </w:rPr>
    </w:pPr>
    <w:r>
      <w:rPr>
        <w:b/>
        <w:color w:val="1829A8"/>
        <w:spacing w:val="20"/>
        <w:sz w:val="24"/>
        <w:lang w:val="uk-UA"/>
      </w:rPr>
      <w:t>Комітет з питань інтеграції України до Європейського Союзу</w:t>
    </w:r>
  </w:p>
  <w:p w:rsidR="00501758" w:rsidRDefault="00501758" w:rsidP="00501758">
    <w:pPr>
      <w:pStyle w:val="a7"/>
    </w:pPr>
    <w:r>
      <w:rPr>
        <w:color w:val="1829A8"/>
        <w:sz w:val="20"/>
        <w:szCs w:val="20"/>
        <w:lang w:val="uk-UA"/>
      </w:rPr>
      <w:t>01008, м.Київ-8, вул. М. Грушевського, 5, тел.: 255-34-42, факс</w:t>
    </w:r>
    <w:r>
      <w:rPr>
        <w:color w:val="1829A8"/>
        <w:sz w:val="20"/>
        <w:szCs w:val="20"/>
      </w:rPr>
      <w:t>:</w:t>
    </w:r>
    <w:r>
      <w:rPr>
        <w:color w:val="1829A8"/>
        <w:sz w:val="20"/>
        <w:szCs w:val="20"/>
        <w:lang w:val="uk-UA"/>
      </w:rPr>
      <w:t xml:space="preserve"> 255-33-13, </w:t>
    </w:r>
    <w:r>
      <w:rPr>
        <w:color w:val="1829A8"/>
        <w:sz w:val="20"/>
        <w:szCs w:val="20"/>
      </w:rPr>
      <w:t>e-mail: comeuroint@v.rada.gov.ua</w:t>
    </w:r>
  </w:p>
  <w:p w:rsidR="00501758" w:rsidRDefault="00501758">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E75"/>
    <w:rsid w:val="00170E1B"/>
    <w:rsid w:val="002E7354"/>
    <w:rsid w:val="004E23A9"/>
    <w:rsid w:val="00501758"/>
    <w:rsid w:val="005B63DA"/>
    <w:rsid w:val="00611E75"/>
    <w:rsid w:val="00623B9B"/>
    <w:rsid w:val="00633ECC"/>
    <w:rsid w:val="006710F0"/>
    <w:rsid w:val="00784DDE"/>
    <w:rsid w:val="007C4A10"/>
    <w:rsid w:val="0081122A"/>
    <w:rsid w:val="0083731E"/>
    <w:rsid w:val="008D3B28"/>
    <w:rsid w:val="009012C2"/>
    <w:rsid w:val="009A2621"/>
    <w:rsid w:val="00A03C0D"/>
    <w:rsid w:val="00A3372C"/>
    <w:rsid w:val="00A96779"/>
    <w:rsid w:val="00CD4DCA"/>
    <w:rsid w:val="00CE0D6E"/>
    <w:rsid w:val="00F10ED8"/>
    <w:rsid w:val="00FC34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610DCF"/>
  <w15:chartTrackingRefBased/>
  <w15:docId w15:val="{0F81957F-549D-4691-9CF4-C46FA2FB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A10"/>
    <w:pPr>
      <w:spacing w:after="0" w:line="240" w:lineRule="auto"/>
    </w:pPr>
    <w:rPr>
      <w:rFonts w:ascii="Times New Roman" w:eastAsia="Times New Roman" w:hAnsi="Times New Roman" w:cs="Times New Roman"/>
      <w:sz w:val="28"/>
      <w:szCs w:val="24"/>
      <w:lang w:val="ru-RU" w:eastAsia="ru-RU"/>
    </w:rPr>
  </w:style>
  <w:style w:type="paragraph" w:styleId="3">
    <w:name w:val="heading 3"/>
    <w:basedOn w:val="a"/>
    <w:link w:val="30"/>
    <w:uiPriority w:val="9"/>
    <w:semiHidden/>
    <w:unhideWhenUsed/>
    <w:qFormat/>
    <w:rsid w:val="007C4A10"/>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C4A10"/>
    <w:rPr>
      <w:rFonts w:ascii="Times New Roman" w:eastAsia="Times New Roman" w:hAnsi="Times New Roman" w:cs="Times New Roman"/>
      <w:b/>
      <w:bCs/>
      <w:sz w:val="27"/>
      <w:szCs w:val="27"/>
      <w:lang w:eastAsia="uk-UA"/>
    </w:rPr>
  </w:style>
  <w:style w:type="paragraph" w:customStyle="1" w:styleId="Default">
    <w:name w:val="Default"/>
    <w:rsid w:val="007C4A10"/>
    <w:pPr>
      <w:autoSpaceDE w:val="0"/>
      <w:autoSpaceDN w:val="0"/>
      <w:adjustRightInd w:val="0"/>
      <w:spacing w:after="0" w:line="240" w:lineRule="auto"/>
    </w:pPr>
    <w:rPr>
      <w:rFonts w:ascii="Calibri" w:eastAsia="Times New Roman" w:hAnsi="Calibri" w:cs="Calibri"/>
      <w:color w:val="000000"/>
      <w:sz w:val="24"/>
      <w:szCs w:val="24"/>
      <w:lang w:eastAsia="uk-UA"/>
    </w:rPr>
  </w:style>
  <w:style w:type="paragraph" w:customStyle="1" w:styleId="1">
    <w:name w:val="Абзац списку1"/>
    <w:basedOn w:val="a"/>
    <w:qFormat/>
    <w:rsid w:val="007C4A10"/>
    <w:pPr>
      <w:spacing w:after="200" w:line="276" w:lineRule="auto"/>
      <w:ind w:left="720"/>
      <w:contextualSpacing/>
    </w:pPr>
    <w:rPr>
      <w:rFonts w:ascii="Calibri" w:eastAsia="Calibri" w:hAnsi="Calibri"/>
      <w:sz w:val="22"/>
      <w:szCs w:val="22"/>
      <w:lang w:eastAsia="en-US"/>
    </w:rPr>
  </w:style>
  <w:style w:type="paragraph" w:customStyle="1" w:styleId="rvps2">
    <w:name w:val="rvps2"/>
    <w:basedOn w:val="a"/>
    <w:qFormat/>
    <w:rsid w:val="007C4A10"/>
    <w:pPr>
      <w:spacing w:before="100" w:beforeAutospacing="1" w:after="100" w:afterAutospacing="1"/>
    </w:pPr>
    <w:rPr>
      <w:sz w:val="24"/>
      <w:lang w:val="uk-UA" w:eastAsia="uk-UA"/>
    </w:rPr>
  </w:style>
  <w:style w:type="character" w:customStyle="1" w:styleId="FontStyle18">
    <w:name w:val="Font Style18"/>
    <w:basedOn w:val="a0"/>
    <w:uiPriority w:val="99"/>
    <w:qFormat/>
    <w:rsid w:val="007C4A10"/>
    <w:rPr>
      <w:rFonts w:ascii="Times New Roman" w:hAnsi="Times New Roman" w:cs="Times New Roman" w:hint="default"/>
      <w:spacing w:val="10"/>
      <w:sz w:val="24"/>
      <w:szCs w:val="24"/>
    </w:rPr>
  </w:style>
  <w:style w:type="paragraph" w:styleId="a3">
    <w:name w:val="footnote text"/>
    <w:basedOn w:val="a"/>
    <w:link w:val="a4"/>
    <w:uiPriority w:val="99"/>
    <w:semiHidden/>
    <w:unhideWhenUsed/>
    <w:rsid w:val="004E23A9"/>
    <w:rPr>
      <w:sz w:val="20"/>
      <w:szCs w:val="20"/>
    </w:rPr>
  </w:style>
  <w:style w:type="character" w:customStyle="1" w:styleId="a4">
    <w:name w:val="Текст виноски Знак"/>
    <w:basedOn w:val="a0"/>
    <w:link w:val="a3"/>
    <w:uiPriority w:val="99"/>
    <w:semiHidden/>
    <w:rsid w:val="004E23A9"/>
    <w:rPr>
      <w:rFonts w:ascii="Times New Roman" w:eastAsia="Times New Roman" w:hAnsi="Times New Roman" w:cs="Times New Roman"/>
      <w:sz w:val="20"/>
      <w:szCs w:val="20"/>
      <w:lang w:val="ru-RU" w:eastAsia="ru-RU"/>
    </w:rPr>
  </w:style>
  <w:style w:type="character" w:styleId="a5">
    <w:name w:val="footnote reference"/>
    <w:basedOn w:val="a0"/>
    <w:uiPriority w:val="99"/>
    <w:semiHidden/>
    <w:unhideWhenUsed/>
    <w:rsid w:val="004E23A9"/>
    <w:rPr>
      <w:vertAlign w:val="superscript"/>
    </w:rPr>
  </w:style>
  <w:style w:type="character" w:styleId="a6">
    <w:name w:val="Hyperlink"/>
    <w:basedOn w:val="a0"/>
    <w:uiPriority w:val="99"/>
    <w:unhideWhenUsed/>
    <w:rsid w:val="004E23A9"/>
    <w:rPr>
      <w:color w:val="0563C1" w:themeColor="hyperlink"/>
      <w:u w:val="single"/>
    </w:rPr>
  </w:style>
  <w:style w:type="paragraph" w:styleId="a7">
    <w:name w:val="header"/>
    <w:basedOn w:val="a"/>
    <w:link w:val="a8"/>
    <w:uiPriority w:val="99"/>
    <w:unhideWhenUsed/>
    <w:rsid w:val="00501758"/>
    <w:pPr>
      <w:tabs>
        <w:tab w:val="center" w:pos="4819"/>
        <w:tab w:val="right" w:pos="9639"/>
      </w:tabs>
    </w:pPr>
  </w:style>
  <w:style w:type="character" w:customStyle="1" w:styleId="a8">
    <w:name w:val="Верхній колонтитул Знак"/>
    <w:basedOn w:val="a0"/>
    <w:link w:val="a7"/>
    <w:uiPriority w:val="99"/>
    <w:rsid w:val="00501758"/>
    <w:rPr>
      <w:rFonts w:ascii="Times New Roman" w:eastAsia="Times New Roman" w:hAnsi="Times New Roman" w:cs="Times New Roman"/>
      <w:sz w:val="28"/>
      <w:szCs w:val="24"/>
      <w:lang w:val="ru-RU" w:eastAsia="ru-RU"/>
    </w:rPr>
  </w:style>
  <w:style w:type="paragraph" w:styleId="a9">
    <w:name w:val="footer"/>
    <w:basedOn w:val="a"/>
    <w:link w:val="aa"/>
    <w:uiPriority w:val="99"/>
    <w:unhideWhenUsed/>
    <w:rsid w:val="00501758"/>
    <w:pPr>
      <w:tabs>
        <w:tab w:val="center" w:pos="4819"/>
        <w:tab w:val="right" w:pos="9639"/>
      </w:tabs>
    </w:pPr>
  </w:style>
  <w:style w:type="character" w:customStyle="1" w:styleId="aa">
    <w:name w:val="Нижній колонтитул Знак"/>
    <w:basedOn w:val="a0"/>
    <w:link w:val="a9"/>
    <w:uiPriority w:val="99"/>
    <w:rsid w:val="00501758"/>
    <w:rPr>
      <w:rFonts w:ascii="Times New Roman" w:eastAsia="Times New Roman" w:hAnsi="Times New Roman" w:cs="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19866">
      <w:bodyDiv w:val="1"/>
      <w:marLeft w:val="0"/>
      <w:marRight w:val="0"/>
      <w:marTop w:val="0"/>
      <w:marBottom w:val="0"/>
      <w:divBdr>
        <w:top w:val="none" w:sz="0" w:space="0" w:color="auto"/>
        <w:left w:val="none" w:sz="0" w:space="0" w:color="auto"/>
        <w:bottom w:val="none" w:sz="0" w:space="0" w:color="auto"/>
        <w:right w:val="none" w:sz="0" w:space="0" w:color="auto"/>
      </w:divBdr>
    </w:div>
    <w:div w:id="1888175611">
      <w:bodyDiv w:val="1"/>
      <w:marLeft w:val="0"/>
      <w:marRight w:val="0"/>
      <w:marTop w:val="0"/>
      <w:marBottom w:val="0"/>
      <w:divBdr>
        <w:top w:val="none" w:sz="0" w:space="0" w:color="auto"/>
        <w:left w:val="none" w:sz="0" w:space="0" w:color="auto"/>
        <w:bottom w:val="none" w:sz="0" w:space="0" w:color="auto"/>
        <w:right w:val="none" w:sz="0" w:space="0" w:color="auto"/>
      </w:divBdr>
    </w:div>
    <w:div w:id="199848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farm.de/DE/Bundesopiumstelle/Cannabis-als-Medizin/Cannabisagentur/_nod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468E6-A20C-413A-BE00-82E40C665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8763</Words>
  <Characters>4995</Characters>
  <Application>Microsoft Office Word</Application>
  <DocSecurity>0</DocSecurity>
  <Lines>41</Lines>
  <Paragraphs>27</Paragraphs>
  <ScaleCrop>false</ScaleCrop>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14</cp:revision>
  <dcterms:created xsi:type="dcterms:W3CDTF">2021-06-15T08:22:00Z</dcterms:created>
  <dcterms:modified xsi:type="dcterms:W3CDTF">2021-07-07T12:19:00Z</dcterms:modified>
</cp:coreProperties>
</file>