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48316C" w14:textId="77777777" w:rsidR="002C4648" w:rsidRPr="00D5798E" w:rsidRDefault="002C4648" w:rsidP="00D5798E">
      <w:pPr>
        <w:spacing w:line="240" w:lineRule="auto"/>
        <w:rPr>
          <w:color w:val="auto"/>
        </w:rPr>
      </w:pPr>
      <w:bookmarkStart w:id="0" w:name="_GoBack"/>
      <w:bookmarkEnd w:id="0"/>
    </w:p>
    <w:p w14:paraId="139CE06B" w14:textId="77777777" w:rsidR="009E2AB6" w:rsidRPr="00D5798E" w:rsidRDefault="009E2AB6" w:rsidP="00D5798E">
      <w:pPr>
        <w:spacing w:line="240" w:lineRule="auto"/>
        <w:rPr>
          <w:color w:val="auto"/>
        </w:rPr>
      </w:pPr>
    </w:p>
    <w:p w14:paraId="045A16BB" w14:textId="77777777" w:rsidR="009E2AB6" w:rsidRPr="00D5798E" w:rsidRDefault="009E2AB6" w:rsidP="00D5798E">
      <w:pPr>
        <w:spacing w:line="240" w:lineRule="auto"/>
        <w:rPr>
          <w:color w:val="auto"/>
        </w:rPr>
      </w:pPr>
    </w:p>
    <w:p w14:paraId="0F26BDB5" w14:textId="77777777" w:rsidR="009E2AB6" w:rsidRPr="00D5798E" w:rsidRDefault="009E2AB6" w:rsidP="00D5798E">
      <w:pPr>
        <w:spacing w:line="240" w:lineRule="auto"/>
        <w:rPr>
          <w:color w:val="auto"/>
        </w:rPr>
      </w:pPr>
    </w:p>
    <w:p w14:paraId="5C487DF4" w14:textId="77777777" w:rsidR="009E2AB6" w:rsidRPr="00D5798E" w:rsidRDefault="009E2AB6" w:rsidP="00D5798E">
      <w:pPr>
        <w:spacing w:line="240" w:lineRule="auto"/>
        <w:rPr>
          <w:color w:val="auto"/>
        </w:rPr>
      </w:pPr>
    </w:p>
    <w:p w14:paraId="6414D221" w14:textId="77777777" w:rsidR="009E2AB6" w:rsidRPr="00D5798E" w:rsidRDefault="009E2AB6" w:rsidP="00D5798E">
      <w:pPr>
        <w:spacing w:line="240" w:lineRule="auto"/>
        <w:rPr>
          <w:color w:val="auto"/>
        </w:rPr>
      </w:pPr>
    </w:p>
    <w:p w14:paraId="0DCE29B0" w14:textId="77777777" w:rsidR="009E2AB6" w:rsidRPr="00D5798E" w:rsidRDefault="009E2AB6" w:rsidP="00D5798E">
      <w:pPr>
        <w:spacing w:line="240" w:lineRule="auto"/>
        <w:rPr>
          <w:color w:val="auto"/>
        </w:rPr>
      </w:pPr>
    </w:p>
    <w:p w14:paraId="66D0D15A" w14:textId="77777777" w:rsidR="009E2AB6" w:rsidRPr="00D5798E" w:rsidRDefault="009E2AB6" w:rsidP="00D5798E">
      <w:pPr>
        <w:spacing w:line="240" w:lineRule="auto"/>
        <w:rPr>
          <w:color w:val="auto"/>
        </w:rPr>
      </w:pPr>
    </w:p>
    <w:p w14:paraId="73FC4E79" w14:textId="77777777" w:rsidR="009E2AB6" w:rsidRPr="00D5798E" w:rsidRDefault="009E2AB6" w:rsidP="00D5798E">
      <w:pPr>
        <w:spacing w:line="240" w:lineRule="auto"/>
        <w:rPr>
          <w:b/>
          <w:color w:val="auto"/>
          <w:sz w:val="28"/>
          <w:szCs w:val="28"/>
        </w:rPr>
      </w:pPr>
      <w:r w:rsidRPr="00D5798E">
        <w:rPr>
          <w:b/>
          <w:color w:val="auto"/>
          <w:sz w:val="28"/>
          <w:szCs w:val="28"/>
        </w:rPr>
        <w:t>ВИСНОВОК</w:t>
      </w:r>
    </w:p>
    <w:p w14:paraId="315B5D90" w14:textId="77777777" w:rsidR="009E2AB6" w:rsidRPr="00D5798E" w:rsidRDefault="009E2AB6" w:rsidP="00D5798E">
      <w:pPr>
        <w:spacing w:line="240" w:lineRule="auto"/>
        <w:rPr>
          <w:b/>
          <w:color w:val="auto"/>
          <w:sz w:val="28"/>
          <w:szCs w:val="28"/>
        </w:rPr>
      </w:pPr>
      <w:r w:rsidRPr="00D5798E">
        <w:rPr>
          <w:b/>
          <w:color w:val="auto"/>
          <w:sz w:val="28"/>
          <w:szCs w:val="28"/>
        </w:rPr>
        <w:t xml:space="preserve">на проект Закону України «Про внесення зміни до </w:t>
      </w:r>
    </w:p>
    <w:p w14:paraId="19211C7B" w14:textId="77777777" w:rsidR="009E2AB6" w:rsidRPr="00D5798E" w:rsidRDefault="009E2AB6" w:rsidP="00D5798E">
      <w:pPr>
        <w:spacing w:line="240" w:lineRule="auto"/>
        <w:rPr>
          <w:b/>
          <w:color w:val="auto"/>
          <w:sz w:val="28"/>
          <w:szCs w:val="28"/>
        </w:rPr>
      </w:pPr>
      <w:r w:rsidRPr="00D5798E">
        <w:rPr>
          <w:b/>
          <w:color w:val="auto"/>
          <w:sz w:val="28"/>
          <w:szCs w:val="28"/>
        </w:rPr>
        <w:t xml:space="preserve">статті 6 Закону України «Про соціальний захист дітей війни» </w:t>
      </w:r>
    </w:p>
    <w:p w14:paraId="264E52E2" w14:textId="77777777" w:rsidR="009E2AB6" w:rsidRPr="00D5798E" w:rsidRDefault="009E2AB6" w:rsidP="00D5798E">
      <w:pPr>
        <w:spacing w:line="240" w:lineRule="auto"/>
        <w:rPr>
          <w:b/>
          <w:color w:val="auto"/>
          <w:sz w:val="28"/>
          <w:szCs w:val="28"/>
        </w:rPr>
      </w:pPr>
      <w:r w:rsidRPr="00D5798E">
        <w:rPr>
          <w:b/>
          <w:color w:val="auto"/>
          <w:sz w:val="28"/>
          <w:szCs w:val="28"/>
        </w:rPr>
        <w:t>щодо державної соціальної підтримки дітей війни»</w:t>
      </w:r>
    </w:p>
    <w:p w14:paraId="25CE646C" w14:textId="77777777" w:rsidR="009E2AB6" w:rsidRPr="00D5798E" w:rsidRDefault="009E2AB6" w:rsidP="00D5798E">
      <w:pPr>
        <w:spacing w:line="240" w:lineRule="auto"/>
        <w:rPr>
          <w:b/>
          <w:color w:val="auto"/>
          <w:sz w:val="28"/>
          <w:szCs w:val="28"/>
        </w:rPr>
      </w:pPr>
    </w:p>
    <w:p w14:paraId="79EF3F2C" w14:textId="49FB094A" w:rsidR="00FE71ED" w:rsidRPr="00D5798E" w:rsidRDefault="009E2AB6" w:rsidP="00D5798E">
      <w:pPr>
        <w:spacing w:line="240" w:lineRule="auto"/>
        <w:ind w:firstLine="709"/>
        <w:jc w:val="both"/>
        <w:rPr>
          <w:color w:val="auto"/>
          <w:sz w:val="28"/>
          <w:szCs w:val="28"/>
          <w:shd w:val="clear" w:color="auto" w:fill="FFFFFF"/>
        </w:rPr>
      </w:pPr>
      <w:r w:rsidRPr="00D5798E">
        <w:rPr>
          <w:color w:val="auto"/>
          <w:sz w:val="28"/>
          <w:szCs w:val="28"/>
        </w:rPr>
        <w:t xml:space="preserve">У законопроекті </w:t>
      </w:r>
      <w:r w:rsidR="00D76A37" w:rsidRPr="00D5798E">
        <w:rPr>
          <w:rFonts w:eastAsia="Calibri"/>
          <w:color w:val="auto"/>
          <w:sz w:val="28"/>
          <w:szCs w:val="22"/>
        </w:rPr>
        <w:t xml:space="preserve">пропонується внести зміни до ст. 6 Закону України </w:t>
      </w:r>
      <w:r w:rsidR="00A45DD3" w:rsidRPr="00D5798E">
        <w:rPr>
          <w:rFonts w:eastAsia="Calibri"/>
          <w:color w:val="auto"/>
          <w:sz w:val="28"/>
          <w:szCs w:val="22"/>
        </w:rPr>
        <w:br/>
      </w:r>
      <w:r w:rsidR="00D76A37" w:rsidRPr="00D5798E">
        <w:rPr>
          <w:rFonts w:eastAsia="Calibri"/>
          <w:color w:val="auto"/>
          <w:sz w:val="28"/>
          <w:szCs w:val="22"/>
        </w:rPr>
        <w:t xml:space="preserve">«Про соціальний захист дітей війни» (далі – Закон), якими передбачити встановлення дітям війни (крім тих, на яких поширюється дія Закону України «Про статус ветеранів війни, гарантії їх соціального захисту») </w:t>
      </w:r>
      <w:r w:rsidR="00D76A37" w:rsidRPr="00D5798E">
        <w:rPr>
          <w:rFonts w:eastAsia="Calibri"/>
          <w:i/>
          <w:color w:val="auto"/>
          <w:sz w:val="28"/>
          <w:szCs w:val="22"/>
        </w:rPr>
        <w:t xml:space="preserve">підвищення </w:t>
      </w:r>
      <w:r w:rsidR="00D76A37" w:rsidRPr="00D5798E">
        <w:rPr>
          <w:rFonts w:eastAsia="Calibri"/>
          <w:color w:val="auto"/>
          <w:sz w:val="28"/>
          <w:szCs w:val="22"/>
        </w:rPr>
        <w:t xml:space="preserve">до пенсії або щомісячного довічного грошового утримання чи державної соціальної допомоги, що виплачується замість пенсії, </w:t>
      </w:r>
      <w:r w:rsidR="00D76A37" w:rsidRPr="00D5798E">
        <w:rPr>
          <w:rFonts w:eastAsia="Calibri"/>
          <w:i/>
          <w:color w:val="auto"/>
          <w:sz w:val="28"/>
          <w:szCs w:val="22"/>
        </w:rPr>
        <w:t>у розмірі надбавки, встановленої</w:t>
      </w:r>
      <w:r w:rsidR="00D76A37" w:rsidRPr="00D5798E">
        <w:rPr>
          <w:i/>
          <w:color w:val="auto"/>
          <w:sz w:val="28"/>
          <w:szCs w:val="28"/>
        </w:rPr>
        <w:t xml:space="preserve"> для учасників війни.</w:t>
      </w:r>
      <w:r w:rsidR="00D76A37" w:rsidRPr="00D5798E">
        <w:rPr>
          <w:color w:val="auto"/>
          <w:sz w:val="28"/>
          <w:szCs w:val="28"/>
        </w:rPr>
        <w:t xml:space="preserve"> </w:t>
      </w:r>
      <w:r w:rsidR="00FE71ED" w:rsidRPr="00D5798E">
        <w:rPr>
          <w:color w:val="auto"/>
          <w:sz w:val="28"/>
          <w:szCs w:val="28"/>
        </w:rPr>
        <w:t xml:space="preserve">Наразі згідно змін, внесених до Закону України </w:t>
      </w:r>
      <w:r w:rsidR="00A45DD3" w:rsidRPr="00D5798E">
        <w:rPr>
          <w:color w:val="auto"/>
          <w:sz w:val="28"/>
          <w:szCs w:val="28"/>
        </w:rPr>
        <w:br/>
      </w:r>
      <w:r w:rsidR="00FE71ED" w:rsidRPr="00D5798E">
        <w:rPr>
          <w:color w:val="auto"/>
          <w:sz w:val="28"/>
          <w:szCs w:val="28"/>
        </w:rPr>
        <w:t>«Про соціальний захист дітей війни»</w:t>
      </w:r>
      <w:r w:rsidR="00E96FC7" w:rsidRPr="00D5798E">
        <w:rPr>
          <w:color w:val="auto"/>
          <w:sz w:val="28"/>
          <w:szCs w:val="28"/>
        </w:rPr>
        <w:t xml:space="preserve"> Законом України «Про внесення змін та визнання такими, що втратили чинність, деяких законодавчих актів України»</w:t>
      </w:r>
      <w:r w:rsidR="00A45DD3" w:rsidRPr="00D5798E">
        <w:rPr>
          <w:color w:val="auto"/>
          <w:sz w:val="28"/>
          <w:szCs w:val="28"/>
        </w:rPr>
        <w:t>»</w:t>
      </w:r>
      <w:r w:rsidR="00A45DD3" w:rsidRPr="00D5798E">
        <w:rPr>
          <w:color w:val="auto"/>
          <w:sz w:val="28"/>
          <w:szCs w:val="28"/>
        </w:rPr>
        <w:br/>
      </w:r>
      <w:r w:rsidR="00E96FC7" w:rsidRPr="00D5798E">
        <w:rPr>
          <w:color w:val="auto"/>
          <w:sz w:val="28"/>
          <w:szCs w:val="28"/>
        </w:rPr>
        <w:t xml:space="preserve"> </w:t>
      </w:r>
      <w:r w:rsidR="00A45DD3" w:rsidRPr="00D5798E">
        <w:rPr>
          <w:color w:val="auto"/>
          <w:sz w:val="28"/>
          <w:szCs w:val="28"/>
        </w:rPr>
        <w:t xml:space="preserve">від </w:t>
      </w:r>
      <w:r w:rsidR="00D5798E" w:rsidRPr="00D5798E">
        <w:rPr>
          <w:color w:val="auto"/>
          <w:sz w:val="28"/>
          <w:szCs w:val="28"/>
        </w:rPr>
        <w:t xml:space="preserve">28.12.2014 </w:t>
      </w:r>
      <w:r w:rsidR="00E96FC7" w:rsidRPr="00D5798E">
        <w:rPr>
          <w:color w:val="auto"/>
          <w:sz w:val="28"/>
          <w:szCs w:val="28"/>
        </w:rPr>
        <w:t>№ 76-VIII, виплата такої надбавки зазначеним особам здійснюється «</w:t>
      </w:r>
      <w:r w:rsidR="00E96FC7" w:rsidRPr="00D5798E">
        <w:rPr>
          <w:color w:val="auto"/>
          <w:sz w:val="28"/>
          <w:szCs w:val="28"/>
          <w:shd w:val="clear" w:color="auto" w:fill="FFFFFF"/>
        </w:rPr>
        <w:t>у порядку та розмірах, встановлених Кабінетом Міністрів України».</w:t>
      </w:r>
    </w:p>
    <w:p w14:paraId="6A57872C" w14:textId="77777777" w:rsidR="00C720CE" w:rsidRPr="00D5798E" w:rsidRDefault="00C720CE" w:rsidP="00D5798E">
      <w:pPr>
        <w:autoSpaceDE w:val="0"/>
        <w:autoSpaceDN w:val="0"/>
        <w:spacing w:line="240" w:lineRule="auto"/>
        <w:ind w:firstLine="709"/>
        <w:jc w:val="both"/>
        <w:rPr>
          <w:color w:val="auto"/>
          <w:sz w:val="28"/>
          <w:szCs w:val="28"/>
        </w:rPr>
      </w:pPr>
      <w:r w:rsidRPr="00D5798E">
        <w:rPr>
          <w:color w:val="auto"/>
          <w:sz w:val="28"/>
          <w:szCs w:val="28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3AE99D7E" w14:textId="77777777" w:rsidR="00C720CE" w:rsidRPr="00D5798E" w:rsidRDefault="00C720CE" w:rsidP="00D5798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color w:val="auto"/>
          <w:sz w:val="28"/>
          <w:szCs w:val="28"/>
        </w:rPr>
      </w:pPr>
      <w:r w:rsidRPr="00D5798E">
        <w:rPr>
          <w:color w:val="auto"/>
          <w:sz w:val="28"/>
          <w:szCs w:val="28"/>
        </w:rPr>
        <w:t>Головне управління, розглянувши поданий проект, вважає за доцільне висловити щодо його змісту наступне.</w:t>
      </w:r>
    </w:p>
    <w:p w14:paraId="2F4BC3F0" w14:textId="0E7D9826" w:rsidR="00C720CE" w:rsidRPr="00D5798E" w:rsidRDefault="00C720CE" w:rsidP="00D5798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color w:val="auto"/>
          <w:sz w:val="28"/>
          <w:szCs w:val="28"/>
        </w:rPr>
      </w:pPr>
      <w:bookmarkStart w:id="1" w:name="_Hlk77016535"/>
      <w:r w:rsidRPr="00D5798E">
        <w:rPr>
          <w:b/>
          <w:color w:val="auto"/>
          <w:sz w:val="28"/>
          <w:szCs w:val="28"/>
        </w:rPr>
        <w:t>1.</w:t>
      </w:r>
      <w:r w:rsidRPr="00D5798E">
        <w:rPr>
          <w:color w:val="auto"/>
          <w:sz w:val="28"/>
          <w:szCs w:val="28"/>
        </w:rPr>
        <w:t xml:space="preserve"> Насамперед, звертаємо увагу на доцільність комплексного перегляду  усього механізму забезпечення соціальними гарантіями з огляду на недоліки його функціонування, а не внесення до нього змін, які стосуються окремих елементів цього механізму, як це пропонується у проекті. Перш за все, на нашу думку, визначення умов соціальної підтримки окремих категорій громадян необхідно здійснювати в рамках єдиного порядку зі встановленням загальних критеріїв її надання, а не за окремими категоріями без з’ясування їх реальних потреб. При цьому, слід врахувати, що основною умовою побудови належної системи соціального захисту є встановлення об’єктивної величини основних соціальних стандартів: прожиткового мінімуму, мінімальної заробітної плати, пенсії і похідних від них розмірів дійсних доходів громадян, що значною мірою допоможе вирішувати людині питання життєзабезпечення самостійно. І вже після цього вирішувати питання щодо надання пільг окремим категоріям громадян.</w:t>
      </w:r>
      <w:r w:rsidR="00D76A37" w:rsidRPr="00D5798E">
        <w:rPr>
          <w:rFonts w:eastAsia="Times New Roman"/>
          <w:color w:val="auto"/>
          <w:sz w:val="28"/>
          <w:szCs w:val="28"/>
          <w:lang w:eastAsia="en-GB"/>
        </w:rPr>
        <w:t xml:space="preserve"> Реалізація пропозиції, на нашу думку, лише посилить порушення</w:t>
      </w:r>
      <w:r w:rsidR="00D76A37" w:rsidRPr="00D5798E">
        <w:rPr>
          <w:rFonts w:eastAsia="Times New Roman"/>
          <w:i/>
          <w:color w:val="auto"/>
          <w:sz w:val="28"/>
          <w:szCs w:val="28"/>
          <w:lang w:eastAsia="en-GB"/>
        </w:rPr>
        <w:t xml:space="preserve"> балансу державної соціальної підтримки різних категорій громадян України</w:t>
      </w:r>
      <w:r w:rsidR="00D76A37" w:rsidRPr="00D5798E">
        <w:rPr>
          <w:rFonts w:eastAsia="Times New Roman"/>
          <w:color w:val="auto"/>
          <w:sz w:val="28"/>
          <w:szCs w:val="28"/>
          <w:lang w:eastAsia="en-GB"/>
        </w:rPr>
        <w:t xml:space="preserve">. </w:t>
      </w:r>
    </w:p>
    <w:p w14:paraId="6404E733" w14:textId="517B3278" w:rsidR="00D76A37" w:rsidRPr="00D5798E" w:rsidRDefault="00C720CE" w:rsidP="00D5798E">
      <w:pPr>
        <w:tabs>
          <w:tab w:val="left" w:pos="6946"/>
        </w:tabs>
        <w:spacing w:line="240" w:lineRule="auto"/>
        <w:ind w:right="-1" w:firstLine="709"/>
        <w:contextualSpacing/>
        <w:jc w:val="both"/>
        <w:rPr>
          <w:rFonts w:eastAsia="Times New Roman"/>
          <w:color w:val="auto"/>
          <w:sz w:val="28"/>
          <w:szCs w:val="28"/>
        </w:rPr>
      </w:pPr>
      <w:r w:rsidRPr="00D5798E">
        <w:rPr>
          <w:b/>
          <w:color w:val="auto"/>
          <w:sz w:val="28"/>
          <w:szCs w:val="28"/>
        </w:rPr>
        <w:lastRenderedPageBreak/>
        <w:t>2.</w:t>
      </w:r>
      <w:r w:rsidR="00D76A37" w:rsidRPr="00D5798E">
        <w:rPr>
          <w:rFonts w:eastAsia="Times New Roman"/>
          <w:b/>
          <w:color w:val="auto"/>
          <w:sz w:val="28"/>
          <w:szCs w:val="28"/>
        </w:rPr>
        <w:t xml:space="preserve"> </w:t>
      </w:r>
      <w:r w:rsidR="00D76A37" w:rsidRPr="00D5798E">
        <w:rPr>
          <w:rFonts w:eastAsia="Times New Roman"/>
          <w:color w:val="auto"/>
          <w:sz w:val="28"/>
          <w:szCs w:val="28"/>
        </w:rPr>
        <w:t>Варто також заначити, що Законом України «Про статус ветеранів війни, гарантії їх соціального захисту» передбачено різні розміри підвищення/набавок</w:t>
      </w:r>
      <w:r w:rsidR="000E124D" w:rsidRPr="00D5798E">
        <w:rPr>
          <w:rFonts w:eastAsia="Times New Roman"/>
          <w:color w:val="auto"/>
          <w:sz w:val="28"/>
          <w:szCs w:val="28"/>
        </w:rPr>
        <w:t xml:space="preserve"> учасникам війни</w:t>
      </w:r>
      <w:r w:rsidR="00D76A37" w:rsidRPr="00D5798E">
        <w:rPr>
          <w:rFonts w:eastAsia="Times New Roman"/>
          <w:color w:val="auto"/>
          <w:sz w:val="28"/>
          <w:szCs w:val="28"/>
        </w:rPr>
        <w:t>.</w:t>
      </w:r>
      <w:r w:rsidR="000E124D" w:rsidRPr="00D5798E">
        <w:rPr>
          <w:rFonts w:eastAsia="Times New Roman"/>
          <w:color w:val="auto"/>
          <w:sz w:val="28"/>
          <w:szCs w:val="28"/>
        </w:rPr>
        <w:t xml:space="preserve"> Так, у </w:t>
      </w:r>
      <w:r w:rsidR="00D76A37" w:rsidRPr="00D5798E">
        <w:rPr>
          <w:rFonts w:eastAsia="Times New Roman"/>
          <w:color w:val="auto"/>
          <w:sz w:val="28"/>
          <w:szCs w:val="28"/>
        </w:rPr>
        <w:t>ч. 4 ст.</w:t>
      </w:r>
      <w:r w:rsidR="000E124D" w:rsidRPr="00D5798E">
        <w:rPr>
          <w:rFonts w:eastAsia="Times New Roman"/>
          <w:color w:val="auto"/>
          <w:sz w:val="28"/>
          <w:szCs w:val="28"/>
        </w:rPr>
        <w:t xml:space="preserve"> </w:t>
      </w:r>
      <w:r w:rsidR="00D76A37" w:rsidRPr="00D5798E">
        <w:rPr>
          <w:rFonts w:eastAsia="Times New Roman"/>
          <w:color w:val="auto"/>
          <w:sz w:val="28"/>
          <w:szCs w:val="28"/>
        </w:rPr>
        <w:t xml:space="preserve">14 </w:t>
      </w:r>
      <w:r w:rsidR="000E124D" w:rsidRPr="00D5798E">
        <w:rPr>
          <w:rFonts w:eastAsia="Times New Roman"/>
          <w:color w:val="auto"/>
          <w:sz w:val="28"/>
          <w:szCs w:val="28"/>
        </w:rPr>
        <w:t xml:space="preserve">Закону </w:t>
      </w:r>
      <w:r w:rsidR="00D76A37" w:rsidRPr="00D5798E">
        <w:rPr>
          <w:rFonts w:eastAsia="Times New Roman"/>
          <w:color w:val="auto"/>
          <w:sz w:val="28"/>
          <w:szCs w:val="28"/>
        </w:rPr>
        <w:t xml:space="preserve">передбачено для учасників війни, нагороджених орденами і медалями колишнього Союзу РСР за самовіддану працю і бездоганну військову службу в тилу в роки Другої світової війни, підвищення до пенсії або щомісячного довічного грошового утримання чи державної соціальної допомоги, що виплачується замість пенсії, у розмірі </w:t>
      </w:r>
      <w:r w:rsidR="00A45DD3" w:rsidRPr="00D5798E">
        <w:rPr>
          <w:rFonts w:eastAsia="Times New Roman"/>
          <w:color w:val="auto"/>
          <w:sz w:val="28"/>
          <w:szCs w:val="28"/>
        </w:rPr>
        <w:br/>
      </w:r>
      <w:r w:rsidR="00D76A37" w:rsidRPr="00D5798E">
        <w:rPr>
          <w:rFonts w:eastAsia="Times New Roman"/>
          <w:i/>
          <w:color w:val="auto"/>
          <w:sz w:val="28"/>
          <w:szCs w:val="28"/>
        </w:rPr>
        <w:t>15 процентів</w:t>
      </w:r>
      <w:r w:rsidR="00D76A37" w:rsidRPr="00D5798E">
        <w:rPr>
          <w:rFonts w:eastAsia="Times New Roman"/>
          <w:color w:val="auto"/>
          <w:sz w:val="28"/>
          <w:szCs w:val="28"/>
        </w:rPr>
        <w:t xml:space="preserve"> прожиткового мінімуму для осіб, які втратили працездатність, а для інших учасників війни </w:t>
      </w:r>
      <w:r w:rsidR="000E124D" w:rsidRPr="00D5798E">
        <w:rPr>
          <w:rFonts w:eastAsia="Times New Roman"/>
          <w:color w:val="auto"/>
          <w:sz w:val="28"/>
          <w:szCs w:val="28"/>
        </w:rPr>
        <w:t>–</w:t>
      </w:r>
      <w:r w:rsidR="00D76A37" w:rsidRPr="00D5798E">
        <w:rPr>
          <w:rFonts w:eastAsia="Times New Roman"/>
          <w:color w:val="auto"/>
          <w:sz w:val="28"/>
          <w:szCs w:val="28"/>
        </w:rPr>
        <w:t xml:space="preserve"> на </w:t>
      </w:r>
      <w:r w:rsidR="00D76A37" w:rsidRPr="00D5798E">
        <w:rPr>
          <w:rFonts w:eastAsia="Times New Roman"/>
          <w:i/>
          <w:color w:val="auto"/>
          <w:sz w:val="28"/>
          <w:szCs w:val="28"/>
        </w:rPr>
        <w:t>10 процентів</w:t>
      </w:r>
      <w:r w:rsidR="00D76A37" w:rsidRPr="00D5798E">
        <w:rPr>
          <w:rFonts w:eastAsia="Times New Roman"/>
          <w:color w:val="auto"/>
          <w:sz w:val="28"/>
          <w:szCs w:val="28"/>
        </w:rPr>
        <w:t xml:space="preserve"> прожиткового мінімуму для осіб, які втратили працездатність</w:t>
      </w:r>
      <w:r w:rsidR="000E124D" w:rsidRPr="00D5798E">
        <w:rPr>
          <w:rFonts w:eastAsia="Times New Roman"/>
          <w:color w:val="auto"/>
          <w:sz w:val="28"/>
          <w:szCs w:val="28"/>
        </w:rPr>
        <w:t>. Н</w:t>
      </w:r>
      <w:r w:rsidR="00D76A37" w:rsidRPr="00D5798E">
        <w:rPr>
          <w:rFonts w:eastAsia="Times New Roman"/>
          <w:color w:val="auto"/>
          <w:sz w:val="28"/>
          <w:szCs w:val="28"/>
        </w:rPr>
        <w:t>адбавки для учасників війни</w:t>
      </w:r>
      <w:r w:rsidR="000E124D" w:rsidRPr="00D5798E">
        <w:rPr>
          <w:rFonts w:eastAsia="Times New Roman"/>
          <w:color w:val="auto"/>
          <w:sz w:val="28"/>
          <w:szCs w:val="28"/>
        </w:rPr>
        <w:t>,</w:t>
      </w:r>
      <w:r w:rsidR="00D76A37" w:rsidRPr="00D5798E">
        <w:rPr>
          <w:rFonts w:eastAsia="Times New Roman"/>
          <w:color w:val="auto"/>
          <w:sz w:val="28"/>
          <w:szCs w:val="28"/>
        </w:rPr>
        <w:t xml:space="preserve"> які  мають особливі заслуги перед Батьківщиною – у розмірі 70 процентів прожиткового мінімуму для осіб, які втратили працездатність (ст. 16 Закону).</w:t>
      </w:r>
      <w:r w:rsidR="000E124D" w:rsidRPr="00D5798E">
        <w:rPr>
          <w:rFonts w:eastAsia="Times New Roman"/>
          <w:color w:val="auto"/>
          <w:sz w:val="28"/>
          <w:szCs w:val="28"/>
        </w:rPr>
        <w:t xml:space="preserve"> </w:t>
      </w:r>
      <w:r w:rsidR="00D76A37" w:rsidRPr="00D5798E">
        <w:rPr>
          <w:rFonts w:eastAsia="Times New Roman"/>
          <w:color w:val="auto"/>
          <w:sz w:val="28"/>
          <w:szCs w:val="28"/>
        </w:rPr>
        <w:t>Тому</w:t>
      </w:r>
      <w:r w:rsidR="000E124D" w:rsidRPr="00D5798E">
        <w:rPr>
          <w:rFonts w:eastAsia="Times New Roman"/>
          <w:color w:val="auto"/>
          <w:sz w:val="28"/>
          <w:szCs w:val="28"/>
        </w:rPr>
        <w:t xml:space="preserve"> </w:t>
      </w:r>
      <w:r w:rsidR="00D76A37" w:rsidRPr="00D5798E">
        <w:rPr>
          <w:rFonts w:eastAsia="Times New Roman"/>
          <w:color w:val="auto"/>
          <w:sz w:val="28"/>
          <w:szCs w:val="28"/>
        </w:rPr>
        <w:t>запропонован</w:t>
      </w:r>
      <w:r w:rsidR="000E124D" w:rsidRPr="00D5798E">
        <w:rPr>
          <w:rFonts w:eastAsia="Times New Roman"/>
          <w:color w:val="auto"/>
          <w:sz w:val="28"/>
          <w:szCs w:val="28"/>
        </w:rPr>
        <w:t xml:space="preserve">а </w:t>
      </w:r>
      <w:r w:rsidR="00D76A37" w:rsidRPr="00D5798E">
        <w:rPr>
          <w:rFonts w:eastAsia="Times New Roman"/>
          <w:color w:val="auto"/>
          <w:sz w:val="28"/>
          <w:szCs w:val="28"/>
        </w:rPr>
        <w:t xml:space="preserve"> редакці</w:t>
      </w:r>
      <w:r w:rsidR="000E124D" w:rsidRPr="00D5798E">
        <w:rPr>
          <w:rFonts w:eastAsia="Times New Roman"/>
          <w:color w:val="auto"/>
          <w:sz w:val="28"/>
          <w:szCs w:val="28"/>
        </w:rPr>
        <w:t>я</w:t>
      </w:r>
      <w:r w:rsidR="00D76A37" w:rsidRPr="00D5798E">
        <w:rPr>
          <w:rFonts w:eastAsia="Times New Roman"/>
          <w:color w:val="auto"/>
          <w:sz w:val="28"/>
          <w:szCs w:val="28"/>
        </w:rPr>
        <w:t xml:space="preserve"> </w:t>
      </w:r>
      <w:r w:rsidR="000E124D" w:rsidRPr="00D5798E">
        <w:rPr>
          <w:rFonts w:eastAsia="Times New Roman"/>
          <w:color w:val="auto"/>
          <w:sz w:val="28"/>
          <w:szCs w:val="28"/>
        </w:rPr>
        <w:t>норми не має правової визначеності і умов для її реалізації</w:t>
      </w:r>
      <w:r w:rsidR="00D76A37" w:rsidRPr="00D5798E">
        <w:rPr>
          <w:rFonts w:eastAsia="Times New Roman"/>
          <w:color w:val="auto"/>
          <w:sz w:val="28"/>
          <w:szCs w:val="28"/>
        </w:rPr>
        <w:t>.</w:t>
      </w:r>
    </w:p>
    <w:p w14:paraId="2B2670DC" w14:textId="1C4693E4" w:rsidR="00D76A37" w:rsidRPr="00D5798E" w:rsidRDefault="000E124D" w:rsidP="00D5798E">
      <w:pPr>
        <w:spacing w:line="240" w:lineRule="auto"/>
        <w:ind w:firstLine="709"/>
        <w:jc w:val="both"/>
        <w:rPr>
          <w:color w:val="auto"/>
          <w:sz w:val="28"/>
          <w:szCs w:val="28"/>
        </w:rPr>
      </w:pPr>
      <w:r w:rsidRPr="00D5798E">
        <w:rPr>
          <w:rFonts w:eastAsia="Times New Roman"/>
          <w:b/>
          <w:bCs/>
          <w:color w:val="auto"/>
          <w:sz w:val="28"/>
          <w:szCs w:val="28"/>
        </w:rPr>
        <w:t>3</w:t>
      </w:r>
      <w:r w:rsidR="00D76A37" w:rsidRPr="00D5798E">
        <w:rPr>
          <w:rFonts w:eastAsia="Times New Roman"/>
          <w:b/>
          <w:bCs/>
          <w:color w:val="auto"/>
          <w:sz w:val="28"/>
          <w:szCs w:val="28"/>
        </w:rPr>
        <w:t>.</w:t>
      </w:r>
      <w:r w:rsidR="00D76A37" w:rsidRPr="00D5798E">
        <w:rPr>
          <w:rFonts w:eastAsia="Times New Roman"/>
          <w:color w:val="auto"/>
          <w:sz w:val="28"/>
          <w:szCs w:val="28"/>
        </w:rPr>
        <w:t xml:space="preserve"> </w:t>
      </w:r>
      <w:r w:rsidR="00D76A37" w:rsidRPr="00D5798E">
        <w:rPr>
          <w:rFonts w:eastAsia="Times New Roman"/>
          <w:color w:val="auto"/>
          <w:sz w:val="28"/>
          <w:szCs w:val="28"/>
          <w:lang w:eastAsia="en-GB"/>
        </w:rPr>
        <w:t xml:space="preserve">Пропозиція п. 1 р. II «Прикінцеві положення» проекту щодо набрання </w:t>
      </w:r>
      <w:r w:rsidR="00D76A37" w:rsidRPr="00D5798E">
        <w:rPr>
          <w:color w:val="auto"/>
          <w:sz w:val="28"/>
          <w:szCs w:val="28"/>
        </w:rPr>
        <w:t>чинності Законом з дня наступного за днем його офіційного опублікування та застосування з дня набрання чинності відповідного законодавчого акту, яким передбачено</w:t>
      </w:r>
      <w:r w:rsidR="00D76A37" w:rsidRPr="00D5798E">
        <w:rPr>
          <w:color w:val="auto"/>
        </w:rPr>
        <w:t xml:space="preserve"> </w:t>
      </w:r>
      <w:r w:rsidR="00D76A37" w:rsidRPr="00D5798E">
        <w:rPr>
          <w:color w:val="auto"/>
          <w:sz w:val="28"/>
          <w:szCs w:val="28"/>
        </w:rPr>
        <w:t>фінансове забезпечення заходів необхідних для реалізації цього Закону виглядає юридично не сформованою та потребує конкретизації.</w:t>
      </w:r>
    </w:p>
    <w:p w14:paraId="7CC47FE2" w14:textId="6B30C423" w:rsidR="00D76A37" w:rsidRPr="00D5798E" w:rsidRDefault="000E124D" w:rsidP="00D5798E">
      <w:pPr>
        <w:spacing w:line="240" w:lineRule="auto"/>
        <w:ind w:firstLine="709"/>
        <w:jc w:val="both"/>
        <w:rPr>
          <w:rFonts w:eastAsia="Times New Roman"/>
          <w:color w:val="auto"/>
          <w:sz w:val="28"/>
          <w:szCs w:val="28"/>
          <w:lang w:eastAsia="en-GB"/>
        </w:rPr>
      </w:pPr>
      <w:r w:rsidRPr="00D5798E">
        <w:rPr>
          <w:rFonts w:eastAsia="Times New Roman"/>
          <w:b/>
          <w:color w:val="auto"/>
          <w:sz w:val="28"/>
          <w:szCs w:val="28"/>
          <w:lang w:eastAsia="en-GB"/>
        </w:rPr>
        <w:t>4</w:t>
      </w:r>
      <w:r w:rsidR="00D76A37" w:rsidRPr="00D5798E">
        <w:rPr>
          <w:rFonts w:eastAsia="Times New Roman"/>
          <w:b/>
          <w:color w:val="auto"/>
          <w:sz w:val="28"/>
          <w:szCs w:val="28"/>
          <w:lang w:eastAsia="en-GB"/>
        </w:rPr>
        <w:t xml:space="preserve">. </w:t>
      </w:r>
      <w:r w:rsidR="00D76A37" w:rsidRPr="00D5798E">
        <w:rPr>
          <w:rFonts w:eastAsia="Times New Roman"/>
          <w:color w:val="auto"/>
          <w:sz w:val="28"/>
          <w:szCs w:val="28"/>
          <w:lang w:eastAsia="en-GB"/>
        </w:rPr>
        <w:t>Звертаємо також увагу на те, що передбачене у абз</w:t>
      </w:r>
      <w:r w:rsidR="00D5798E" w:rsidRPr="00D5798E">
        <w:rPr>
          <w:rFonts w:eastAsia="Times New Roman"/>
          <w:color w:val="auto"/>
          <w:sz w:val="28"/>
          <w:szCs w:val="28"/>
          <w:lang w:eastAsia="en-GB"/>
        </w:rPr>
        <w:t>. 2 п. 2 розділу</w:t>
      </w:r>
      <w:r w:rsidR="00D76A37" w:rsidRPr="00D5798E">
        <w:rPr>
          <w:rFonts w:eastAsia="Times New Roman"/>
          <w:color w:val="auto"/>
          <w:sz w:val="28"/>
          <w:szCs w:val="28"/>
          <w:lang w:eastAsia="en-GB"/>
        </w:rPr>
        <w:t xml:space="preserve"> II «Прикінцеві положення» проекту доручення Кабінету Міністрів України </w:t>
      </w:r>
      <w:r w:rsidR="00D76A37" w:rsidRPr="00D5798E">
        <w:rPr>
          <w:rFonts w:eastAsia="Times New Roman"/>
          <w:color w:val="auto"/>
          <w:sz w:val="28"/>
          <w:szCs w:val="28"/>
          <w:lang w:eastAsia="en-GB"/>
        </w:rPr>
        <w:br/>
        <w:t xml:space="preserve">«у місячний строк з дня набрання чинності цим Законом подати на розгляд Верховної Ради України пропозиції щодо внесення змін до Закону України </w:t>
      </w:r>
      <w:r w:rsidR="00D5798E" w:rsidRPr="00D5798E">
        <w:rPr>
          <w:rFonts w:eastAsia="Times New Roman"/>
          <w:color w:val="auto"/>
          <w:sz w:val="28"/>
          <w:szCs w:val="28"/>
          <w:lang w:eastAsia="en-GB"/>
        </w:rPr>
        <w:br/>
      </w:r>
      <w:r w:rsidR="00D76A37" w:rsidRPr="00D5798E">
        <w:rPr>
          <w:rFonts w:eastAsia="Times New Roman"/>
          <w:color w:val="auto"/>
          <w:sz w:val="28"/>
          <w:szCs w:val="28"/>
          <w:lang w:eastAsia="en-GB"/>
        </w:rPr>
        <w:t>«Про Державний бюджет України на 2021 рік», необхідних для реалізації цього Закону» з юридичної точки зору виглядає недостатньо коректним. Нагадаємо, що відповідно до ч. 8 ст. 90 Регламенту Верховної Ради України, «якщо для реалізації положень поданого законопроекту після його прийняття необхідні зміни до інших законів, такі зміни мають викладатися в розділі «Перехідні положення» цього законопроекту або в одночасно внесеному його ініціатором окремому законопроекті. До законопроекту додається перелік законів та інших нормативних актів, прийняття або перегляд яких необхідно здійснити для реалізації положень законопроекту в разі його прийняття».</w:t>
      </w:r>
    </w:p>
    <w:p w14:paraId="196B0ABF" w14:textId="1354FC17" w:rsidR="00D76A37" w:rsidRPr="00D5798E" w:rsidRDefault="000E124D" w:rsidP="00D5798E">
      <w:pPr>
        <w:spacing w:line="240" w:lineRule="auto"/>
        <w:ind w:firstLine="709"/>
        <w:jc w:val="both"/>
        <w:rPr>
          <w:rFonts w:eastAsia="Times New Roman"/>
          <w:color w:val="auto"/>
          <w:sz w:val="28"/>
          <w:szCs w:val="28"/>
        </w:rPr>
      </w:pPr>
      <w:r w:rsidRPr="00D5798E">
        <w:rPr>
          <w:b/>
          <w:bCs/>
          <w:color w:val="auto"/>
          <w:sz w:val="28"/>
          <w:szCs w:val="28"/>
        </w:rPr>
        <w:t>5</w:t>
      </w:r>
      <w:r w:rsidR="00D76A37" w:rsidRPr="00D5798E">
        <w:rPr>
          <w:b/>
          <w:bCs/>
          <w:color w:val="auto"/>
          <w:sz w:val="28"/>
          <w:szCs w:val="28"/>
        </w:rPr>
        <w:t>.</w:t>
      </w:r>
      <w:r w:rsidR="00D76A37" w:rsidRPr="00D5798E">
        <w:rPr>
          <w:color w:val="auto"/>
          <w:sz w:val="28"/>
          <w:szCs w:val="28"/>
        </w:rPr>
        <w:t xml:space="preserve"> Варто також відмітити, що реалізація поданої законодавчої ініціативи потребуватиме додаткових бюджетних витрат, у зв’язку з чим необхідним є</w:t>
      </w:r>
      <w:r w:rsidR="00D76A37" w:rsidRPr="00D5798E">
        <w:rPr>
          <w:rFonts w:eastAsia="Times New Roman"/>
          <w:color w:val="auto"/>
          <w:sz w:val="28"/>
          <w:szCs w:val="28"/>
        </w:rPr>
        <w:t xml:space="preserve"> дотримання вимог ст. 91 Регламенту Верховної Ради України та ст. 27 Бюджетного кодексу України щодо надання належного фінансово-економічного обґрунтування проекту, оскільки його прийняття може призвести до зміни показників бюджету. Крім цього, згідно з вимогами вказаних статей Регламенту Верховної Ради України та Бюджетного кодексу України у разі, якщо внесення проекту призведе до зміни показників бюджету, які передбачають збільшення витрат бюджету, до законопроекту мають подаватися пропозиції змін до законодавчих актів щодо скорочення витрат бюджету та/або джерел додаткових надходжень бюджету для досягнення його збалансованості.</w:t>
      </w:r>
    </w:p>
    <w:p w14:paraId="3A880ECA" w14:textId="46FA56C8" w:rsidR="00D76A37" w:rsidRPr="00D5798E" w:rsidRDefault="000E124D" w:rsidP="00D5798E">
      <w:pPr>
        <w:spacing w:line="240" w:lineRule="auto"/>
        <w:ind w:firstLine="709"/>
        <w:contextualSpacing/>
        <w:jc w:val="both"/>
        <w:rPr>
          <w:color w:val="auto"/>
          <w:sz w:val="28"/>
          <w:szCs w:val="28"/>
        </w:rPr>
      </w:pPr>
      <w:r w:rsidRPr="00D5798E">
        <w:rPr>
          <w:b/>
          <w:bCs/>
          <w:color w:val="auto"/>
          <w:sz w:val="28"/>
          <w:szCs w:val="28"/>
        </w:rPr>
        <w:t>6</w:t>
      </w:r>
      <w:r w:rsidR="00D76A37" w:rsidRPr="00D5798E">
        <w:rPr>
          <w:b/>
          <w:bCs/>
          <w:color w:val="auto"/>
          <w:sz w:val="28"/>
          <w:szCs w:val="28"/>
        </w:rPr>
        <w:t xml:space="preserve">. </w:t>
      </w:r>
      <w:r w:rsidR="00D76A37" w:rsidRPr="00D5798E">
        <w:rPr>
          <w:color w:val="auto"/>
          <w:sz w:val="28"/>
          <w:szCs w:val="28"/>
        </w:rPr>
        <w:t xml:space="preserve">Розділом ІІ «Прикінцеві положення» законопроекту передбачається набрання ним чинності «з дня, наступного за днем його опублікування». Звертаємо увагу, що відповідно до вимог ч. 3 ст. 27 Бюджетного кодексу України </w:t>
      </w:r>
      <w:r w:rsidR="00D76A37" w:rsidRPr="00D5798E">
        <w:rPr>
          <w:color w:val="auto"/>
          <w:sz w:val="28"/>
          <w:szCs w:val="28"/>
        </w:rPr>
        <w:lastRenderedPageBreak/>
        <w:t>«закони України або їх окремі положення, які впливають на показники бюджету (зменшують надходження бюджету та/або збільшують витрати бюджету) приймаються не пізніше 15 липня року, що передує плановому та вводяться в дію не раніше початку планового бюджетного періоду, після 15 липня року, що передує плановому, вводяться в дію не раніше початку бюджетного періоду, що настає за плановим».</w:t>
      </w:r>
    </w:p>
    <w:bookmarkEnd w:id="1"/>
    <w:p w14:paraId="27B2E27E" w14:textId="5739DBD5" w:rsidR="005E31AE" w:rsidRPr="00D5798E" w:rsidRDefault="005E31AE" w:rsidP="00D5798E">
      <w:pPr>
        <w:spacing w:line="240" w:lineRule="auto"/>
        <w:jc w:val="both"/>
        <w:rPr>
          <w:rFonts w:eastAsia="Times New Roman"/>
          <w:color w:val="auto"/>
        </w:rPr>
      </w:pPr>
    </w:p>
    <w:p w14:paraId="14A7D0AC" w14:textId="77777777" w:rsidR="005E31AE" w:rsidRPr="00D5798E" w:rsidRDefault="005E31AE" w:rsidP="00D5798E">
      <w:pPr>
        <w:shd w:val="clear" w:color="auto" w:fill="FFFFFF"/>
        <w:tabs>
          <w:tab w:val="left" w:pos="820"/>
        </w:tabs>
        <w:spacing w:line="240" w:lineRule="auto"/>
        <w:ind w:right="-1" w:firstLine="851"/>
        <w:jc w:val="both"/>
        <w:rPr>
          <w:rFonts w:eastAsia="Times New Roman"/>
          <w:color w:val="auto"/>
        </w:rPr>
      </w:pPr>
    </w:p>
    <w:p w14:paraId="04FD023F" w14:textId="77777777" w:rsidR="005E31AE" w:rsidRPr="00D5798E" w:rsidRDefault="005E31AE" w:rsidP="00D5798E">
      <w:pPr>
        <w:pStyle w:val="ab"/>
        <w:spacing w:before="0"/>
        <w:ind w:right="-1" w:firstLine="709"/>
        <w:rPr>
          <w:rFonts w:ascii="Times New Roman" w:hAnsi="Times New Roman"/>
          <w:sz w:val="28"/>
          <w:szCs w:val="28"/>
        </w:rPr>
      </w:pPr>
      <w:r w:rsidRPr="00D5798E">
        <w:rPr>
          <w:rFonts w:ascii="Times New Roman" w:hAnsi="Times New Roman"/>
          <w:sz w:val="28"/>
          <w:szCs w:val="28"/>
        </w:rPr>
        <w:t>Керівник Головного управління</w:t>
      </w:r>
      <w:r w:rsidRPr="00D5798E">
        <w:rPr>
          <w:rFonts w:ascii="Times New Roman" w:hAnsi="Times New Roman"/>
          <w:sz w:val="28"/>
          <w:szCs w:val="28"/>
        </w:rPr>
        <w:tab/>
      </w:r>
      <w:r w:rsidRPr="00D5798E">
        <w:rPr>
          <w:rFonts w:ascii="Times New Roman" w:hAnsi="Times New Roman"/>
          <w:sz w:val="28"/>
          <w:szCs w:val="28"/>
        </w:rPr>
        <w:tab/>
      </w:r>
      <w:r w:rsidRPr="00D5798E">
        <w:rPr>
          <w:rFonts w:ascii="Times New Roman" w:hAnsi="Times New Roman"/>
          <w:sz w:val="28"/>
          <w:szCs w:val="28"/>
        </w:rPr>
        <w:tab/>
      </w:r>
      <w:r w:rsidRPr="00D5798E">
        <w:rPr>
          <w:rFonts w:ascii="Times New Roman" w:hAnsi="Times New Roman"/>
          <w:sz w:val="28"/>
          <w:szCs w:val="28"/>
        </w:rPr>
        <w:tab/>
        <w:t xml:space="preserve">           С. Тихонюк</w:t>
      </w:r>
    </w:p>
    <w:p w14:paraId="794BE15B" w14:textId="77777777" w:rsidR="005E31AE" w:rsidRPr="00D5798E" w:rsidRDefault="005E31AE" w:rsidP="00D5798E">
      <w:pPr>
        <w:tabs>
          <w:tab w:val="left" w:pos="5400"/>
        </w:tabs>
        <w:spacing w:line="240" w:lineRule="auto"/>
        <w:ind w:right="-1" w:firstLine="540"/>
        <w:jc w:val="both"/>
        <w:rPr>
          <w:color w:val="auto"/>
        </w:rPr>
      </w:pPr>
    </w:p>
    <w:p w14:paraId="6F116248" w14:textId="77777777" w:rsidR="005E31AE" w:rsidRPr="00D5798E" w:rsidRDefault="005E31AE" w:rsidP="00D5798E">
      <w:pPr>
        <w:tabs>
          <w:tab w:val="left" w:pos="5400"/>
        </w:tabs>
        <w:spacing w:line="240" w:lineRule="auto"/>
        <w:ind w:right="-1" w:firstLine="540"/>
        <w:jc w:val="both"/>
        <w:rPr>
          <w:color w:val="auto"/>
        </w:rPr>
      </w:pPr>
    </w:p>
    <w:p w14:paraId="08F458AC" w14:textId="7612F325" w:rsidR="005E31AE" w:rsidRPr="00D5798E" w:rsidRDefault="005E31AE" w:rsidP="00D5798E">
      <w:pPr>
        <w:pStyle w:val="a8"/>
        <w:spacing w:line="240" w:lineRule="auto"/>
        <w:ind w:left="0" w:right="-1" w:firstLine="708"/>
        <w:jc w:val="both"/>
        <w:rPr>
          <w:rStyle w:val="aa"/>
          <w:b w:val="0"/>
          <w:sz w:val="20"/>
          <w:szCs w:val="20"/>
        </w:rPr>
      </w:pPr>
      <w:r w:rsidRPr="00D5798E">
        <w:rPr>
          <w:rStyle w:val="aa"/>
          <w:b w:val="0"/>
          <w:sz w:val="20"/>
          <w:szCs w:val="20"/>
        </w:rPr>
        <w:t xml:space="preserve">Вик.: Н. Лаврухіна, </w:t>
      </w:r>
      <w:r w:rsidR="000E124D" w:rsidRPr="00D5798E">
        <w:rPr>
          <w:rStyle w:val="aa"/>
          <w:b w:val="0"/>
          <w:sz w:val="20"/>
          <w:szCs w:val="20"/>
        </w:rPr>
        <w:t>С. Бортнік</w:t>
      </w:r>
    </w:p>
    <w:p w14:paraId="14A8CCF9" w14:textId="77777777" w:rsidR="009E2AB6" w:rsidRPr="00D5798E" w:rsidRDefault="009E2AB6" w:rsidP="00D5798E">
      <w:pPr>
        <w:spacing w:line="240" w:lineRule="auto"/>
        <w:rPr>
          <w:color w:val="auto"/>
        </w:rPr>
      </w:pPr>
    </w:p>
    <w:sectPr w:rsidR="009E2AB6" w:rsidRPr="00D5798E" w:rsidSect="00A45DD3">
      <w:headerReference w:type="default" r:id="rId6"/>
      <w:headerReference w:type="firs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8B0082" w14:textId="77777777" w:rsidR="005A7C4B" w:rsidRDefault="005A7C4B" w:rsidP="009E2AB6">
      <w:pPr>
        <w:spacing w:line="240" w:lineRule="auto"/>
      </w:pPr>
      <w:r>
        <w:separator/>
      </w:r>
    </w:p>
  </w:endnote>
  <w:endnote w:type="continuationSeparator" w:id="0">
    <w:p w14:paraId="22117295" w14:textId="77777777" w:rsidR="005A7C4B" w:rsidRDefault="005A7C4B" w:rsidP="009E2AB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3AA307" w14:textId="77777777" w:rsidR="005A7C4B" w:rsidRDefault="005A7C4B" w:rsidP="009E2AB6">
      <w:pPr>
        <w:spacing w:line="240" w:lineRule="auto"/>
      </w:pPr>
      <w:r>
        <w:separator/>
      </w:r>
    </w:p>
  </w:footnote>
  <w:footnote w:type="continuationSeparator" w:id="0">
    <w:p w14:paraId="10039D6B" w14:textId="77777777" w:rsidR="005A7C4B" w:rsidRDefault="005A7C4B" w:rsidP="009E2AB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4722193"/>
      <w:docPartObj>
        <w:docPartGallery w:val="Page Numbers (Top of Page)"/>
        <w:docPartUnique/>
      </w:docPartObj>
    </w:sdtPr>
    <w:sdtEndPr/>
    <w:sdtContent>
      <w:p w14:paraId="376D24EE" w14:textId="45C28A68" w:rsidR="009E2AB6" w:rsidRDefault="009E2AB6" w:rsidP="00D5798E">
        <w:pPr>
          <w:pStyle w:val="a3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5156">
          <w:rPr>
            <w:noProof/>
          </w:rPr>
          <w:t>3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7009D1" w14:textId="06DE6A8C" w:rsidR="009E2AB6" w:rsidRDefault="009E2AB6" w:rsidP="009E2AB6">
    <w:pPr>
      <w:pStyle w:val="a3"/>
      <w:jc w:val="right"/>
      <w:rPr>
        <w:sz w:val="20"/>
        <w:szCs w:val="20"/>
      </w:rPr>
    </w:pPr>
    <w:r>
      <w:rPr>
        <w:sz w:val="20"/>
        <w:szCs w:val="20"/>
      </w:rPr>
      <w:t>До реєстр. № 5605 від 03.06.2021</w:t>
    </w:r>
  </w:p>
  <w:p w14:paraId="79356A2B" w14:textId="77777777" w:rsidR="009E2AB6" w:rsidRDefault="009E2AB6" w:rsidP="009E2AB6">
    <w:pPr>
      <w:pStyle w:val="a3"/>
      <w:jc w:val="right"/>
      <w:rPr>
        <w:sz w:val="20"/>
        <w:szCs w:val="20"/>
      </w:rPr>
    </w:pPr>
    <w:r>
      <w:rPr>
        <w:sz w:val="20"/>
        <w:szCs w:val="20"/>
      </w:rPr>
      <w:t>Народні депутати України</w:t>
    </w:r>
  </w:p>
  <w:p w14:paraId="1136EC42" w14:textId="77777777" w:rsidR="009E2AB6" w:rsidRPr="009E2AB6" w:rsidRDefault="009E2AB6" w:rsidP="009E2AB6">
    <w:pPr>
      <w:pStyle w:val="a3"/>
      <w:jc w:val="right"/>
      <w:rPr>
        <w:sz w:val="20"/>
        <w:szCs w:val="20"/>
      </w:rPr>
    </w:pPr>
    <w:r>
      <w:rPr>
        <w:sz w:val="20"/>
        <w:szCs w:val="20"/>
      </w:rPr>
      <w:t>А. Поляков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AB6"/>
    <w:rsid w:val="00035156"/>
    <w:rsid w:val="00036986"/>
    <w:rsid w:val="00054C25"/>
    <w:rsid w:val="000E124D"/>
    <w:rsid w:val="002C4648"/>
    <w:rsid w:val="004E36B8"/>
    <w:rsid w:val="005A7C4B"/>
    <w:rsid w:val="005E31AE"/>
    <w:rsid w:val="0068238C"/>
    <w:rsid w:val="007A563C"/>
    <w:rsid w:val="009E2AB6"/>
    <w:rsid w:val="00A45DD3"/>
    <w:rsid w:val="00B52F08"/>
    <w:rsid w:val="00B72120"/>
    <w:rsid w:val="00BC77A8"/>
    <w:rsid w:val="00C5285B"/>
    <w:rsid w:val="00C720CE"/>
    <w:rsid w:val="00CB7406"/>
    <w:rsid w:val="00D5798E"/>
    <w:rsid w:val="00D76A37"/>
    <w:rsid w:val="00E14E31"/>
    <w:rsid w:val="00E31B8F"/>
    <w:rsid w:val="00E96FC7"/>
    <w:rsid w:val="00EA3E3C"/>
    <w:rsid w:val="00FE7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F021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333333"/>
        <w:sz w:val="24"/>
        <w:szCs w:val="24"/>
        <w:lang w:val="uk-UA" w:eastAsia="en-US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2AB6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E2AB6"/>
  </w:style>
  <w:style w:type="paragraph" w:styleId="a5">
    <w:name w:val="footer"/>
    <w:basedOn w:val="a"/>
    <w:link w:val="a6"/>
    <w:uiPriority w:val="99"/>
    <w:unhideWhenUsed/>
    <w:rsid w:val="009E2AB6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E2AB6"/>
  </w:style>
  <w:style w:type="paragraph" w:styleId="a7">
    <w:name w:val="List Paragraph"/>
    <w:basedOn w:val="a"/>
    <w:uiPriority w:val="34"/>
    <w:qFormat/>
    <w:rsid w:val="00C720CE"/>
    <w:pPr>
      <w:ind w:left="720"/>
      <w:contextualSpacing/>
    </w:pPr>
  </w:style>
  <w:style w:type="paragraph" w:styleId="a8">
    <w:name w:val="Body Text Indent"/>
    <w:basedOn w:val="a"/>
    <w:link w:val="a9"/>
    <w:rsid w:val="005E31AE"/>
    <w:pPr>
      <w:spacing w:after="120" w:line="276" w:lineRule="auto"/>
      <w:ind w:left="283"/>
      <w:jc w:val="left"/>
    </w:pPr>
    <w:rPr>
      <w:rFonts w:eastAsia="Calibri"/>
      <w:color w:val="auto"/>
      <w:sz w:val="28"/>
      <w:szCs w:val="22"/>
    </w:rPr>
  </w:style>
  <w:style w:type="character" w:customStyle="1" w:styleId="a9">
    <w:name w:val="Основний текст з відступом Знак"/>
    <w:basedOn w:val="a0"/>
    <w:link w:val="a8"/>
    <w:rsid w:val="005E31AE"/>
    <w:rPr>
      <w:rFonts w:eastAsia="Calibri"/>
      <w:color w:val="auto"/>
      <w:sz w:val="28"/>
      <w:szCs w:val="22"/>
    </w:rPr>
  </w:style>
  <w:style w:type="character" w:styleId="aa">
    <w:name w:val="Strong"/>
    <w:qFormat/>
    <w:rsid w:val="005E31AE"/>
    <w:rPr>
      <w:b/>
    </w:rPr>
  </w:style>
  <w:style w:type="paragraph" w:customStyle="1" w:styleId="ab">
    <w:name w:val="Нормальний текст"/>
    <w:basedOn w:val="a"/>
    <w:link w:val="ac"/>
    <w:rsid w:val="005E31AE"/>
    <w:pPr>
      <w:spacing w:before="120" w:line="240" w:lineRule="auto"/>
      <w:ind w:firstLine="567"/>
      <w:jc w:val="both"/>
    </w:pPr>
    <w:rPr>
      <w:rFonts w:ascii="Antiqua" w:eastAsia="Calibri" w:hAnsi="Antiqua"/>
      <w:color w:val="auto"/>
      <w:sz w:val="26"/>
      <w:szCs w:val="20"/>
      <w:lang w:eastAsia="ru-RU"/>
    </w:rPr>
  </w:style>
  <w:style w:type="character" w:customStyle="1" w:styleId="ac">
    <w:name w:val="Нормальний текст Знак"/>
    <w:link w:val="ab"/>
    <w:locked/>
    <w:rsid w:val="005E31AE"/>
    <w:rPr>
      <w:rFonts w:ascii="Antiqua" w:eastAsia="Calibri" w:hAnsi="Antiqua"/>
      <w:color w:val="auto"/>
      <w:sz w:val="26"/>
      <w:szCs w:val="20"/>
      <w:lang w:eastAsia="ru-RU"/>
    </w:rPr>
  </w:style>
  <w:style w:type="paragraph" w:customStyle="1" w:styleId="rvps2">
    <w:name w:val="rvps2"/>
    <w:basedOn w:val="a"/>
    <w:rsid w:val="005E31AE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lang w:eastAsia="uk-UA"/>
    </w:rPr>
  </w:style>
  <w:style w:type="paragraph" w:styleId="ad">
    <w:name w:val="Balloon Text"/>
    <w:basedOn w:val="a"/>
    <w:link w:val="ae"/>
    <w:uiPriority w:val="99"/>
    <w:semiHidden/>
    <w:unhideWhenUsed/>
    <w:rsid w:val="0003515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0351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3900</Words>
  <Characters>2223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2021-10-06T14:11:00Z</dcterms:created>
  <dcterms:modified xsi:type="dcterms:W3CDTF">2021-10-06T14:11:00Z</dcterms:modified>
</cp:coreProperties>
</file>