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6D18" w:rsidRPr="00605D18" w:rsidRDefault="000F6D18" w:rsidP="000F6D18">
      <w:pPr>
        <w:spacing w:after="0" w:line="240" w:lineRule="auto"/>
        <w:ind w:firstLine="709"/>
        <w:rPr>
          <w:szCs w:val="28"/>
        </w:rPr>
      </w:pPr>
      <w:bookmarkStart w:id="0" w:name="_GoBack"/>
      <w:bookmarkEnd w:id="0"/>
    </w:p>
    <w:p w:rsidR="000F6D18" w:rsidRPr="00605D18" w:rsidRDefault="000F6D18" w:rsidP="000F6D18">
      <w:pPr>
        <w:widowControl w:val="0"/>
        <w:tabs>
          <w:tab w:val="left" w:pos="5328"/>
        </w:tabs>
        <w:spacing w:after="0" w:line="240" w:lineRule="auto"/>
        <w:ind w:firstLine="709"/>
        <w:rPr>
          <w:szCs w:val="28"/>
        </w:rPr>
      </w:pPr>
      <w:r w:rsidRPr="00605D18">
        <w:rPr>
          <w:szCs w:val="28"/>
        </w:rPr>
        <w:tab/>
      </w:r>
    </w:p>
    <w:p w:rsidR="000F6D18" w:rsidRPr="00605D18" w:rsidRDefault="000F6D18" w:rsidP="000F6D18">
      <w:pPr>
        <w:pStyle w:val="7"/>
        <w:keepNext w:val="0"/>
        <w:widowControl w:val="0"/>
        <w:ind w:firstLine="709"/>
        <w:rPr>
          <w:rFonts w:ascii="Times New Roman" w:hAnsi="Times New Roman" w:cs="Times New Roman"/>
        </w:rPr>
      </w:pPr>
    </w:p>
    <w:p w:rsidR="000F6D18" w:rsidRPr="00605D18" w:rsidRDefault="000F6D18" w:rsidP="000F6D18">
      <w:pPr>
        <w:pStyle w:val="7"/>
        <w:keepNext w:val="0"/>
        <w:widowControl w:val="0"/>
        <w:ind w:firstLine="709"/>
        <w:rPr>
          <w:rFonts w:ascii="Times New Roman" w:hAnsi="Times New Roman" w:cs="Times New Roman"/>
        </w:rPr>
      </w:pPr>
    </w:p>
    <w:p w:rsidR="000F6D18" w:rsidRPr="00605D18" w:rsidRDefault="000F6D18" w:rsidP="000F6D18">
      <w:pPr>
        <w:pStyle w:val="7"/>
        <w:keepNext w:val="0"/>
        <w:widowControl w:val="0"/>
        <w:ind w:firstLine="709"/>
        <w:rPr>
          <w:rFonts w:ascii="Times New Roman" w:hAnsi="Times New Roman" w:cs="Times New Roman"/>
        </w:rPr>
      </w:pPr>
    </w:p>
    <w:p w:rsidR="000F6D18" w:rsidRPr="00605D18" w:rsidRDefault="000F6D18" w:rsidP="000F6D18">
      <w:pPr>
        <w:pStyle w:val="7"/>
        <w:keepNext w:val="0"/>
        <w:widowControl w:val="0"/>
        <w:ind w:firstLine="709"/>
        <w:rPr>
          <w:rFonts w:ascii="Times New Roman" w:hAnsi="Times New Roman" w:cs="Times New Roman"/>
        </w:rPr>
      </w:pPr>
    </w:p>
    <w:p w:rsidR="000F6D18" w:rsidRPr="00605D18" w:rsidRDefault="000F6D18" w:rsidP="000F6D18">
      <w:pPr>
        <w:pStyle w:val="7"/>
        <w:keepNext w:val="0"/>
        <w:widowControl w:val="0"/>
        <w:ind w:firstLine="0"/>
        <w:rPr>
          <w:rFonts w:ascii="Times New Roman" w:hAnsi="Times New Roman" w:cs="Times New Roman"/>
        </w:rPr>
      </w:pPr>
      <w:r w:rsidRPr="00605D18">
        <w:rPr>
          <w:rFonts w:ascii="Times New Roman" w:hAnsi="Times New Roman" w:cs="Times New Roman"/>
        </w:rPr>
        <w:t>ВИСНОВОК</w:t>
      </w:r>
    </w:p>
    <w:p w:rsidR="000F6D18" w:rsidRPr="00605D18" w:rsidRDefault="000F6D18" w:rsidP="000F6D18">
      <w:pPr>
        <w:pStyle w:val="3"/>
        <w:shd w:val="clear" w:color="auto" w:fill="FFFFFF"/>
        <w:spacing w:before="0" w:line="240" w:lineRule="auto"/>
        <w:jc w:val="center"/>
        <w:textAlignment w:val="baseline"/>
        <w:rPr>
          <w:rFonts w:ascii="Times New Roman" w:eastAsia="Times New Roman" w:hAnsi="Times New Roman" w:cs="Times New Roman"/>
          <w:b/>
          <w:bCs/>
          <w:color w:val="auto"/>
          <w:sz w:val="28"/>
          <w:szCs w:val="28"/>
          <w:lang w:eastAsia="ru-RU"/>
        </w:rPr>
      </w:pPr>
      <w:r w:rsidRPr="00605D18">
        <w:rPr>
          <w:rFonts w:ascii="Times New Roman" w:eastAsia="Times New Roman" w:hAnsi="Times New Roman" w:cs="Times New Roman"/>
          <w:b/>
          <w:bCs/>
          <w:color w:val="auto"/>
          <w:sz w:val="28"/>
          <w:szCs w:val="28"/>
          <w:lang w:eastAsia="ru-RU"/>
        </w:rPr>
        <w:t xml:space="preserve">на проект Закону України </w:t>
      </w:r>
    </w:p>
    <w:p w:rsidR="000F6D18" w:rsidRPr="00605D18" w:rsidRDefault="000F6D18" w:rsidP="000F6D18">
      <w:pPr>
        <w:pStyle w:val="3"/>
        <w:shd w:val="clear" w:color="auto" w:fill="FFFFFF"/>
        <w:spacing w:before="0" w:line="240" w:lineRule="auto"/>
        <w:jc w:val="center"/>
        <w:textAlignment w:val="baseline"/>
        <w:rPr>
          <w:rFonts w:ascii="Times New Roman" w:eastAsia="Times New Roman" w:hAnsi="Times New Roman" w:cs="Times New Roman"/>
          <w:b/>
          <w:bCs/>
          <w:color w:val="auto"/>
          <w:sz w:val="28"/>
          <w:szCs w:val="28"/>
          <w:lang w:eastAsia="ru-RU"/>
        </w:rPr>
      </w:pPr>
      <w:r w:rsidRPr="00605D18">
        <w:rPr>
          <w:rFonts w:ascii="Times New Roman" w:eastAsia="Times New Roman" w:hAnsi="Times New Roman" w:cs="Times New Roman"/>
          <w:b/>
          <w:bCs/>
          <w:color w:val="auto"/>
          <w:sz w:val="28"/>
          <w:szCs w:val="28"/>
          <w:lang w:eastAsia="ru-RU"/>
        </w:rPr>
        <w:t>«</w:t>
      </w:r>
      <w:bookmarkStart w:id="1" w:name="_Hlk36729976"/>
      <w:r w:rsidRPr="00605D18">
        <w:rPr>
          <w:rFonts w:ascii="Times New Roman" w:eastAsia="Times New Roman" w:hAnsi="Times New Roman" w:cs="Times New Roman"/>
          <w:b/>
          <w:bCs/>
          <w:color w:val="auto"/>
          <w:sz w:val="28"/>
          <w:szCs w:val="28"/>
          <w:lang w:eastAsia="ru-RU"/>
        </w:rPr>
        <w:t xml:space="preserve">Про </w:t>
      </w:r>
      <w:bookmarkEnd w:id="1"/>
      <w:r w:rsidRPr="00605D18">
        <w:rPr>
          <w:rFonts w:ascii="Times New Roman" w:eastAsia="Times New Roman" w:hAnsi="Times New Roman" w:cs="Times New Roman"/>
          <w:b/>
          <w:bCs/>
          <w:color w:val="auto"/>
          <w:sz w:val="28"/>
          <w:szCs w:val="28"/>
          <w:lang w:eastAsia="ru-RU"/>
        </w:rPr>
        <w:t>внесення змін до деяких законодавчих актів щодо застосування обмежувальних заходів протидії домашньому насильству</w:t>
      </w:r>
      <w:r w:rsidRPr="00605D18">
        <w:rPr>
          <w:rFonts w:ascii="Times New Roman" w:hAnsi="Times New Roman" w:cs="Times New Roman"/>
          <w:b/>
          <w:bCs/>
          <w:color w:val="auto"/>
          <w:sz w:val="28"/>
          <w:szCs w:val="28"/>
        </w:rPr>
        <w:t>»</w:t>
      </w:r>
    </w:p>
    <w:p w:rsidR="000F6D18" w:rsidRPr="00605D18" w:rsidRDefault="000F6D18" w:rsidP="000F6D18">
      <w:pPr>
        <w:pStyle w:val="a3"/>
        <w:ind w:firstLine="709"/>
        <w:rPr>
          <w:rFonts w:ascii="Times New Roman" w:hAnsi="Times New Roman" w:cs="Times New Roman"/>
        </w:rPr>
      </w:pPr>
    </w:p>
    <w:p w:rsidR="00CF5E3A" w:rsidRPr="00605D18" w:rsidRDefault="000F6D18" w:rsidP="00E3410A">
      <w:pPr>
        <w:spacing w:after="0" w:line="240" w:lineRule="auto"/>
        <w:ind w:firstLine="709"/>
        <w:jc w:val="both"/>
        <w:rPr>
          <w:szCs w:val="28"/>
        </w:rPr>
      </w:pPr>
      <w:r w:rsidRPr="00605D18">
        <w:rPr>
          <w:szCs w:val="28"/>
        </w:rPr>
        <w:t xml:space="preserve">Метою законопроекту, як це зазначається у пояснювальній записці до нього, є </w:t>
      </w:r>
      <w:r w:rsidR="00CF5E3A" w:rsidRPr="00605D18">
        <w:rPr>
          <w:szCs w:val="28"/>
        </w:rPr>
        <w:t>врегулювання питання застосування обмежувальних заходів протидії домашньому насильству в частині застосування електронних засобів контролю, які відстежують виконання кривдником вимог обмежувальних приписів та обмежувальних заходів і стосуються заборони наближатися до потерпілої особи.</w:t>
      </w:r>
    </w:p>
    <w:p w:rsidR="00625964" w:rsidRPr="003C3503" w:rsidRDefault="000F6D18" w:rsidP="006C7406">
      <w:pPr>
        <w:autoSpaceDE w:val="0"/>
        <w:autoSpaceDN w:val="0"/>
        <w:adjustRightInd w:val="0"/>
        <w:spacing w:after="0" w:line="240" w:lineRule="auto"/>
        <w:ind w:firstLine="709"/>
        <w:jc w:val="both"/>
        <w:rPr>
          <w:szCs w:val="28"/>
        </w:rPr>
      </w:pPr>
      <w:r w:rsidRPr="00605D18">
        <w:rPr>
          <w:szCs w:val="28"/>
        </w:rPr>
        <w:t>Для досягнення зазначеної ме</w:t>
      </w:r>
      <w:r w:rsidR="00625964" w:rsidRPr="00605D18">
        <w:rPr>
          <w:szCs w:val="28"/>
        </w:rPr>
        <w:t>ти у законопроекті пропонується: 1) передбачити заборону наближатися на визначену відстань до особи, яка постраждала від домашнього насильства, в якості обмежувального заходу, що застосовується до особи, яка вчинила домашнє насильство (</w:t>
      </w:r>
      <w:r w:rsidR="00BC70F0" w:rsidRPr="00605D18">
        <w:rPr>
          <w:szCs w:val="28"/>
        </w:rPr>
        <w:t xml:space="preserve">новий </w:t>
      </w:r>
      <w:r w:rsidR="00625964" w:rsidRPr="00605D18">
        <w:rPr>
          <w:szCs w:val="28"/>
        </w:rPr>
        <w:t xml:space="preserve">п. 6 ч. 1 </w:t>
      </w:r>
      <w:r w:rsidR="00BC70F0" w:rsidRPr="00605D18">
        <w:rPr>
          <w:szCs w:val="28"/>
        </w:rPr>
        <w:br/>
      </w:r>
      <w:r w:rsidR="00625964" w:rsidRPr="00605D18">
        <w:rPr>
          <w:szCs w:val="28"/>
        </w:rPr>
        <w:t>ст. 91-1 Кримінального кодексу України; далі – КК)</w:t>
      </w:r>
      <w:r w:rsidR="008E44F7" w:rsidRPr="00605D18">
        <w:rPr>
          <w:szCs w:val="28"/>
        </w:rPr>
        <w:t>,</w:t>
      </w:r>
      <w:r w:rsidR="00805268" w:rsidRPr="00605D18">
        <w:rPr>
          <w:szCs w:val="28"/>
        </w:rPr>
        <w:t xml:space="preserve"> або обмежувального припису стосовно кривдника (</w:t>
      </w:r>
      <w:r w:rsidR="00BC70F0" w:rsidRPr="00605D18">
        <w:rPr>
          <w:szCs w:val="28"/>
        </w:rPr>
        <w:t xml:space="preserve">новий </w:t>
      </w:r>
      <w:r w:rsidR="00805268" w:rsidRPr="00605D18">
        <w:rPr>
          <w:szCs w:val="28"/>
        </w:rPr>
        <w:t xml:space="preserve">п. 7 ч. </w:t>
      </w:r>
      <w:r w:rsidR="000C7B68" w:rsidRPr="00605D18">
        <w:rPr>
          <w:szCs w:val="28"/>
        </w:rPr>
        <w:t xml:space="preserve">2 ст. 26 Закону України </w:t>
      </w:r>
      <w:r w:rsidR="00394599" w:rsidRPr="00605D18">
        <w:rPr>
          <w:szCs w:val="28"/>
        </w:rPr>
        <w:br/>
      </w:r>
      <w:r w:rsidR="000C7B68" w:rsidRPr="00605D18">
        <w:rPr>
          <w:szCs w:val="28"/>
        </w:rPr>
        <w:t>«Про запобігання та протидію домашньому насильству»)</w:t>
      </w:r>
      <w:r w:rsidR="00625964" w:rsidRPr="00605D18">
        <w:rPr>
          <w:szCs w:val="28"/>
        </w:rPr>
        <w:t xml:space="preserve">; 2) внести зміни до Кримінального процесуального кодексу України (далі – КПК) </w:t>
      </w:r>
      <w:r w:rsidR="00805268" w:rsidRPr="00605D18">
        <w:rPr>
          <w:szCs w:val="28"/>
        </w:rPr>
        <w:t xml:space="preserve">та </w:t>
      </w:r>
      <w:r w:rsidR="00BC70F0" w:rsidRPr="00605D18">
        <w:rPr>
          <w:szCs w:val="28"/>
        </w:rPr>
        <w:t xml:space="preserve">до Цивільного процесуального кодексу України (далі – ЦПК) </w:t>
      </w:r>
      <w:r w:rsidR="00625964" w:rsidRPr="00605D18">
        <w:rPr>
          <w:szCs w:val="28"/>
        </w:rPr>
        <w:t>задля забезпечення виконання підозрюваним, обвинуваченим</w:t>
      </w:r>
      <w:r w:rsidR="00394599" w:rsidRPr="00605D18">
        <w:rPr>
          <w:szCs w:val="28"/>
        </w:rPr>
        <w:t xml:space="preserve">, кривдником </w:t>
      </w:r>
      <w:r w:rsidR="00625964" w:rsidRPr="00605D18">
        <w:rPr>
          <w:szCs w:val="28"/>
        </w:rPr>
        <w:t xml:space="preserve">вказаного </w:t>
      </w:r>
      <w:r w:rsidR="00D51097" w:rsidRPr="00605D18">
        <w:rPr>
          <w:szCs w:val="28"/>
        </w:rPr>
        <w:t xml:space="preserve">вище </w:t>
      </w:r>
      <w:r w:rsidR="00625964" w:rsidRPr="00605D18">
        <w:rPr>
          <w:szCs w:val="28"/>
        </w:rPr>
        <w:t>обмежувального заходу</w:t>
      </w:r>
      <w:r w:rsidR="00394599" w:rsidRPr="00605D18">
        <w:rPr>
          <w:szCs w:val="28"/>
        </w:rPr>
        <w:t>/припису</w:t>
      </w:r>
      <w:r w:rsidR="00625964" w:rsidRPr="00605D18">
        <w:rPr>
          <w:szCs w:val="28"/>
        </w:rPr>
        <w:t xml:space="preserve">; 3) </w:t>
      </w:r>
      <w:r w:rsidR="00300A09" w:rsidRPr="00605D18">
        <w:rPr>
          <w:szCs w:val="28"/>
        </w:rPr>
        <w:t xml:space="preserve">доповнити Кримінально-виконавчий кодекс України (далі – КВК) новою </w:t>
      </w:r>
      <w:r w:rsidR="00300A09" w:rsidRPr="003C3503">
        <w:rPr>
          <w:szCs w:val="28"/>
        </w:rPr>
        <w:t xml:space="preserve">ст. 85-1 «Порядок виконання обмежувального заходу, що застосовується до осіб, які вчинили домашнє насильство»; 4) </w:t>
      </w:r>
      <w:r w:rsidR="00625964" w:rsidRPr="003C3503">
        <w:rPr>
          <w:szCs w:val="28"/>
        </w:rPr>
        <w:t>встановити адміністративну відповідальність за порушення встановленого порядку застосування електронного засобу контролю особою, яка постраждала від домашнього насильства (нова ст. 173-5 Кодексу України про адміністративн</w:t>
      </w:r>
      <w:r w:rsidR="00300A09" w:rsidRPr="003C3503">
        <w:rPr>
          <w:szCs w:val="28"/>
        </w:rPr>
        <w:t>і правопорушення; далі – КУпАП)</w:t>
      </w:r>
      <w:r w:rsidR="00E15833" w:rsidRPr="003C3503">
        <w:rPr>
          <w:szCs w:val="28"/>
        </w:rPr>
        <w:t xml:space="preserve"> тощо</w:t>
      </w:r>
      <w:r w:rsidR="00394599" w:rsidRPr="003C3503">
        <w:rPr>
          <w:szCs w:val="28"/>
        </w:rPr>
        <w:t>.</w:t>
      </w:r>
    </w:p>
    <w:p w:rsidR="000F6D18" w:rsidRPr="003C3503" w:rsidRDefault="000F6D18" w:rsidP="006C7406">
      <w:pPr>
        <w:tabs>
          <w:tab w:val="left" w:pos="567"/>
        </w:tabs>
        <w:spacing w:after="0" w:line="240" w:lineRule="auto"/>
        <w:ind w:firstLine="709"/>
        <w:jc w:val="both"/>
        <w:rPr>
          <w:szCs w:val="28"/>
        </w:rPr>
      </w:pPr>
      <w:r w:rsidRPr="003C3503">
        <w:rPr>
          <w:szCs w:val="28"/>
        </w:rPr>
        <w:t xml:space="preserve">Законопроект на момент </w:t>
      </w:r>
      <w:r w:rsidR="003920C3" w:rsidRPr="003C3503">
        <w:rPr>
          <w:szCs w:val="28"/>
        </w:rPr>
        <w:t>підготовки висновку</w:t>
      </w:r>
      <w:r w:rsidRPr="003C3503">
        <w:rPr>
          <w:szCs w:val="28"/>
        </w:rPr>
        <w:t xml:space="preserve"> не включений до Плану законопроектної</w:t>
      </w:r>
      <w:r w:rsidR="003920C3" w:rsidRPr="003C3503">
        <w:rPr>
          <w:szCs w:val="28"/>
        </w:rPr>
        <w:t xml:space="preserve"> роботи Верховної Ради України </w:t>
      </w:r>
      <w:r w:rsidRPr="003C3503">
        <w:rPr>
          <w:szCs w:val="28"/>
        </w:rPr>
        <w:t>на 2021 рік, затвердженого постановою Верховної Ради України від 02.02.2021 № 1165-ІХ.</w:t>
      </w:r>
    </w:p>
    <w:p w:rsidR="00137D2F" w:rsidRPr="003C3503" w:rsidRDefault="000F6D18" w:rsidP="006C7406">
      <w:pPr>
        <w:pStyle w:val="a3"/>
        <w:ind w:firstLine="709"/>
        <w:rPr>
          <w:rFonts w:ascii="Times New Roman" w:hAnsi="Times New Roman" w:cs="Times New Roman"/>
        </w:rPr>
      </w:pPr>
      <w:r w:rsidRPr="003C3503">
        <w:rPr>
          <w:rFonts w:ascii="Times New Roman" w:hAnsi="Times New Roman" w:cs="Times New Roman"/>
        </w:rPr>
        <w:t>За результатами аналізу поданого законопроекту Головне управління вважає за необхідне висловити наступні зауваження та пропозиції.</w:t>
      </w:r>
    </w:p>
    <w:p w:rsidR="006A31BD" w:rsidRPr="00605D18" w:rsidRDefault="007D1B0F" w:rsidP="006A31BD">
      <w:pPr>
        <w:spacing w:after="0" w:line="240" w:lineRule="auto"/>
        <w:ind w:firstLine="709"/>
        <w:jc w:val="both"/>
        <w:rPr>
          <w:szCs w:val="28"/>
        </w:rPr>
      </w:pPr>
      <w:r w:rsidRPr="003C3503">
        <w:rPr>
          <w:b/>
        </w:rPr>
        <w:t>1.</w:t>
      </w:r>
      <w:r w:rsidRPr="003C3503">
        <w:t xml:space="preserve"> </w:t>
      </w:r>
      <w:r w:rsidR="007624A2" w:rsidRPr="003C3503">
        <w:t>Аналіз запропонованих проектом змін свідчить</w:t>
      </w:r>
      <w:r w:rsidR="007624A2" w:rsidRPr="00605D18">
        <w:t xml:space="preserve"> про пропозицію </w:t>
      </w:r>
      <w:r w:rsidR="007624A2" w:rsidRPr="00605D18">
        <w:rPr>
          <w:szCs w:val="28"/>
        </w:rPr>
        <w:t xml:space="preserve">врегулювати питання </w:t>
      </w:r>
      <w:r w:rsidR="00B85EB0" w:rsidRPr="00605D18">
        <w:rPr>
          <w:szCs w:val="28"/>
        </w:rPr>
        <w:t>реалізації</w:t>
      </w:r>
      <w:r w:rsidR="007624A2" w:rsidRPr="00605D18">
        <w:rPr>
          <w:szCs w:val="28"/>
        </w:rPr>
        <w:t xml:space="preserve"> </w:t>
      </w:r>
      <w:r w:rsidR="00760DB5" w:rsidRPr="00605D18">
        <w:rPr>
          <w:szCs w:val="28"/>
        </w:rPr>
        <w:t xml:space="preserve">такого </w:t>
      </w:r>
      <w:r w:rsidR="007624A2" w:rsidRPr="00605D18">
        <w:rPr>
          <w:szCs w:val="28"/>
        </w:rPr>
        <w:t>обмежувальн</w:t>
      </w:r>
      <w:r w:rsidR="00760DB5" w:rsidRPr="00605D18">
        <w:rPr>
          <w:szCs w:val="28"/>
        </w:rPr>
        <w:t>ого</w:t>
      </w:r>
      <w:r w:rsidR="007624A2" w:rsidRPr="00605D18">
        <w:rPr>
          <w:szCs w:val="28"/>
        </w:rPr>
        <w:t xml:space="preserve"> заход</w:t>
      </w:r>
      <w:r w:rsidR="00760DB5" w:rsidRPr="00605D18">
        <w:rPr>
          <w:szCs w:val="28"/>
        </w:rPr>
        <w:t>у</w:t>
      </w:r>
      <w:r w:rsidR="007624A2" w:rsidRPr="00605D18">
        <w:rPr>
          <w:szCs w:val="28"/>
        </w:rPr>
        <w:t>/припис</w:t>
      </w:r>
      <w:r w:rsidR="00760DB5" w:rsidRPr="00605D18">
        <w:rPr>
          <w:szCs w:val="28"/>
        </w:rPr>
        <w:t>у</w:t>
      </w:r>
      <w:r w:rsidR="007624A2" w:rsidRPr="00605D18">
        <w:rPr>
          <w:szCs w:val="28"/>
        </w:rPr>
        <w:t xml:space="preserve"> протидії домашньому насильству</w:t>
      </w:r>
      <w:r w:rsidR="001A2B34" w:rsidRPr="00605D18">
        <w:rPr>
          <w:szCs w:val="28"/>
          <w:lang w:val="ru-RU"/>
        </w:rPr>
        <w:t xml:space="preserve"> (</w:t>
      </w:r>
      <w:r w:rsidR="00B85EB0" w:rsidRPr="00605D18">
        <w:rPr>
          <w:szCs w:val="28"/>
        </w:rPr>
        <w:t xml:space="preserve">що </w:t>
      </w:r>
      <w:r w:rsidR="00760DB5" w:rsidRPr="00605D18">
        <w:rPr>
          <w:szCs w:val="28"/>
        </w:rPr>
        <w:t xml:space="preserve">має </w:t>
      </w:r>
      <w:r w:rsidR="00B85EB0" w:rsidRPr="00605D18">
        <w:rPr>
          <w:szCs w:val="28"/>
        </w:rPr>
        <w:t>застосову</w:t>
      </w:r>
      <w:r w:rsidR="00760DB5" w:rsidRPr="00605D18">
        <w:rPr>
          <w:szCs w:val="28"/>
        </w:rPr>
        <w:t>ватися</w:t>
      </w:r>
      <w:r w:rsidR="00B85EB0" w:rsidRPr="00605D18">
        <w:rPr>
          <w:szCs w:val="28"/>
        </w:rPr>
        <w:t xml:space="preserve"> до осіб, </w:t>
      </w:r>
      <w:r w:rsidR="00B85EB0" w:rsidRPr="00605D18">
        <w:rPr>
          <w:rFonts w:eastAsia="Times New Roman"/>
          <w:szCs w:val="28"/>
          <w:lang w:eastAsia="uk-UA"/>
        </w:rPr>
        <w:t>які вчинили таке насильство</w:t>
      </w:r>
      <w:r w:rsidR="001A2B34" w:rsidRPr="00605D18">
        <w:rPr>
          <w:rFonts w:eastAsia="Times New Roman"/>
          <w:szCs w:val="28"/>
          <w:lang w:val="ru-RU" w:eastAsia="uk-UA"/>
        </w:rPr>
        <w:t>)</w:t>
      </w:r>
      <w:r w:rsidR="00B85EB0" w:rsidRPr="00605D18">
        <w:rPr>
          <w:rFonts w:eastAsia="Times New Roman"/>
          <w:szCs w:val="28"/>
          <w:lang w:eastAsia="uk-UA"/>
        </w:rPr>
        <w:t xml:space="preserve">, </w:t>
      </w:r>
      <w:r w:rsidR="00760DB5" w:rsidRPr="00605D18">
        <w:rPr>
          <w:rFonts w:eastAsia="Times New Roman"/>
          <w:szCs w:val="28"/>
          <w:lang w:eastAsia="uk-UA"/>
        </w:rPr>
        <w:t>як</w:t>
      </w:r>
      <w:r w:rsidR="00B85EB0" w:rsidRPr="00605D18">
        <w:rPr>
          <w:rFonts w:eastAsia="Times New Roman"/>
          <w:szCs w:val="28"/>
          <w:lang w:eastAsia="uk-UA"/>
        </w:rPr>
        <w:t xml:space="preserve"> </w:t>
      </w:r>
      <w:r w:rsidR="00B85EB0" w:rsidRPr="00605D18">
        <w:rPr>
          <w:szCs w:val="28"/>
        </w:rPr>
        <w:t>заборон</w:t>
      </w:r>
      <w:r w:rsidR="00760DB5" w:rsidRPr="00605D18">
        <w:rPr>
          <w:szCs w:val="28"/>
        </w:rPr>
        <w:t>а</w:t>
      </w:r>
      <w:r w:rsidR="00B85EB0" w:rsidRPr="00605D18">
        <w:rPr>
          <w:szCs w:val="28"/>
        </w:rPr>
        <w:t xml:space="preserve"> наближатися на визначену відстань до відповідної категорії потерпілих осіб. Задля забезпечення виконання вказаного обмежувального заходу/припису </w:t>
      </w:r>
      <w:r w:rsidR="00760DB5" w:rsidRPr="00605D18">
        <w:rPr>
          <w:szCs w:val="28"/>
        </w:rPr>
        <w:t xml:space="preserve">пропонується покласти обов’язок носити </w:t>
      </w:r>
      <w:r w:rsidR="00760DB5" w:rsidRPr="00605D18">
        <w:rPr>
          <w:szCs w:val="28"/>
        </w:rPr>
        <w:lastRenderedPageBreak/>
        <w:t xml:space="preserve">електронний засіб контролю </w:t>
      </w:r>
      <w:r w:rsidR="00CB38FF" w:rsidRPr="00605D18">
        <w:t xml:space="preserve">(далі – ЕЗК) </w:t>
      </w:r>
      <w:r w:rsidR="00760DB5" w:rsidRPr="00605D18">
        <w:rPr>
          <w:szCs w:val="28"/>
        </w:rPr>
        <w:t xml:space="preserve">на </w:t>
      </w:r>
      <w:r w:rsidR="00373B81" w:rsidRPr="00605D18">
        <w:rPr>
          <w:szCs w:val="28"/>
        </w:rPr>
        <w:t xml:space="preserve">кривдника, </w:t>
      </w:r>
      <w:r w:rsidR="00760DB5" w:rsidRPr="00605D18">
        <w:rPr>
          <w:szCs w:val="28"/>
        </w:rPr>
        <w:t>підозрюваного, обвинуваченого</w:t>
      </w:r>
      <w:r w:rsidR="00B85EB0" w:rsidRPr="00605D18">
        <w:rPr>
          <w:szCs w:val="28"/>
        </w:rPr>
        <w:t xml:space="preserve">, </w:t>
      </w:r>
      <w:r w:rsidR="00FF6131" w:rsidRPr="00605D18">
        <w:rPr>
          <w:szCs w:val="28"/>
        </w:rPr>
        <w:t>т</w:t>
      </w:r>
      <w:r w:rsidR="00950AF7" w:rsidRPr="00605D18">
        <w:rPr>
          <w:szCs w:val="28"/>
        </w:rPr>
        <w:t xml:space="preserve">а </w:t>
      </w:r>
      <w:r w:rsidR="00FF6131" w:rsidRPr="00605D18">
        <w:rPr>
          <w:szCs w:val="28"/>
        </w:rPr>
        <w:t xml:space="preserve">надати такий засіб контролю </w:t>
      </w:r>
      <w:r w:rsidR="00373B81" w:rsidRPr="00605D18">
        <w:rPr>
          <w:szCs w:val="28"/>
        </w:rPr>
        <w:t>постраждалій особі/</w:t>
      </w:r>
      <w:r w:rsidR="00FF6131" w:rsidRPr="00605D18">
        <w:rPr>
          <w:szCs w:val="28"/>
        </w:rPr>
        <w:t>потерпілому від кримінального правопорушення, пов’язаного з домашнім насильством</w:t>
      </w:r>
      <w:r w:rsidR="00373B81" w:rsidRPr="00605D18">
        <w:rPr>
          <w:szCs w:val="28"/>
        </w:rPr>
        <w:t xml:space="preserve">, що дасть змогу відслідковувати та фіксувати наближення небезпечних для жертви домашнього насильства </w:t>
      </w:r>
      <w:r w:rsidR="002B479B" w:rsidRPr="00605D18">
        <w:rPr>
          <w:szCs w:val="28"/>
        </w:rPr>
        <w:t xml:space="preserve">суб’єктів (ч. 7 ст. </w:t>
      </w:r>
      <w:r w:rsidR="002B479B" w:rsidRPr="00605D18">
        <w:rPr>
          <w:bCs/>
        </w:rPr>
        <w:t>195</w:t>
      </w:r>
      <w:r w:rsidR="002B479B" w:rsidRPr="00605D18">
        <w:rPr>
          <w:szCs w:val="28"/>
        </w:rPr>
        <w:t xml:space="preserve"> КПК та </w:t>
      </w:r>
      <w:r w:rsidR="006C7406" w:rsidRPr="00605D18">
        <w:rPr>
          <w:szCs w:val="28"/>
        </w:rPr>
        <w:br/>
      </w:r>
      <w:r w:rsidR="00920909" w:rsidRPr="00605D18">
        <w:rPr>
          <w:szCs w:val="28"/>
        </w:rPr>
        <w:t>ч.</w:t>
      </w:r>
      <w:r w:rsidR="006C7406" w:rsidRPr="00605D18">
        <w:rPr>
          <w:szCs w:val="28"/>
        </w:rPr>
        <w:t xml:space="preserve"> </w:t>
      </w:r>
      <w:r w:rsidR="002B479B" w:rsidRPr="00605D18">
        <w:rPr>
          <w:szCs w:val="28"/>
        </w:rPr>
        <w:t>3 ст. 350-8 ЦПК у</w:t>
      </w:r>
      <w:r w:rsidR="006C7406" w:rsidRPr="00605D18">
        <w:rPr>
          <w:szCs w:val="28"/>
        </w:rPr>
        <w:t xml:space="preserve"> </w:t>
      </w:r>
      <w:r w:rsidR="002B479B" w:rsidRPr="00605D18">
        <w:rPr>
          <w:szCs w:val="28"/>
        </w:rPr>
        <w:t xml:space="preserve">редакції проекту). </w:t>
      </w:r>
      <w:r w:rsidR="006A31BD" w:rsidRPr="00605D18">
        <w:rPr>
          <w:szCs w:val="28"/>
        </w:rPr>
        <w:t xml:space="preserve">Крім того, у проекті пропонується встановити адміністративну відповідальність за умисне порушення встановленого порядку застосування ЕЗК особою, яка постраждала від домашнього насильства, який їй було надано з метою виконання підозрюваним, обвинуваченим, засудженим, кривдником обмежувального припису (нова </w:t>
      </w:r>
      <w:r w:rsidR="007D6A81" w:rsidRPr="00605D18">
        <w:rPr>
          <w:szCs w:val="28"/>
        </w:rPr>
        <w:br/>
      </w:r>
      <w:r w:rsidR="006A31BD" w:rsidRPr="00605D18">
        <w:rPr>
          <w:szCs w:val="28"/>
        </w:rPr>
        <w:t>ст. 173-5 КУпАП).</w:t>
      </w:r>
    </w:p>
    <w:p w:rsidR="009E58B7" w:rsidRPr="003C3503" w:rsidRDefault="009E58B7" w:rsidP="009E58B7">
      <w:pPr>
        <w:spacing w:after="0" w:line="240" w:lineRule="auto"/>
        <w:ind w:firstLine="709"/>
        <w:jc w:val="both"/>
        <w:rPr>
          <w:rFonts w:eastAsiaTheme="minorHAnsi"/>
          <w:color w:val="000000"/>
          <w:spacing w:val="-4"/>
        </w:rPr>
      </w:pPr>
      <w:r>
        <w:rPr>
          <w:color w:val="000000"/>
          <w:spacing w:val="-4"/>
        </w:rPr>
        <w:t xml:space="preserve">У цілому не заперечуючи проти запровадження для потерпілих від домашнього </w:t>
      </w:r>
      <w:r w:rsidRPr="003C3503">
        <w:rPr>
          <w:color w:val="000000"/>
          <w:spacing w:val="-4"/>
        </w:rPr>
        <w:t xml:space="preserve">насильства додаткових заходів захисту, вважаємо, що їх функція  мала би зводитись до надання потерпілим технічної можливості виявити наближення тих суб’єктів, яким </w:t>
      </w:r>
      <w:r w:rsidRPr="003C3503">
        <w:t xml:space="preserve">заборонено наближатися на визначену відстань, і повідомити про це правоохоронців. </w:t>
      </w:r>
      <w:r w:rsidRPr="003C3503">
        <w:rPr>
          <w:color w:val="000000"/>
          <w:spacing w:val="-4"/>
        </w:rPr>
        <w:t xml:space="preserve"> Що ж стосується оперативного контролю за пересуванням </w:t>
      </w:r>
      <w:r w:rsidRPr="003C3503">
        <w:rPr>
          <w:color w:val="000000"/>
        </w:rPr>
        <w:t>підозрюваного, обвинуваченого, засудженого, кривдника, то такий контроль мав би здійснюватис</w:t>
      </w:r>
      <w:r w:rsidR="00F707F2" w:rsidRPr="003C3503">
        <w:rPr>
          <w:color w:val="000000"/>
        </w:rPr>
        <w:t>я</w:t>
      </w:r>
      <w:r w:rsidRPr="003C3503">
        <w:rPr>
          <w:color w:val="000000"/>
        </w:rPr>
        <w:t xml:space="preserve"> тим органом, на який покладається обов’язок реагування в разі  порушення відповідної заборони, тобто</w:t>
      </w:r>
      <w:r w:rsidR="003C3503" w:rsidRPr="003C3503">
        <w:rPr>
          <w:color w:val="000000"/>
        </w:rPr>
        <w:t>,</w:t>
      </w:r>
      <w:r w:rsidRPr="003C3503">
        <w:rPr>
          <w:color w:val="000000"/>
        </w:rPr>
        <w:t xml:space="preserve"> відповідними підрозділами Національної поліції, оскільки це забезпечує кращі можливості для оперативного реагування. Однак положення проекту можна зрозуміти і так, начебто такий оперативний контроль покладається безпосередньо на потерпілого (при тому, що правоохоронний орган такий контроль здійснювати не буде), що, на нашу думку, не є оптимальним рішенням.</w:t>
      </w:r>
    </w:p>
    <w:p w:rsidR="00A97FC4" w:rsidRPr="00605D18" w:rsidRDefault="00A97FC4" w:rsidP="00A97FC4">
      <w:pPr>
        <w:spacing w:after="0" w:line="240" w:lineRule="auto"/>
        <w:ind w:firstLine="709"/>
        <w:jc w:val="both"/>
        <w:rPr>
          <w:bCs/>
        </w:rPr>
      </w:pPr>
      <w:r w:rsidRPr="003C3503">
        <w:rPr>
          <w:b/>
          <w:bCs/>
        </w:rPr>
        <w:t>2.</w:t>
      </w:r>
      <w:r w:rsidRPr="003C3503">
        <w:rPr>
          <w:bCs/>
        </w:rPr>
        <w:t xml:space="preserve"> Законопроектом пропонується ч. 6 ст. 194 </w:t>
      </w:r>
      <w:r w:rsidR="00EA7FCD" w:rsidRPr="003C3503">
        <w:rPr>
          <w:bCs/>
        </w:rPr>
        <w:t xml:space="preserve">КПК </w:t>
      </w:r>
      <w:r w:rsidRPr="003C3503">
        <w:rPr>
          <w:bCs/>
        </w:rPr>
        <w:t>«Застосування запобіжного заходу» доповнити новим пунктом 6, у якому передбачити, що в інтересах потерпілого від злочину, пов’язаного з домашнім насильством, крім обов’язків, передбачених ч</w:t>
      </w:r>
      <w:r w:rsidR="003920C3" w:rsidRPr="003C3503">
        <w:rPr>
          <w:bCs/>
        </w:rPr>
        <w:t>.</w:t>
      </w:r>
      <w:r w:rsidRPr="003C3503">
        <w:rPr>
          <w:bCs/>
        </w:rPr>
        <w:t xml:space="preserve"> 5 цієї статті, суд може застосувати до особи, яка підозрюється у вчиненні такого кримінального правопорушення, заборону </w:t>
      </w:r>
      <w:r w:rsidRPr="003C3503">
        <w:rPr>
          <w:bCs/>
          <w:i/>
        </w:rPr>
        <w:t>наближатися на визначену відстань</w:t>
      </w:r>
      <w:r w:rsidRPr="00605D18">
        <w:rPr>
          <w:bCs/>
          <w:i/>
        </w:rPr>
        <w:t xml:space="preserve"> </w:t>
      </w:r>
      <w:r w:rsidRPr="00605D18">
        <w:rPr>
          <w:bCs/>
          <w:i/>
          <w:u w:val="single"/>
        </w:rPr>
        <w:t>до особи</w:t>
      </w:r>
      <w:r w:rsidRPr="00605D18">
        <w:rPr>
          <w:bCs/>
        </w:rPr>
        <w:t xml:space="preserve">, яка постраждала від домашнього насильства. Такий обмежувальний захід застосовується до підозрюваного, обвинуваченого лише за наявності письмової згоди на це особи, яка постраждала від домашнього насильства, або її законного представника, крім випадку, коли законним представником є підозрюваний, обвинувачений. При застосуванні цього обмежувального заходу на підозрюваного, обвинуваченого покладається обов’язок носити </w:t>
      </w:r>
      <w:r w:rsidRPr="00605D18">
        <w:t>ЕЗК</w:t>
      </w:r>
      <w:r w:rsidRPr="00605D18">
        <w:rPr>
          <w:bCs/>
        </w:rPr>
        <w:t>.</w:t>
      </w:r>
    </w:p>
    <w:p w:rsidR="00A97FC4" w:rsidRPr="003C3503" w:rsidRDefault="00A97FC4" w:rsidP="00A97FC4">
      <w:pPr>
        <w:spacing w:after="0" w:line="240" w:lineRule="auto"/>
        <w:ind w:firstLine="709"/>
        <w:jc w:val="both"/>
        <w:rPr>
          <w:bCs/>
        </w:rPr>
      </w:pPr>
      <w:r w:rsidRPr="00605D18">
        <w:rPr>
          <w:bCs/>
        </w:rPr>
        <w:t xml:space="preserve">Крім того, відповідно до ч. 7 ст. 195 </w:t>
      </w:r>
      <w:r w:rsidR="00EA7FCD" w:rsidRPr="00605D18">
        <w:rPr>
          <w:bCs/>
        </w:rPr>
        <w:t xml:space="preserve">КПК </w:t>
      </w:r>
      <w:r w:rsidRPr="00605D18">
        <w:rPr>
          <w:bCs/>
        </w:rPr>
        <w:t xml:space="preserve">«Застосування електронних засобів контролю» (у редакції проекту) «з метою забезпечення виконання підозрюваним, обвинуваченим обмежувального заходу, передбаченого п. 6 ч. 6 ст. 194 цього Кодексу, </w:t>
      </w:r>
      <w:r w:rsidRPr="00605D18">
        <w:rPr>
          <w:bCs/>
          <w:i/>
          <w:iCs/>
        </w:rPr>
        <w:t>потерпілому</w:t>
      </w:r>
      <w:r w:rsidRPr="00605D18">
        <w:rPr>
          <w:bCs/>
        </w:rPr>
        <w:t xml:space="preserve"> від кримінального правопорушення, пов’язаного з домашнім насильством, працівниками органу Національної поліції на підставі ухвали слідчого судді, суду надається електронний засіб контролю, який дає змогу відслідковувати та фіксувати наближення підозрюваного, обвинуваченого». Вказані </w:t>
      </w:r>
      <w:r w:rsidRPr="00605D18">
        <w:t xml:space="preserve">ЕЗК пропонується застосовувати </w:t>
      </w:r>
      <w:r w:rsidRPr="00605D18">
        <w:rPr>
          <w:bCs/>
        </w:rPr>
        <w:t xml:space="preserve">в порядку, встановленому Міністерством внутрішніх справ України. </w:t>
      </w:r>
      <w:r w:rsidR="00D71A9C" w:rsidRPr="00605D18">
        <w:rPr>
          <w:bCs/>
        </w:rPr>
        <w:t>Н</w:t>
      </w:r>
      <w:r w:rsidRPr="00605D18">
        <w:rPr>
          <w:bCs/>
        </w:rPr>
        <w:t>аголошується</w:t>
      </w:r>
      <w:r w:rsidR="00D71A9C" w:rsidRPr="00605D18">
        <w:rPr>
          <w:bCs/>
        </w:rPr>
        <w:t xml:space="preserve"> також</w:t>
      </w:r>
      <w:r w:rsidRPr="00605D18">
        <w:rPr>
          <w:bCs/>
        </w:rPr>
        <w:t xml:space="preserve">, </w:t>
      </w:r>
      <w:r w:rsidRPr="003C3503">
        <w:rPr>
          <w:bCs/>
        </w:rPr>
        <w:lastRenderedPageBreak/>
        <w:t xml:space="preserve">що працівник органу Національної поліції перед наданням потерпілому </w:t>
      </w:r>
      <w:r w:rsidRPr="003C3503">
        <w:t>ЕЗК</w:t>
      </w:r>
      <w:r w:rsidRPr="003C3503">
        <w:rPr>
          <w:bCs/>
        </w:rPr>
        <w:t xml:space="preserve"> зобов’язаний під розписку роз’яснити правила користування таким засобом контролю, техніку безпеки поводження з ним та наслідки його втрати або пошкодження.</w:t>
      </w:r>
    </w:p>
    <w:p w:rsidR="00860BD5" w:rsidRPr="00605D18" w:rsidRDefault="00D71A9C" w:rsidP="00860BD5">
      <w:pPr>
        <w:spacing w:after="0" w:line="240" w:lineRule="auto"/>
        <w:ind w:firstLine="709"/>
        <w:jc w:val="both"/>
        <w:rPr>
          <w:bCs/>
        </w:rPr>
      </w:pPr>
      <w:r w:rsidRPr="003C3503">
        <w:rPr>
          <w:bCs/>
        </w:rPr>
        <w:t>Водночас, п</w:t>
      </w:r>
      <w:r w:rsidR="00A97FC4" w:rsidRPr="003C3503">
        <w:rPr>
          <w:bCs/>
        </w:rPr>
        <w:t xml:space="preserve">оза увагою </w:t>
      </w:r>
      <w:r w:rsidRPr="003C3503">
        <w:rPr>
          <w:bCs/>
        </w:rPr>
        <w:t>авторів законопроекту</w:t>
      </w:r>
      <w:r w:rsidR="00A97FC4" w:rsidRPr="003C3503">
        <w:rPr>
          <w:bCs/>
        </w:rPr>
        <w:t xml:space="preserve"> залишився той факт, що питання застосування відповідних обмежувальних заходів до особи, яка підозрюється у вчиненні злочину, пов’язаного з домашнім насильством, </w:t>
      </w:r>
      <w:r w:rsidR="00A97FC4" w:rsidRPr="003C3503">
        <w:rPr>
          <w:bCs/>
          <w:i/>
        </w:rPr>
        <w:t>вирішується слідчим суддею, судом</w:t>
      </w:r>
      <w:r w:rsidR="00A97FC4" w:rsidRPr="003C3503">
        <w:rPr>
          <w:bCs/>
        </w:rPr>
        <w:t xml:space="preserve"> одночасно </w:t>
      </w:r>
      <w:r w:rsidR="00A97FC4" w:rsidRPr="003C3503">
        <w:rPr>
          <w:bCs/>
          <w:i/>
        </w:rPr>
        <w:t>із обранням запобіжного заходу, не пов’язаного з триманням під вартою</w:t>
      </w:r>
      <w:r w:rsidR="00A97FC4" w:rsidRPr="003C3503">
        <w:rPr>
          <w:bCs/>
        </w:rPr>
        <w:t xml:space="preserve"> (див. чинні ч. ч. 5, 6 ст. 194 КПК). В</w:t>
      </w:r>
      <w:r w:rsidRPr="003C3503">
        <w:rPr>
          <w:bCs/>
        </w:rPr>
        <w:t>иходячи зі змісту п. п. 1–</w:t>
      </w:r>
      <w:r w:rsidR="00A97FC4" w:rsidRPr="003C3503">
        <w:rPr>
          <w:bCs/>
        </w:rPr>
        <w:t xml:space="preserve">4 ч. 1 ст. 176 КПК, до запобіжних заходів, не пов’язаних із триманням під вартою, </w:t>
      </w:r>
      <w:r w:rsidR="003920C3" w:rsidRPr="003C3503">
        <w:rPr>
          <w:bCs/>
        </w:rPr>
        <w:t>належать</w:t>
      </w:r>
      <w:r w:rsidRPr="003C3503">
        <w:rPr>
          <w:bCs/>
        </w:rPr>
        <w:t>: 1) особисте зобов’язання; 2) </w:t>
      </w:r>
      <w:r w:rsidR="00A97FC4" w:rsidRPr="003C3503">
        <w:rPr>
          <w:bCs/>
        </w:rPr>
        <w:t xml:space="preserve">особиста порука; 3) застава; 4) домашній арешт. </w:t>
      </w:r>
      <w:r w:rsidR="00860BD5" w:rsidRPr="003C3503">
        <w:rPr>
          <w:bCs/>
        </w:rPr>
        <w:t>Натомість</w:t>
      </w:r>
      <w:r w:rsidR="003920C3" w:rsidRPr="003C3503">
        <w:rPr>
          <w:bCs/>
        </w:rPr>
        <w:t>,</w:t>
      </w:r>
      <w:r w:rsidR="00860BD5" w:rsidRPr="003C3503">
        <w:rPr>
          <w:bCs/>
        </w:rPr>
        <w:t xml:space="preserve"> </w:t>
      </w:r>
      <w:r w:rsidR="00A97FC4" w:rsidRPr="003C3503">
        <w:rPr>
          <w:bCs/>
        </w:rPr>
        <w:t xml:space="preserve">наведені вище положення ч. 6 ст. 194 та </w:t>
      </w:r>
      <w:r w:rsidR="00860BD5" w:rsidRPr="003C3503">
        <w:rPr>
          <w:bCs/>
        </w:rPr>
        <w:t>ч</w:t>
      </w:r>
      <w:r w:rsidR="00A97FC4" w:rsidRPr="003C3503">
        <w:rPr>
          <w:bCs/>
        </w:rPr>
        <w:t>. 7 ст. 195 КПК (у редакції проекту) не стосуються порядку обрання підозрюван</w:t>
      </w:r>
      <w:r w:rsidR="00EA7FCD" w:rsidRPr="003C3503">
        <w:rPr>
          <w:bCs/>
        </w:rPr>
        <w:t>ій</w:t>
      </w:r>
      <w:r w:rsidR="00A97FC4" w:rsidRPr="003C3503">
        <w:rPr>
          <w:bCs/>
        </w:rPr>
        <w:t xml:space="preserve"> особ</w:t>
      </w:r>
      <w:r w:rsidR="00EA7FCD" w:rsidRPr="003C3503">
        <w:rPr>
          <w:bCs/>
        </w:rPr>
        <w:t>і</w:t>
      </w:r>
      <w:r w:rsidR="00A97FC4" w:rsidRPr="003C3503">
        <w:rPr>
          <w:bCs/>
        </w:rPr>
        <w:t xml:space="preserve"> вказаних запобіжних заходів та загалом виходять за межі предмету регулювання</w:t>
      </w:r>
      <w:r w:rsidR="00860BD5" w:rsidRPr="003C3503">
        <w:rPr>
          <w:bCs/>
        </w:rPr>
        <w:t xml:space="preserve"> цих норм.</w:t>
      </w:r>
      <w:r w:rsidR="00860BD5" w:rsidRPr="00605D18">
        <w:rPr>
          <w:bCs/>
        </w:rPr>
        <w:t xml:space="preserve"> </w:t>
      </w:r>
    </w:p>
    <w:p w:rsidR="00A97FC4" w:rsidRPr="003C3503" w:rsidRDefault="00A97FC4" w:rsidP="00860BD5">
      <w:pPr>
        <w:spacing w:after="0" w:line="240" w:lineRule="auto"/>
        <w:ind w:firstLine="709"/>
        <w:jc w:val="both"/>
        <w:rPr>
          <w:bCs/>
        </w:rPr>
      </w:pPr>
      <w:r w:rsidRPr="00605D18">
        <w:rPr>
          <w:bCs/>
        </w:rPr>
        <w:t xml:space="preserve">Не можна </w:t>
      </w:r>
      <w:r w:rsidR="00860BD5" w:rsidRPr="00605D18">
        <w:rPr>
          <w:bCs/>
        </w:rPr>
        <w:t xml:space="preserve">також </w:t>
      </w:r>
      <w:r w:rsidR="00860BD5" w:rsidRPr="003C3503">
        <w:rPr>
          <w:bCs/>
        </w:rPr>
        <w:t xml:space="preserve">погодитися </w:t>
      </w:r>
      <w:r w:rsidRPr="003C3503">
        <w:rPr>
          <w:bCs/>
        </w:rPr>
        <w:t xml:space="preserve">з приписами ч. 6 ст. 194 КПК (у редакції проекту) стосовно обов’язкової наявності письмової згоди постраждалої особи на застосування обмежувального заходу. У даному контексті слід зауважити, що наявність такої згоди не може бути вирішальною при прийнятті слідчим суддею або судом рішення про застосування обмежувальних заходів, оскільки останні безпосередньо пов’язані з покладенням обов’язків, визначених </w:t>
      </w:r>
      <w:r w:rsidR="003920C3" w:rsidRPr="003C3503">
        <w:rPr>
          <w:bCs/>
        </w:rPr>
        <w:t>у</w:t>
      </w:r>
      <w:r w:rsidRPr="003C3503">
        <w:rPr>
          <w:bCs/>
        </w:rPr>
        <w:t xml:space="preserve"> ч. 5 ст. 194 КПК, яке відбувається за </w:t>
      </w:r>
      <w:r w:rsidRPr="003C3503">
        <w:rPr>
          <w:bCs/>
          <w:i/>
          <w:iCs/>
        </w:rPr>
        <w:t>обґрунтованим</w:t>
      </w:r>
      <w:r w:rsidRPr="003C3503">
        <w:rPr>
          <w:bCs/>
        </w:rPr>
        <w:t xml:space="preserve"> клопотанням прокурора. Крім того, не можна не враховувати особливість </w:t>
      </w:r>
      <w:r w:rsidR="00EA7FCD" w:rsidRPr="003C3503">
        <w:rPr>
          <w:bCs/>
        </w:rPr>
        <w:t xml:space="preserve">статусу </w:t>
      </w:r>
      <w:r w:rsidRPr="003C3503">
        <w:rPr>
          <w:bCs/>
        </w:rPr>
        <w:t xml:space="preserve">потерпілого, оскільки в даному випадку йдеться про особу, яка </w:t>
      </w:r>
      <w:r w:rsidRPr="003C3503">
        <w:rPr>
          <w:bCs/>
          <w:i/>
          <w:iCs/>
        </w:rPr>
        <w:t>постраждала від домашнього насильства</w:t>
      </w:r>
      <w:r w:rsidRPr="003C3503">
        <w:rPr>
          <w:bCs/>
        </w:rPr>
        <w:t xml:space="preserve">, а відтак вона може відмовитися надавати відповідну згоду в силу побоювання за власну </w:t>
      </w:r>
      <w:r w:rsidR="00860BD5" w:rsidRPr="003C3503">
        <w:rPr>
          <w:bCs/>
        </w:rPr>
        <w:t>безпеку</w:t>
      </w:r>
      <w:r w:rsidR="00EA7FCD" w:rsidRPr="003C3503">
        <w:rPr>
          <w:bCs/>
        </w:rPr>
        <w:t xml:space="preserve"> чи</w:t>
      </w:r>
      <w:r w:rsidR="00860BD5" w:rsidRPr="003C3503">
        <w:rPr>
          <w:bCs/>
        </w:rPr>
        <w:t xml:space="preserve"> безпеку своїх рідних.</w:t>
      </w:r>
    </w:p>
    <w:p w:rsidR="00CB38FF" w:rsidRPr="003C3503" w:rsidRDefault="0051223B" w:rsidP="00CB38FF">
      <w:pPr>
        <w:spacing w:after="0" w:line="240" w:lineRule="auto"/>
        <w:ind w:firstLine="709"/>
        <w:jc w:val="both"/>
      </w:pPr>
      <w:r w:rsidRPr="003C3503">
        <w:rPr>
          <w:b/>
        </w:rPr>
        <w:t>3.</w:t>
      </w:r>
      <w:r w:rsidRPr="003C3503">
        <w:t xml:space="preserve"> </w:t>
      </w:r>
      <w:r w:rsidR="00CB38FF" w:rsidRPr="003C3503">
        <w:rPr>
          <w:bCs/>
          <w:szCs w:val="28"/>
        </w:rPr>
        <w:t>Виходячи зі змісту законопроекту</w:t>
      </w:r>
      <w:r w:rsidR="003920C3" w:rsidRPr="003C3503">
        <w:rPr>
          <w:bCs/>
          <w:szCs w:val="28"/>
        </w:rPr>
        <w:t>,</w:t>
      </w:r>
      <w:r w:rsidR="00CB38FF" w:rsidRPr="003C3503">
        <w:rPr>
          <w:bCs/>
          <w:szCs w:val="28"/>
        </w:rPr>
        <w:t xml:space="preserve"> ст. 374</w:t>
      </w:r>
      <w:r w:rsidR="00EA7FCD" w:rsidRPr="003C3503">
        <w:rPr>
          <w:bCs/>
          <w:szCs w:val="28"/>
        </w:rPr>
        <w:t xml:space="preserve"> КПК</w:t>
      </w:r>
      <w:r w:rsidR="00CB38FF" w:rsidRPr="003C3503">
        <w:rPr>
          <w:bCs/>
          <w:szCs w:val="28"/>
        </w:rPr>
        <w:t xml:space="preserve"> «Зміст вироку»</w:t>
      </w:r>
      <w:r w:rsidR="001F264E" w:rsidRPr="003C3503">
        <w:rPr>
          <w:bCs/>
          <w:szCs w:val="28"/>
        </w:rPr>
        <w:t xml:space="preserve"> </w:t>
      </w:r>
      <w:r w:rsidR="00CB38FF" w:rsidRPr="003C3503">
        <w:rPr>
          <w:bCs/>
          <w:szCs w:val="28"/>
        </w:rPr>
        <w:t>пропонується доповнити новою частиною 6 (а не п</w:t>
      </w:r>
      <w:r w:rsidR="003920C3" w:rsidRPr="003C3503">
        <w:rPr>
          <w:bCs/>
          <w:szCs w:val="28"/>
        </w:rPr>
        <w:t>.</w:t>
      </w:r>
      <w:r w:rsidR="00CB38FF" w:rsidRPr="003C3503">
        <w:rPr>
          <w:bCs/>
          <w:szCs w:val="28"/>
        </w:rPr>
        <w:t xml:space="preserve"> 6, як це вказується у проекті) та передбачити, що «при застосуванні до особи,</w:t>
      </w:r>
      <w:r w:rsidR="00CB38FF" w:rsidRPr="00605D18">
        <w:rPr>
          <w:bCs/>
          <w:szCs w:val="28"/>
        </w:rPr>
        <w:t xml:space="preserve"> яка вчинила домашнє насильство, обмежувального заходу, передбаченого п. 6 ч. 1 ст. 91-1 Кримінального кодексу України, </w:t>
      </w:r>
      <w:r w:rsidR="00CB38FF" w:rsidRPr="00605D18">
        <w:rPr>
          <w:bCs/>
          <w:i/>
          <w:iCs/>
          <w:szCs w:val="28"/>
        </w:rPr>
        <w:t xml:space="preserve">суд окремо зазначає про надання </w:t>
      </w:r>
      <w:r w:rsidR="00CB38FF" w:rsidRPr="00605D18">
        <w:rPr>
          <w:bCs/>
          <w:i/>
          <w:iCs/>
          <w:szCs w:val="28"/>
          <w:u w:val="single"/>
        </w:rPr>
        <w:t>потерпілому</w:t>
      </w:r>
      <w:r w:rsidR="00CB38FF" w:rsidRPr="00605D18">
        <w:rPr>
          <w:bCs/>
          <w:i/>
          <w:iCs/>
          <w:szCs w:val="28"/>
        </w:rPr>
        <w:t xml:space="preserve"> електронного засобу контролю</w:t>
      </w:r>
      <w:r w:rsidR="00CB38FF" w:rsidRPr="00605D18">
        <w:rPr>
          <w:bCs/>
          <w:szCs w:val="28"/>
        </w:rPr>
        <w:t xml:space="preserve">, який надає змогу відслідковувати та фіксувати </w:t>
      </w:r>
      <w:r w:rsidR="00CB38FF" w:rsidRPr="003C3503">
        <w:rPr>
          <w:bCs/>
          <w:szCs w:val="28"/>
        </w:rPr>
        <w:t xml:space="preserve">наближення засудженого». </w:t>
      </w:r>
    </w:p>
    <w:p w:rsidR="00CB38FF" w:rsidRPr="00605D18" w:rsidRDefault="00CB38FF" w:rsidP="00CB38FF">
      <w:pPr>
        <w:pStyle w:val="a3"/>
        <w:rPr>
          <w:rFonts w:ascii="Times New Roman" w:eastAsia="Calibri" w:hAnsi="Times New Roman" w:cs="Times New Roman"/>
          <w:bCs/>
        </w:rPr>
      </w:pPr>
      <w:r w:rsidRPr="003C3503">
        <w:rPr>
          <w:rFonts w:ascii="Times New Roman" w:eastAsia="Calibri" w:hAnsi="Times New Roman" w:cs="Times New Roman"/>
          <w:bCs/>
        </w:rPr>
        <w:t xml:space="preserve">З такою пропозицією навряд чи можна погодитися, адже вирок – це судове рішення, у якому суд вирішує обвинувачення по суті (ч. 1 ст. 369 КПК). Зміст вироку визначений </w:t>
      </w:r>
      <w:r w:rsidR="003920C3" w:rsidRPr="003C3503">
        <w:rPr>
          <w:rFonts w:ascii="Times New Roman" w:eastAsia="Calibri" w:hAnsi="Times New Roman" w:cs="Times New Roman"/>
          <w:bCs/>
        </w:rPr>
        <w:t>у</w:t>
      </w:r>
      <w:r w:rsidRPr="003C3503">
        <w:rPr>
          <w:rFonts w:ascii="Times New Roman" w:eastAsia="Calibri" w:hAnsi="Times New Roman" w:cs="Times New Roman"/>
          <w:bCs/>
        </w:rPr>
        <w:t xml:space="preserve"> ст. 374 КПК</w:t>
      </w:r>
      <w:r w:rsidR="00EA7FCD" w:rsidRPr="003C3503">
        <w:rPr>
          <w:rFonts w:ascii="Times New Roman" w:eastAsia="Calibri" w:hAnsi="Times New Roman" w:cs="Times New Roman"/>
          <w:bCs/>
        </w:rPr>
        <w:t>.</w:t>
      </w:r>
      <w:r w:rsidRPr="003C3503">
        <w:rPr>
          <w:rFonts w:ascii="Times New Roman" w:eastAsia="Calibri" w:hAnsi="Times New Roman" w:cs="Times New Roman"/>
          <w:bCs/>
        </w:rPr>
        <w:t xml:space="preserve"> </w:t>
      </w:r>
      <w:r w:rsidR="00EA7FCD" w:rsidRPr="003C3503">
        <w:rPr>
          <w:rFonts w:ascii="Times New Roman" w:eastAsia="Calibri" w:hAnsi="Times New Roman" w:cs="Times New Roman"/>
          <w:bCs/>
        </w:rPr>
        <w:t>У</w:t>
      </w:r>
      <w:r w:rsidRPr="003C3503">
        <w:rPr>
          <w:rFonts w:ascii="Times New Roman" w:eastAsia="Calibri" w:hAnsi="Times New Roman" w:cs="Times New Roman"/>
          <w:bCs/>
        </w:rPr>
        <w:t xml:space="preserve"> мотивувальній частині </w:t>
      </w:r>
      <w:r w:rsidR="00EA7FCD" w:rsidRPr="003C3503">
        <w:rPr>
          <w:rFonts w:ascii="Times New Roman" w:eastAsia="Calibri" w:hAnsi="Times New Roman" w:cs="Times New Roman"/>
          <w:bCs/>
        </w:rPr>
        <w:t>вироку</w:t>
      </w:r>
      <w:r w:rsidRPr="003C3503">
        <w:rPr>
          <w:rFonts w:ascii="Times New Roman" w:eastAsia="Calibri" w:hAnsi="Times New Roman" w:cs="Times New Roman"/>
          <w:bCs/>
        </w:rPr>
        <w:t xml:space="preserve"> у разі визнання особи винуватою зазначається: прізвище, ім’я та по батькові обвинуваченого, рішення про визнання його винуватим у пред’явленому обвинуваченні та відповідні</w:t>
      </w:r>
      <w:r w:rsidRPr="00605D18">
        <w:rPr>
          <w:rFonts w:ascii="Times New Roman" w:eastAsia="Calibri" w:hAnsi="Times New Roman" w:cs="Times New Roman"/>
          <w:bCs/>
        </w:rPr>
        <w:t xml:space="preserve"> статті (частини статті) закону України про кримінальну відповідальність; покарання, призначене по кожному з обвинувачень, що визнані судом доведеними, та остаточна міра покарання, обрана судом і т. д. Чинний КПК не передбачає можливості покладення вироком на потерпілого будь-яких обов’язків</w:t>
      </w:r>
      <w:r w:rsidR="00137A32" w:rsidRPr="00605D18">
        <w:rPr>
          <w:rFonts w:ascii="Times New Roman" w:eastAsia="Calibri" w:hAnsi="Times New Roman" w:cs="Times New Roman"/>
          <w:bCs/>
        </w:rPr>
        <w:t xml:space="preserve"> або наділення його певними правами чи повноваженнями</w:t>
      </w:r>
      <w:r w:rsidRPr="00605D18">
        <w:rPr>
          <w:rFonts w:ascii="Times New Roman" w:eastAsia="Calibri" w:hAnsi="Times New Roman" w:cs="Times New Roman"/>
          <w:bCs/>
        </w:rPr>
        <w:t xml:space="preserve">. </w:t>
      </w:r>
    </w:p>
    <w:p w:rsidR="00CB38FF" w:rsidRPr="003C3503" w:rsidRDefault="00CB38FF" w:rsidP="00CB38FF">
      <w:pPr>
        <w:pStyle w:val="a3"/>
        <w:ind w:firstLine="709"/>
        <w:rPr>
          <w:rFonts w:ascii="Times New Roman" w:hAnsi="Times New Roman" w:cs="Times New Roman"/>
          <w:bCs/>
        </w:rPr>
      </w:pPr>
      <w:r w:rsidRPr="00605D18">
        <w:rPr>
          <w:rFonts w:ascii="Times New Roman" w:hAnsi="Times New Roman" w:cs="Times New Roman"/>
          <w:b/>
          <w:bCs/>
        </w:rPr>
        <w:lastRenderedPageBreak/>
        <w:t>4.</w:t>
      </w:r>
      <w:r w:rsidRPr="00605D18">
        <w:rPr>
          <w:rFonts w:ascii="Times New Roman" w:hAnsi="Times New Roman" w:cs="Times New Roman"/>
          <w:bCs/>
        </w:rPr>
        <w:t xml:space="preserve"> Юридично </w:t>
      </w:r>
      <w:r w:rsidRPr="003C3503">
        <w:rPr>
          <w:rFonts w:ascii="Times New Roman" w:hAnsi="Times New Roman" w:cs="Times New Roman"/>
          <w:bCs/>
        </w:rPr>
        <w:t xml:space="preserve">необґрунтованою, на наш погляд, є пропозиція законопроекту встановити адміністративну відповідальність за умисне порушення </w:t>
      </w:r>
      <w:r w:rsidRPr="003C3503">
        <w:rPr>
          <w:rFonts w:ascii="Times New Roman" w:hAnsi="Times New Roman" w:cs="Times New Roman"/>
          <w:bCs/>
          <w:i/>
          <w:iCs/>
        </w:rPr>
        <w:t>встановленого порядку</w:t>
      </w:r>
      <w:r w:rsidRPr="003C3503">
        <w:rPr>
          <w:rFonts w:ascii="Times New Roman" w:hAnsi="Times New Roman" w:cs="Times New Roman"/>
          <w:bCs/>
        </w:rPr>
        <w:t xml:space="preserve"> </w:t>
      </w:r>
      <w:bookmarkStart w:id="2" w:name="_Hlk80882576"/>
      <w:r w:rsidRPr="003C3503">
        <w:rPr>
          <w:rFonts w:ascii="Times New Roman" w:hAnsi="Times New Roman" w:cs="Times New Roman"/>
          <w:bCs/>
        </w:rPr>
        <w:t xml:space="preserve">застосування </w:t>
      </w:r>
      <w:r w:rsidR="003920C3" w:rsidRPr="003C3503">
        <w:rPr>
          <w:rFonts w:ascii="Times New Roman" w:hAnsi="Times New Roman" w:cs="Times New Roman"/>
          <w:bCs/>
        </w:rPr>
        <w:t>ЕЗК</w:t>
      </w:r>
      <w:r w:rsidRPr="003C3503">
        <w:rPr>
          <w:rFonts w:ascii="Times New Roman" w:hAnsi="Times New Roman" w:cs="Times New Roman"/>
          <w:bCs/>
        </w:rPr>
        <w:t xml:space="preserve"> </w:t>
      </w:r>
      <w:r w:rsidRPr="003C3503">
        <w:rPr>
          <w:rFonts w:ascii="Times New Roman" w:hAnsi="Times New Roman" w:cs="Times New Roman"/>
          <w:bCs/>
          <w:i/>
          <w:iCs/>
        </w:rPr>
        <w:t>особою, яка постраждала від домашнього насильства</w:t>
      </w:r>
      <w:bookmarkEnd w:id="2"/>
      <w:r w:rsidRPr="003C3503">
        <w:rPr>
          <w:rFonts w:ascii="Times New Roman" w:hAnsi="Times New Roman" w:cs="Times New Roman"/>
          <w:bCs/>
        </w:rPr>
        <w:t>, який їй було надано з метою виконання підозрюваним, обвинуваченим, засудженим, кривдником обмежувального припису (</w:t>
      </w:r>
      <w:r w:rsidR="00364889" w:rsidRPr="003C3503">
        <w:rPr>
          <w:rFonts w:ascii="Times New Roman" w:hAnsi="Times New Roman" w:cs="Times New Roman"/>
          <w:bCs/>
        </w:rPr>
        <w:t xml:space="preserve">нова </w:t>
      </w:r>
      <w:r w:rsidRPr="003C3503">
        <w:rPr>
          <w:rFonts w:ascii="Times New Roman" w:hAnsi="Times New Roman" w:cs="Times New Roman"/>
          <w:bCs/>
        </w:rPr>
        <w:t xml:space="preserve">ст. 173-5 КУпАП). </w:t>
      </w:r>
    </w:p>
    <w:p w:rsidR="00CB38FF" w:rsidRPr="00605D18" w:rsidRDefault="00CB38FF" w:rsidP="00CB38FF">
      <w:pPr>
        <w:pStyle w:val="a3"/>
        <w:ind w:firstLine="709"/>
        <w:rPr>
          <w:rFonts w:ascii="Times New Roman" w:hAnsi="Times New Roman" w:cs="Times New Roman"/>
          <w:bCs/>
        </w:rPr>
      </w:pPr>
      <w:r w:rsidRPr="003C3503">
        <w:rPr>
          <w:rFonts w:ascii="Times New Roman" w:hAnsi="Times New Roman" w:cs="Times New Roman"/>
          <w:bCs/>
        </w:rPr>
        <w:t>Така позиція Головного управління обумовлена тим, що для притягнення до адміністративної відповідальності за порушення певних</w:t>
      </w:r>
      <w:r w:rsidRPr="00605D18">
        <w:rPr>
          <w:rFonts w:ascii="Times New Roman" w:hAnsi="Times New Roman" w:cs="Times New Roman"/>
          <w:bCs/>
        </w:rPr>
        <w:t xml:space="preserve"> правил необхідно, щоб </w:t>
      </w:r>
      <w:r w:rsidRPr="00605D18">
        <w:rPr>
          <w:rFonts w:ascii="Times New Roman" w:hAnsi="Times New Roman" w:cs="Times New Roman"/>
          <w:bCs/>
          <w:i/>
          <w:iCs/>
        </w:rPr>
        <w:t>такі правила були чітко визначені у національному законодавстві</w:t>
      </w:r>
      <w:r w:rsidRPr="00605D18">
        <w:rPr>
          <w:rFonts w:ascii="Times New Roman" w:hAnsi="Times New Roman" w:cs="Times New Roman"/>
          <w:bCs/>
        </w:rPr>
        <w:t xml:space="preserve">. На момент набрання чинності законом, яким встановлюється адміністративна відповідальність за відповідні діяння, має діяти нормативно-правовий акт, у якому б врегульовувались питання порядку застосування ЕЗК особою, яка постраждала від домашнього насильства. </w:t>
      </w:r>
    </w:p>
    <w:p w:rsidR="00CB38FF" w:rsidRPr="00605D18" w:rsidRDefault="00CB38FF" w:rsidP="00CB38FF">
      <w:pPr>
        <w:pStyle w:val="a3"/>
        <w:rPr>
          <w:rFonts w:ascii="Times New Roman" w:hAnsi="Times New Roman" w:cs="Times New Roman"/>
          <w:bCs/>
        </w:rPr>
      </w:pPr>
      <w:r w:rsidRPr="00605D18">
        <w:rPr>
          <w:rFonts w:ascii="Times New Roman" w:hAnsi="Times New Roman" w:cs="Times New Roman"/>
          <w:bCs/>
        </w:rPr>
        <w:t xml:space="preserve">Звертаємо увагу на те, що наразі такий нормативно-правовий акт в Україні відсутній, а тому навіть у випадку прийняття законопроекту притягнути особу до адміністративної відповідальності за відповідні правопорушення буде неможливо. </w:t>
      </w:r>
    </w:p>
    <w:p w:rsidR="00CB38FF" w:rsidRPr="00605D18" w:rsidRDefault="00CB38FF" w:rsidP="00CB38FF">
      <w:pPr>
        <w:pStyle w:val="a3"/>
        <w:rPr>
          <w:rFonts w:ascii="Times New Roman" w:hAnsi="Times New Roman" w:cs="Times New Roman"/>
          <w:bCs/>
        </w:rPr>
      </w:pPr>
      <w:r w:rsidRPr="00605D18">
        <w:rPr>
          <w:rFonts w:ascii="Times New Roman" w:hAnsi="Times New Roman" w:cs="Times New Roman"/>
          <w:bCs/>
        </w:rPr>
        <w:t xml:space="preserve">У законопроекті передбачено, що ЕЗК застосовуються в порядку, встановленому Міністерством внутрішніх справ України (п. 7 ст. 195 КПК, </w:t>
      </w:r>
      <w:r w:rsidR="003920C3">
        <w:rPr>
          <w:rFonts w:ascii="Times New Roman" w:hAnsi="Times New Roman" w:cs="Times New Roman"/>
          <w:bCs/>
        </w:rPr>
        <w:br/>
      </w:r>
      <w:r w:rsidRPr="00605D18">
        <w:rPr>
          <w:rFonts w:ascii="Times New Roman" w:hAnsi="Times New Roman" w:cs="Times New Roman"/>
          <w:bCs/>
        </w:rPr>
        <w:t xml:space="preserve">абз. 3 ч. 3 ст. 350-8 ЦПК, ч. 2 ст. 85-1 КВК у редакції проекту). Проте жодних строків для Кабінету </w:t>
      </w:r>
      <w:r w:rsidR="0047548D" w:rsidRPr="00605D18">
        <w:rPr>
          <w:rFonts w:ascii="Times New Roman" w:hAnsi="Times New Roman" w:cs="Times New Roman"/>
          <w:bCs/>
        </w:rPr>
        <w:t>М</w:t>
      </w:r>
      <w:r w:rsidRPr="00605D18">
        <w:rPr>
          <w:rFonts w:ascii="Times New Roman" w:hAnsi="Times New Roman" w:cs="Times New Roman"/>
          <w:bCs/>
        </w:rPr>
        <w:t xml:space="preserve">іністрів України та Міністерства внутрішніх справ України щодо приведення своїх нормативно-правових актів у відповідність до положень законопроекту не встановлено. Водночас, дата набрання ним чинності (у разі його прийняття) є фіксованою – з дня, наступного за днем його опублікування. Таким чином, навіть в разі оперативного ініціативного виконання органами виконавчої влади вимог закону протягом певного строку </w:t>
      </w:r>
      <w:r w:rsidRPr="00605D18">
        <w:rPr>
          <w:rFonts w:ascii="Times New Roman" w:hAnsi="Times New Roman" w:cs="Times New Roman"/>
          <w:bCs/>
          <w:i/>
          <w:iCs/>
        </w:rPr>
        <w:t>норми щодо відповідальності за порушення певних правил діятимуть за відсутності цих правил</w:t>
      </w:r>
      <w:r w:rsidRPr="00605D18">
        <w:rPr>
          <w:rFonts w:ascii="Times New Roman" w:hAnsi="Times New Roman" w:cs="Times New Roman"/>
          <w:bCs/>
        </w:rPr>
        <w:t xml:space="preserve">. </w:t>
      </w:r>
    </w:p>
    <w:p w:rsidR="00CB38FF" w:rsidRPr="00605D18" w:rsidRDefault="00CB38FF" w:rsidP="00CB38FF">
      <w:pPr>
        <w:pStyle w:val="a3"/>
        <w:rPr>
          <w:rFonts w:ascii="Times New Roman" w:hAnsi="Times New Roman" w:cs="Times New Roman"/>
          <w:bCs/>
        </w:rPr>
      </w:pPr>
      <w:r w:rsidRPr="00605D18">
        <w:rPr>
          <w:rFonts w:ascii="Times New Roman" w:hAnsi="Times New Roman" w:cs="Times New Roman"/>
          <w:bCs/>
        </w:rPr>
        <w:t xml:space="preserve">Отже, запропоновані проектом зміни до КУпАП щодо встановлення відповідальності за порушення встановленого порядку застосування ЕЗК особою, яка постраждала від домашнього насильства, можуть бути доречними тільки </w:t>
      </w:r>
      <w:r w:rsidRPr="00605D18">
        <w:rPr>
          <w:rFonts w:ascii="Times New Roman" w:hAnsi="Times New Roman" w:cs="Times New Roman"/>
          <w:bCs/>
          <w:i/>
          <w:iCs/>
        </w:rPr>
        <w:t>після внесення відповідних змін до регулятивного законодавства</w:t>
      </w:r>
      <w:r w:rsidRPr="00605D18">
        <w:rPr>
          <w:rFonts w:ascii="Times New Roman" w:hAnsi="Times New Roman" w:cs="Times New Roman"/>
          <w:bCs/>
        </w:rPr>
        <w:t xml:space="preserve">. </w:t>
      </w:r>
    </w:p>
    <w:p w:rsidR="00364889" w:rsidRPr="00605D18" w:rsidRDefault="00364889" w:rsidP="008420FB">
      <w:pPr>
        <w:spacing w:after="0" w:line="240" w:lineRule="auto"/>
        <w:ind w:firstLine="709"/>
        <w:jc w:val="both"/>
      </w:pPr>
      <w:r w:rsidRPr="00605D18">
        <w:rPr>
          <w:b/>
        </w:rPr>
        <w:t>5.</w:t>
      </w:r>
      <w:r w:rsidRPr="00605D18">
        <w:rPr>
          <w:b/>
          <w:i/>
        </w:rPr>
        <w:t xml:space="preserve"> </w:t>
      </w:r>
      <w:r w:rsidRPr="00605D18">
        <w:t xml:space="preserve">Звертаємо увагу, що порядок виконання обмежувального заходу, передбаченого п. 6 ч. 1 ст. 91-1 КК (у редакції проекту), що застосовується до осіб, які вчинили домашнє насильство, пропонується розмістити у КВК </w:t>
      </w:r>
      <w:r w:rsidR="003920C3">
        <w:br/>
      </w:r>
      <w:r w:rsidRPr="00605D18">
        <w:t xml:space="preserve">(див. ст. 85-1 КВК у редакції проекту). </w:t>
      </w:r>
      <w:r w:rsidR="00E502E9" w:rsidRPr="00605D18">
        <w:t>У цьому контексті варто зазначити, що обмежувальні заходи, перераховані у ст. 91-1 КК, є заходами кримінально-правового характеру, які за своїм змістом відмінні від покарання. Словосполучення у законі про кримінальну відповідальність про те, що обмежувальні заходи можуть бути застосовані «</w:t>
      </w:r>
      <w:r w:rsidR="00E502E9" w:rsidRPr="00605D18">
        <w:rPr>
          <w:i/>
        </w:rPr>
        <w:t>одночасно з призначенням покарання</w:t>
      </w:r>
      <w:r w:rsidR="00E502E9" w:rsidRPr="00605D18">
        <w:t xml:space="preserve">, не пов’язаного з позбавленням волі…», свідчить, що відповідні заходи належать до категорії інших заходів кримінально-правового впливу (заходів безпеки), оскільки можуть бути застосовані поряд з покаранням. </w:t>
      </w:r>
    </w:p>
    <w:p w:rsidR="00C374E7" w:rsidRPr="003C3503" w:rsidRDefault="00E502E9" w:rsidP="008420FB">
      <w:pPr>
        <w:spacing w:after="0" w:line="240" w:lineRule="auto"/>
        <w:ind w:firstLine="709"/>
        <w:jc w:val="both"/>
      </w:pPr>
      <w:r w:rsidRPr="00605D18">
        <w:t xml:space="preserve">На особливу правову природу обмежувальних заходів, що застосовуються до осіб, які вчинили домашнє насильство, вказує й обране законодавцем місце їх </w:t>
      </w:r>
      <w:r w:rsidRPr="00605D18">
        <w:lastRenderedPageBreak/>
        <w:t xml:space="preserve">розташування (у </w:t>
      </w:r>
      <w:r w:rsidRPr="003C3503">
        <w:t>самостійному розділі Загальної частини КК). Обмежувальні заходи, передбачені ст. 91-1 КК, виступають додатковим механізмом захисту потерпілого від злочину, пов’язаного з домашнім насильством. Натомість</w:t>
      </w:r>
      <w:r w:rsidR="003920C3" w:rsidRPr="003C3503">
        <w:t>,</w:t>
      </w:r>
      <w:r w:rsidRPr="003C3503">
        <w:t xml:space="preserve"> національне кримінально-виконавче законодавство регламентує порядок і умови виконання та відбування </w:t>
      </w:r>
      <w:r w:rsidRPr="003C3503">
        <w:rPr>
          <w:i/>
        </w:rPr>
        <w:t>кримінальних покарань</w:t>
      </w:r>
      <w:r w:rsidRPr="003C3503">
        <w:t xml:space="preserve"> з метою захисту інтересів особи, суспільства і держави шляхом створення умов для виправлення і ресоціалізації засуджених, запобігання вчиненню нових кримінальних правопорушень як засудженими, так і іншими особами, а також запобігання тортурам та нелюдському або такому, що принижує гідність, поводженню із засудженими </w:t>
      </w:r>
      <w:r w:rsidRPr="003C3503">
        <w:br/>
        <w:t>(ч. 1 ст. 1 КВК). Серед основних завдань кримінально-виконавчого законодавства України законодавець</w:t>
      </w:r>
      <w:r w:rsidR="003920C3" w:rsidRPr="003C3503">
        <w:t>,</w:t>
      </w:r>
      <w:r w:rsidRPr="003C3503">
        <w:t xml:space="preserve"> зокрема</w:t>
      </w:r>
      <w:r w:rsidR="003920C3" w:rsidRPr="003C3503">
        <w:t>,</w:t>
      </w:r>
      <w:r w:rsidRPr="003C3503">
        <w:t xml:space="preserve"> виділяє визначення принципів виконання </w:t>
      </w:r>
      <w:r w:rsidRPr="003C3503">
        <w:rPr>
          <w:i/>
        </w:rPr>
        <w:t>кримінальних покарань</w:t>
      </w:r>
      <w:r w:rsidRPr="003C3503">
        <w:t xml:space="preserve">, системи органів і установ </w:t>
      </w:r>
      <w:r w:rsidRPr="003C3503">
        <w:rPr>
          <w:i/>
        </w:rPr>
        <w:t>виконання покарань</w:t>
      </w:r>
      <w:r w:rsidRPr="003C3503">
        <w:t>, їх функцій та порядку діяльності; нагляду і контролю за виконанням кримінальних покарань, участі громадськості в цьому процесі, а також регламентаці</w:t>
      </w:r>
      <w:r w:rsidR="003920C3" w:rsidRPr="003C3503">
        <w:t>ю</w:t>
      </w:r>
      <w:r w:rsidRPr="003C3503">
        <w:t xml:space="preserve"> порядку і умов виконання та відбування </w:t>
      </w:r>
      <w:r w:rsidRPr="003C3503">
        <w:rPr>
          <w:i/>
        </w:rPr>
        <w:t xml:space="preserve">кримінальних покарань </w:t>
      </w:r>
      <w:r w:rsidRPr="003C3503">
        <w:t xml:space="preserve">(ч. 2 ст. 1 КВК). </w:t>
      </w:r>
    </w:p>
    <w:p w:rsidR="00E502E9" w:rsidRPr="00605D18" w:rsidRDefault="00E502E9" w:rsidP="008420FB">
      <w:pPr>
        <w:spacing w:after="0" w:line="240" w:lineRule="auto"/>
        <w:ind w:firstLine="709"/>
        <w:jc w:val="both"/>
      </w:pPr>
      <w:r w:rsidRPr="003C3503">
        <w:t>Таким чином, запропоновані</w:t>
      </w:r>
      <w:r w:rsidRPr="00605D18">
        <w:t xml:space="preserve"> проектом положення ст. 85-1 КВК не є предметом регулювання кримінально-виконавчого законодавства. </w:t>
      </w:r>
    </w:p>
    <w:p w:rsidR="00804F65" w:rsidRPr="00605D18" w:rsidRDefault="00804F65" w:rsidP="000F6D18">
      <w:pPr>
        <w:spacing w:after="0" w:line="240" w:lineRule="auto"/>
        <w:jc w:val="both"/>
      </w:pPr>
    </w:p>
    <w:p w:rsidR="000F6D18" w:rsidRPr="00605D18" w:rsidRDefault="000F6D18" w:rsidP="000F6D18">
      <w:pPr>
        <w:spacing w:after="0" w:line="240" w:lineRule="auto"/>
        <w:jc w:val="both"/>
      </w:pPr>
    </w:p>
    <w:p w:rsidR="000F6D18" w:rsidRPr="00605D18" w:rsidRDefault="000F6D18" w:rsidP="000F6D18">
      <w:pPr>
        <w:spacing w:after="0" w:line="240" w:lineRule="auto"/>
        <w:ind w:firstLine="709"/>
        <w:jc w:val="both"/>
      </w:pPr>
      <w:r w:rsidRPr="00605D18">
        <w:t xml:space="preserve">Керівник Головного управління </w:t>
      </w:r>
      <w:r w:rsidRPr="00605D18">
        <w:tab/>
      </w:r>
      <w:r w:rsidRPr="00605D18">
        <w:tab/>
      </w:r>
      <w:r w:rsidRPr="00605D18">
        <w:tab/>
      </w:r>
      <w:r w:rsidRPr="00605D18">
        <w:tab/>
        <w:t xml:space="preserve">            </w:t>
      </w:r>
      <w:r w:rsidR="00137A32" w:rsidRPr="00605D18">
        <w:t xml:space="preserve">  </w:t>
      </w:r>
      <w:r w:rsidRPr="00605D18">
        <w:t xml:space="preserve">  С. Тихонюк</w:t>
      </w:r>
    </w:p>
    <w:p w:rsidR="000F6D18" w:rsidRPr="003C3503" w:rsidRDefault="000F6D18" w:rsidP="000F6D18">
      <w:pPr>
        <w:spacing w:after="0" w:line="240" w:lineRule="auto"/>
        <w:ind w:firstLine="709"/>
        <w:jc w:val="both"/>
        <w:rPr>
          <w:szCs w:val="28"/>
        </w:rPr>
      </w:pPr>
    </w:p>
    <w:p w:rsidR="000F6D18" w:rsidRPr="003C3503" w:rsidRDefault="000F6D18" w:rsidP="000F6D18">
      <w:pPr>
        <w:spacing w:after="0" w:line="240" w:lineRule="auto"/>
        <w:ind w:firstLine="709"/>
        <w:jc w:val="both"/>
        <w:rPr>
          <w:szCs w:val="28"/>
        </w:rPr>
      </w:pPr>
    </w:p>
    <w:p w:rsidR="00616115" w:rsidRPr="00605D18" w:rsidRDefault="000F6D18" w:rsidP="00A6138F">
      <w:pPr>
        <w:spacing w:after="0" w:line="240" w:lineRule="auto"/>
        <w:ind w:firstLine="709"/>
        <w:jc w:val="both"/>
        <w:rPr>
          <w:sz w:val="20"/>
          <w:szCs w:val="20"/>
        </w:rPr>
      </w:pPr>
      <w:r w:rsidRPr="00605D18">
        <w:rPr>
          <w:sz w:val="20"/>
          <w:szCs w:val="20"/>
        </w:rPr>
        <w:t>Вик.: В. Попович, Є. Корнієнко</w:t>
      </w:r>
      <w:r w:rsidR="00612D9C" w:rsidRPr="00605D18">
        <w:rPr>
          <w:sz w:val="20"/>
          <w:szCs w:val="20"/>
        </w:rPr>
        <w:t xml:space="preserve">, </w:t>
      </w:r>
      <w:r w:rsidR="00E502E9" w:rsidRPr="00605D18">
        <w:rPr>
          <w:sz w:val="20"/>
          <w:szCs w:val="20"/>
        </w:rPr>
        <w:t xml:space="preserve">І. Кунець, </w:t>
      </w:r>
      <w:r w:rsidR="00612D9C" w:rsidRPr="00605D18">
        <w:rPr>
          <w:sz w:val="20"/>
          <w:szCs w:val="20"/>
        </w:rPr>
        <w:t>Т. Ругаєва</w:t>
      </w:r>
    </w:p>
    <w:sectPr w:rsidR="00616115" w:rsidRPr="00605D18" w:rsidSect="00DF07F9">
      <w:headerReference w:type="default" r:id="rId8"/>
      <w:footerReference w:type="even" r:id="rId9"/>
      <w:headerReference w:type="first" r:id="rId10"/>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2EB4" w:rsidRDefault="00212EB4" w:rsidP="000F6D18">
      <w:pPr>
        <w:spacing w:after="0" w:line="240" w:lineRule="auto"/>
      </w:pPr>
      <w:r>
        <w:separator/>
      </w:r>
    </w:p>
  </w:endnote>
  <w:endnote w:type="continuationSeparator" w:id="0">
    <w:p w:rsidR="00212EB4" w:rsidRDefault="00212EB4" w:rsidP="000F6D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594E" w:rsidRDefault="008C473B" w:rsidP="006C27EE">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Pr>
        <w:rStyle w:val="a9"/>
        <w:noProof/>
      </w:rPr>
      <w:t>2</w:t>
    </w:r>
    <w:r>
      <w:rPr>
        <w:rStyle w:val="a9"/>
      </w:rPr>
      <w:fldChar w:fldCharType="end"/>
    </w:r>
  </w:p>
  <w:p w:rsidR="0049594E" w:rsidRDefault="00212EB4" w:rsidP="006C27EE">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2EB4" w:rsidRDefault="00212EB4" w:rsidP="000F6D18">
      <w:pPr>
        <w:spacing w:after="0" w:line="240" w:lineRule="auto"/>
      </w:pPr>
      <w:r>
        <w:separator/>
      </w:r>
    </w:p>
  </w:footnote>
  <w:footnote w:type="continuationSeparator" w:id="0">
    <w:p w:rsidR="00212EB4" w:rsidRDefault="00212EB4" w:rsidP="000F6D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594E" w:rsidRDefault="008C473B" w:rsidP="003A3764">
    <w:pPr>
      <w:pStyle w:val="a5"/>
      <w:jc w:val="center"/>
    </w:pPr>
    <w:r>
      <w:fldChar w:fldCharType="begin"/>
    </w:r>
    <w:r>
      <w:instrText>PAGE   \* MERGEFORMAT</w:instrText>
    </w:r>
    <w:r>
      <w:fldChar w:fldCharType="separate"/>
    </w:r>
    <w:r w:rsidR="00054B1D">
      <w:rPr>
        <w:noProof/>
      </w:rPr>
      <w:t>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594E" w:rsidRPr="00BB708C" w:rsidRDefault="008C473B" w:rsidP="006C27EE">
    <w:pPr>
      <w:pStyle w:val="a5"/>
      <w:jc w:val="right"/>
      <w:rPr>
        <w:sz w:val="20"/>
        <w:szCs w:val="20"/>
      </w:rPr>
    </w:pPr>
    <w:r w:rsidRPr="009B655C">
      <w:rPr>
        <w:sz w:val="20"/>
        <w:szCs w:val="20"/>
      </w:rPr>
      <w:t xml:space="preserve">До </w:t>
    </w:r>
    <w:r>
      <w:rPr>
        <w:sz w:val="20"/>
        <w:szCs w:val="20"/>
      </w:rPr>
      <w:t xml:space="preserve">реєстр. </w:t>
    </w:r>
    <w:r w:rsidRPr="009B655C">
      <w:rPr>
        <w:sz w:val="20"/>
        <w:szCs w:val="20"/>
      </w:rPr>
      <w:t xml:space="preserve">№ </w:t>
    </w:r>
    <w:r w:rsidRPr="00904D66">
      <w:rPr>
        <w:sz w:val="20"/>
        <w:szCs w:val="20"/>
      </w:rPr>
      <w:t>5</w:t>
    </w:r>
    <w:r w:rsidR="000F6D18">
      <w:rPr>
        <w:sz w:val="20"/>
        <w:szCs w:val="20"/>
      </w:rPr>
      <w:t>629</w:t>
    </w:r>
    <w:r w:rsidRPr="00904D66">
      <w:rPr>
        <w:sz w:val="20"/>
        <w:szCs w:val="20"/>
      </w:rPr>
      <w:t xml:space="preserve"> від </w:t>
    </w:r>
    <w:r w:rsidR="000F6D18" w:rsidRPr="000F6D18">
      <w:rPr>
        <w:sz w:val="20"/>
        <w:szCs w:val="20"/>
      </w:rPr>
      <w:t>07.06.2021</w:t>
    </w:r>
  </w:p>
  <w:p w:rsidR="0049594E" w:rsidRDefault="008C473B" w:rsidP="006C27EE">
    <w:pPr>
      <w:pStyle w:val="a5"/>
      <w:jc w:val="right"/>
      <w:rPr>
        <w:sz w:val="20"/>
        <w:szCs w:val="20"/>
      </w:rPr>
    </w:pPr>
    <w:r>
      <w:rPr>
        <w:sz w:val="20"/>
        <w:szCs w:val="20"/>
      </w:rPr>
      <w:t>Народні депутати України</w:t>
    </w:r>
  </w:p>
  <w:p w:rsidR="0049594E" w:rsidRPr="000F6D18" w:rsidRDefault="000F6D18" w:rsidP="000F6D18">
    <w:pPr>
      <w:pStyle w:val="a5"/>
      <w:jc w:val="right"/>
      <w:rPr>
        <w:sz w:val="20"/>
        <w:szCs w:val="20"/>
      </w:rPr>
    </w:pPr>
    <w:r w:rsidRPr="000F6D18">
      <w:rPr>
        <w:sz w:val="20"/>
        <w:szCs w:val="20"/>
      </w:rPr>
      <w:t xml:space="preserve">О. Бакумов </w:t>
    </w:r>
    <w:r w:rsidR="008C473B">
      <w:rPr>
        <w:sz w:val="20"/>
        <w:szCs w:val="20"/>
      </w:rPr>
      <w:t>та інші</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1E78B3"/>
    <w:multiLevelType w:val="hybridMultilevel"/>
    <w:tmpl w:val="4A589B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5932FA0"/>
    <w:multiLevelType w:val="hybridMultilevel"/>
    <w:tmpl w:val="497A392E"/>
    <w:lvl w:ilvl="0" w:tplc="7D189F06">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6D18"/>
    <w:rsid w:val="00001629"/>
    <w:rsid w:val="00004B87"/>
    <w:rsid w:val="00032390"/>
    <w:rsid w:val="000377D1"/>
    <w:rsid w:val="00044D57"/>
    <w:rsid w:val="0004713E"/>
    <w:rsid w:val="00054B1D"/>
    <w:rsid w:val="00064A76"/>
    <w:rsid w:val="000710DD"/>
    <w:rsid w:val="000A1316"/>
    <w:rsid w:val="000B6D64"/>
    <w:rsid w:val="000C10D5"/>
    <w:rsid w:val="000C7B68"/>
    <w:rsid w:val="000C7D06"/>
    <w:rsid w:val="000D5518"/>
    <w:rsid w:val="000F6D18"/>
    <w:rsid w:val="001170BF"/>
    <w:rsid w:val="0011737F"/>
    <w:rsid w:val="00121D3E"/>
    <w:rsid w:val="0012718D"/>
    <w:rsid w:val="001335CB"/>
    <w:rsid w:val="00134AD8"/>
    <w:rsid w:val="00137A32"/>
    <w:rsid w:val="00137D2F"/>
    <w:rsid w:val="00140A74"/>
    <w:rsid w:val="00144C32"/>
    <w:rsid w:val="00163BF5"/>
    <w:rsid w:val="001676EE"/>
    <w:rsid w:val="001754E6"/>
    <w:rsid w:val="001A0382"/>
    <w:rsid w:val="001A2B34"/>
    <w:rsid w:val="001B3AB2"/>
    <w:rsid w:val="001C3CB8"/>
    <w:rsid w:val="001C7B87"/>
    <w:rsid w:val="001D62AC"/>
    <w:rsid w:val="001F264E"/>
    <w:rsid w:val="00212EB4"/>
    <w:rsid w:val="00213312"/>
    <w:rsid w:val="00223288"/>
    <w:rsid w:val="0022414A"/>
    <w:rsid w:val="00224704"/>
    <w:rsid w:val="00236623"/>
    <w:rsid w:val="002410F1"/>
    <w:rsid w:val="00250C5D"/>
    <w:rsid w:val="00254D0A"/>
    <w:rsid w:val="00274898"/>
    <w:rsid w:val="002833E2"/>
    <w:rsid w:val="00297010"/>
    <w:rsid w:val="002A2761"/>
    <w:rsid w:val="002B030D"/>
    <w:rsid w:val="002B123F"/>
    <w:rsid w:val="002B479B"/>
    <w:rsid w:val="002E6FE0"/>
    <w:rsid w:val="00300A09"/>
    <w:rsid w:val="0031362E"/>
    <w:rsid w:val="00325719"/>
    <w:rsid w:val="00327C67"/>
    <w:rsid w:val="00331CC5"/>
    <w:rsid w:val="00337FDA"/>
    <w:rsid w:val="003614CF"/>
    <w:rsid w:val="00364889"/>
    <w:rsid w:val="003668EE"/>
    <w:rsid w:val="00373B81"/>
    <w:rsid w:val="0039106B"/>
    <w:rsid w:val="003920C3"/>
    <w:rsid w:val="00393518"/>
    <w:rsid w:val="00393B2B"/>
    <w:rsid w:val="00394599"/>
    <w:rsid w:val="0039744F"/>
    <w:rsid w:val="003C3503"/>
    <w:rsid w:val="003E4DAC"/>
    <w:rsid w:val="00402417"/>
    <w:rsid w:val="00404C3B"/>
    <w:rsid w:val="00413F27"/>
    <w:rsid w:val="00425075"/>
    <w:rsid w:val="004270A1"/>
    <w:rsid w:val="00430869"/>
    <w:rsid w:val="0044579D"/>
    <w:rsid w:val="00474481"/>
    <w:rsid w:val="0047548D"/>
    <w:rsid w:val="004A4023"/>
    <w:rsid w:val="004A43B3"/>
    <w:rsid w:val="004A6B43"/>
    <w:rsid w:val="004B6433"/>
    <w:rsid w:val="004D5365"/>
    <w:rsid w:val="004D61F7"/>
    <w:rsid w:val="004E5EAA"/>
    <w:rsid w:val="0051223B"/>
    <w:rsid w:val="00516440"/>
    <w:rsid w:val="0051708E"/>
    <w:rsid w:val="00521E8B"/>
    <w:rsid w:val="0054752B"/>
    <w:rsid w:val="00592F2E"/>
    <w:rsid w:val="0059310B"/>
    <w:rsid w:val="005D0350"/>
    <w:rsid w:val="005D2282"/>
    <w:rsid w:val="005D7369"/>
    <w:rsid w:val="005E11CD"/>
    <w:rsid w:val="006020B0"/>
    <w:rsid w:val="00603CC6"/>
    <w:rsid w:val="00605D18"/>
    <w:rsid w:val="00612D9C"/>
    <w:rsid w:val="00616115"/>
    <w:rsid w:val="006238BD"/>
    <w:rsid w:val="00625964"/>
    <w:rsid w:val="006427C8"/>
    <w:rsid w:val="006672B6"/>
    <w:rsid w:val="00690FA4"/>
    <w:rsid w:val="006A31BD"/>
    <w:rsid w:val="006A43B4"/>
    <w:rsid w:val="006C7406"/>
    <w:rsid w:val="006E6452"/>
    <w:rsid w:val="006F7660"/>
    <w:rsid w:val="00717AC0"/>
    <w:rsid w:val="00753CC5"/>
    <w:rsid w:val="00760DB5"/>
    <w:rsid w:val="007624A2"/>
    <w:rsid w:val="00782FC3"/>
    <w:rsid w:val="00783F78"/>
    <w:rsid w:val="007A0110"/>
    <w:rsid w:val="007A4CAD"/>
    <w:rsid w:val="007B29EE"/>
    <w:rsid w:val="007B2D7B"/>
    <w:rsid w:val="007B660C"/>
    <w:rsid w:val="007C025A"/>
    <w:rsid w:val="007D1B0F"/>
    <w:rsid w:val="007D6A81"/>
    <w:rsid w:val="007E3708"/>
    <w:rsid w:val="007F5982"/>
    <w:rsid w:val="00804F65"/>
    <w:rsid w:val="00805268"/>
    <w:rsid w:val="00807770"/>
    <w:rsid w:val="00820404"/>
    <w:rsid w:val="008213AB"/>
    <w:rsid w:val="008420FB"/>
    <w:rsid w:val="0084454A"/>
    <w:rsid w:val="008456A9"/>
    <w:rsid w:val="00851F3F"/>
    <w:rsid w:val="00860BD5"/>
    <w:rsid w:val="0086282B"/>
    <w:rsid w:val="00865110"/>
    <w:rsid w:val="008A7DAC"/>
    <w:rsid w:val="008C473B"/>
    <w:rsid w:val="008E2CB4"/>
    <w:rsid w:val="008E44F7"/>
    <w:rsid w:val="00900F58"/>
    <w:rsid w:val="00920909"/>
    <w:rsid w:val="00926D55"/>
    <w:rsid w:val="009377DF"/>
    <w:rsid w:val="00937E45"/>
    <w:rsid w:val="00942715"/>
    <w:rsid w:val="00950AF7"/>
    <w:rsid w:val="009537E2"/>
    <w:rsid w:val="0095474D"/>
    <w:rsid w:val="00963A19"/>
    <w:rsid w:val="00974EC0"/>
    <w:rsid w:val="009A6C82"/>
    <w:rsid w:val="009B3D21"/>
    <w:rsid w:val="009B44D0"/>
    <w:rsid w:val="009C36CE"/>
    <w:rsid w:val="009C7C34"/>
    <w:rsid w:val="009D6E23"/>
    <w:rsid w:val="009D7601"/>
    <w:rsid w:val="009E58B7"/>
    <w:rsid w:val="009F18EE"/>
    <w:rsid w:val="00A05A08"/>
    <w:rsid w:val="00A063D7"/>
    <w:rsid w:val="00A164F1"/>
    <w:rsid w:val="00A325E5"/>
    <w:rsid w:val="00A412D0"/>
    <w:rsid w:val="00A540E8"/>
    <w:rsid w:val="00A54D8F"/>
    <w:rsid w:val="00A6138F"/>
    <w:rsid w:val="00A61938"/>
    <w:rsid w:val="00A63CB5"/>
    <w:rsid w:val="00A87B7C"/>
    <w:rsid w:val="00A97FC4"/>
    <w:rsid w:val="00AA3D89"/>
    <w:rsid w:val="00AC36BF"/>
    <w:rsid w:val="00AF3C94"/>
    <w:rsid w:val="00AF60A4"/>
    <w:rsid w:val="00AF74F1"/>
    <w:rsid w:val="00B01002"/>
    <w:rsid w:val="00B22A35"/>
    <w:rsid w:val="00B232FD"/>
    <w:rsid w:val="00B2538C"/>
    <w:rsid w:val="00B265E8"/>
    <w:rsid w:val="00B467EA"/>
    <w:rsid w:val="00B55800"/>
    <w:rsid w:val="00B80C1C"/>
    <w:rsid w:val="00B85EB0"/>
    <w:rsid w:val="00BB775C"/>
    <w:rsid w:val="00BC70F0"/>
    <w:rsid w:val="00BD6CAD"/>
    <w:rsid w:val="00BD6FC4"/>
    <w:rsid w:val="00BE5F35"/>
    <w:rsid w:val="00C25496"/>
    <w:rsid w:val="00C2702A"/>
    <w:rsid w:val="00C374E7"/>
    <w:rsid w:val="00C466EB"/>
    <w:rsid w:val="00C4684C"/>
    <w:rsid w:val="00C51516"/>
    <w:rsid w:val="00C54424"/>
    <w:rsid w:val="00CA1A67"/>
    <w:rsid w:val="00CB38FF"/>
    <w:rsid w:val="00CB5B83"/>
    <w:rsid w:val="00CD4638"/>
    <w:rsid w:val="00CD6684"/>
    <w:rsid w:val="00CF5E3A"/>
    <w:rsid w:val="00D00200"/>
    <w:rsid w:val="00D3456A"/>
    <w:rsid w:val="00D43AB4"/>
    <w:rsid w:val="00D51097"/>
    <w:rsid w:val="00D71A9C"/>
    <w:rsid w:val="00D90A93"/>
    <w:rsid w:val="00D9431B"/>
    <w:rsid w:val="00DA03CF"/>
    <w:rsid w:val="00DD079F"/>
    <w:rsid w:val="00DD7047"/>
    <w:rsid w:val="00DE50AB"/>
    <w:rsid w:val="00DF07F9"/>
    <w:rsid w:val="00E15833"/>
    <w:rsid w:val="00E3410A"/>
    <w:rsid w:val="00E502E9"/>
    <w:rsid w:val="00E66DA6"/>
    <w:rsid w:val="00E7779E"/>
    <w:rsid w:val="00E81FB9"/>
    <w:rsid w:val="00E84D8D"/>
    <w:rsid w:val="00E93852"/>
    <w:rsid w:val="00EA7FCD"/>
    <w:rsid w:val="00EE342D"/>
    <w:rsid w:val="00EE538E"/>
    <w:rsid w:val="00EF0760"/>
    <w:rsid w:val="00EF08CF"/>
    <w:rsid w:val="00EF49E8"/>
    <w:rsid w:val="00EF740C"/>
    <w:rsid w:val="00F01EC2"/>
    <w:rsid w:val="00F242B3"/>
    <w:rsid w:val="00F42F94"/>
    <w:rsid w:val="00F43ED1"/>
    <w:rsid w:val="00F45882"/>
    <w:rsid w:val="00F51F89"/>
    <w:rsid w:val="00F60481"/>
    <w:rsid w:val="00F707F2"/>
    <w:rsid w:val="00F83E01"/>
    <w:rsid w:val="00F946CF"/>
    <w:rsid w:val="00FA633F"/>
    <w:rsid w:val="00FC1752"/>
    <w:rsid w:val="00FE1EFA"/>
    <w:rsid w:val="00FE450F"/>
    <w:rsid w:val="00FE5A31"/>
    <w:rsid w:val="00FF61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1362E"/>
    <w:rPr>
      <w:rFonts w:ascii="Times New Roman" w:eastAsia="Calibri" w:hAnsi="Times New Roman" w:cs="Times New Roman"/>
      <w:sz w:val="28"/>
      <w:lang w:val="uk-UA"/>
    </w:rPr>
  </w:style>
  <w:style w:type="paragraph" w:styleId="2">
    <w:name w:val="heading 2"/>
    <w:basedOn w:val="a"/>
    <w:next w:val="a"/>
    <w:link w:val="20"/>
    <w:uiPriority w:val="9"/>
    <w:semiHidden/>
    <w:unhideWhenUsed/>
    <w:qFormat/>
    <w:rsid w:val="000F6D1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0F6D1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7">
    <w:name w:val="heading 7"/>
    <w:basedOn w:val="a"/>
    <w:next w:val="a"/>
    <w:link w:val="70"/>
    <w:qFormat/>
    <w:rsid w:val="000F6D18"/>
    <w:pPr>
      <w:keepNext/>
      <w:autoSpaceDE w:val="0"/>
      <w:autoSpaceDN w:val="0"/>
      <w:spacing w:after="0" w:line="240" w:lineRule="auto"/>
      <w:ind w:firstLine="720"/>
      <w:jc w:val="center"/>
      <w:outlineLvl w:val="6"/>
    </w:pPr>
    <w:rPr>
      <w:rFonts w:ascii="Arial" w:eastAsia="Times New Roman" w:hAnsi="Arial" w:cs="Arial"/>
      <w:b/>
      <w:bCs/>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0F6D18"/>
    <w:rPr>
      <w:rFonts w:asciiTheme="majorHAnsi" w:eastAsiaTheme="majorEastAsia" w:hAnsiTheme="majorHAnsi" w:cstheme="majorBidi"/>
      <w:color w:val="1F4D78" w:themeColor="accent1" w:themeShade="7F"/>
      <w:sz w:val="24"/>
      <w:szCs w:val="24"/>
      <w:lang w:val="uk-UA"/>
    </w:rPr>
  </w:style>
  <w:style w:type="character" w:customStyle="1" w:styleId="70">
    <w:name w:val="Заголовок 7 Знак"/>
    <w:basedOn w:val="a0"/>
    <w:link w:val="7"/>
    <w:rsid w:val="000F6D18"/>
    <w:rPr>
      <w:rFonts w:ascii="Arial" w:eastAsia="Times New Roman" w:hAnsi="Arial" w:cs="Arial"/>
      <w:b/>
      <w:bCs/>
      <w:sz w:val="28"/>
      <w:szCs w:val="28"/>
      <w:lang w:val="uk-UA" w:eastAsia="ru-RU"/>
    </w:rPr>
  </w:style>
  <w:style w:type="paragraph" w:styleId="a3">
    <w:name w:val="Body Text"/>
    <w:basedOn w:val="a"/>
    <w:link w:val="a4"/>
    <w:unhideWhenUsed/>
    <w:rsid w:val="000F6D18"/>
    <w:pPr>
      <w:autoSpaceDE w:val="0"/>
      <w:autoSpaceDN w:val="0"/>
      <w:spacing w:after="0" w:line="240" w:lineRule="auto"/>
      <w:ind w:firstLine="706"/>
      <w:jc w:val="both"/>
    </w:pPr>
    <w:rPr>
      <w:rFonts w:ascii="Arial" w:eastAsia="Times New Roman" w:hAnsi="Arial" w:cs="Arial"/>
      <w:szCs w:val="28"/>
      <w:lang w:eastAsia="ru-RU"/>
    </w:rPr>
  </w:style>
  <w:style w:type="character" w:customStyle="1" w:styleId="a4">
    <w:name w:val="Основний текст Знак"/>
    <w:basedOn w:val="a0"/>
    <w:link w:val="a3"/>
    <w:rsid w:val="000F6D18"/>
    <w:rPr>
      <w:rFonts w:ascii="Arial" w:eastAsia="Times New Roman" w:hAnsi="Arial" w:cs="Arial"/>
      <w:sz w:val="28"/>
      <w:szCs w:val="28"/>
      <w:lang w:val="uk-UA" w:eastAsia="ru-RU"/>
    </w:rPr>
  </w:style>
  <w:style w:type="paragraph" w:styleId="a5">
    <w:name w:val="header"/>
    <w:basedOn w:val="a"/>
    <w:link w:val="a6"/>
    <w:uiPriority w:val="99"/>
    <w:unhideWhenUsed/>
    <w:rsid w:val="000F6D18"/>
    <w:pPr>
      <w:tabs>
        <w:tab w:val="center" w:pos="4677"/>
        <w:tab w:val="right" w:pos="9355"/>
      </w:tabs>
      <w:spacing w:after="0" w:line="240" w:lineRule="auto"/>
    </w:pPr>
    <w:rPr>
      <w:rFonts w:eastAsia="SimSun"/>
      <w:sz w:val="24"/>
      <w:szCs w:val="24"/>
      <w:lang w:eastAsia="zh-CN"/>
    </w:rPr>
  </w:style>
  <w:style w:type="character" w:customStyle="1" w:styleId="a6">
    <w:name w:val="Верхній колонтитул Знак"/>
    <w:basedOn w:val="a0"/>
    <w:link w:val="a5"/>
    <w:uiPriority w:val="99"/>
    <w:rsid w:val="000F6D18"/>
    <w:rPr>
      <w:rFonts w:ascii="Times New Roman" w:eastAsia="SimSun" w:hAnsi="Times New Roman" w:cs="Times New Roman"/>
      <w:sz w:val="24"/>
      <w:szCs w:val="24"/>
      <w:lang w:val="uk-UA" w:eastAsia="zh-CN"/>
    </w:rPr>
  </w:style>
  <w:style w:type="paragraph" w:styleId="a7">
    <w:name w:val="footer"/>
    <w:basedOn w:val="a"/>
    <w:link w:val="a8"/>
    <w:uiPriority w:val="99"/>
    <w:unhideWhenUsed/>
    <w:rsid w:val="000F6D18"/>
    <w:pPr>
      <w:tabs>
        <w:tab w:val="center" w:pos="4677"/>
        <w:tab w:val="right" w:pos="9355"/>
      </w:tabs>
      <w:spacing w:after="0" w:line="240" w:lineRule="auto"/>
    </w:pPr>
    <w:rPr>
      <w:rFonts w:eastAsia="SimSun"/>
      <w:sz w:val="24"/>
      <w:szCs w:val="24"/>
      <w:lang w:eastAsia="zh-CN"/>
    </w:rPr>
  </w:style>
  <w:style w:type="character" w:customStyle="1" w:styleId="a8">
    <w:name w:val="Нижній колонтитул Знак"/>
    <w:basedOn w:val="a0"/>
    <w:link w:val="a7"/>
    <w:uiPriority w:val="99"/>
    <w:rsid w:val="000F6D18"/>
    <w:rPr>
      <w:rFonts w:ascii="Times New Roman" w:eastAsia="SimSun" w:hAnsi="Times New Roman" w:cs="Times New Roman"/>
      <w:sz w:val="24"/>
      <w:szCs w:val="24"/>
      <w:lang w:val="uk-UA" w:eastAsia="zh-CN"/>
    </w:rPr>
  </w:style>
  <w:style w:type="character" w:styleId="a9">
    <w:name w:val="page number"/>
    <w:rsid w:val="000F6D18"/>
  </w:style>
  <w:style w:type="character" w:styleId="aa">
    <w:name w:val="footnote reference"/>
    <w:basedOn w:val="a0"/>
    <w:uiPriority w:val="99"/>
    <w:semiHidden/>
    <w:unhideWhenUsed/>
    <w:rsid w:val="000F6D18"/>
    <w:rPr>
      <w:vertAlign w:val="superscript"/>
    </w:rPr>
  </w:style>
  <w:style w:type="character" w:customStyle="1" w:styleId="rvts9">
    <w:name w:val="rvts9"/>
    <w:basedOn w:val="a0"/>
    <w:rsid w:val="000F6D18"/>
    <w:rPr>
      <w:rFonts w:cs="Times New Roman"/>
    </w:rPr>
  </w:style>
  <w:style w:type="character" w:customStyle="1" w:styleId="20">
    <w:name w:val="Заголовок 2 Знак"/>
    <w:basedOn w:val="a0"/>
    <w:link w:val="2"/>
    <w:uiPriority w:val="9"/>
    <w:semiHidden/>
    <w:rsid w:val="000F6D18"/>
    <w:rPr>
      <w:rFonts w:asciiTheme="majorHAnsi" w:eastAsiaTheme="majorEastAsia" w:hAnsiTheme="majorHAnsi" w:cstheme="majorBidi"/>
      <w:color w:val="2E74B5" w:themeColor="accent1" w:themeShade="BF"/>
      <w:sz w:val="26"/>
      <w:szCs w:val="26"/>
      <w:lang w:val="uk-UA"/>
    </w:rPr>
  </w:style>
  <w:style w:type="paragraph" w:customStyle="1" w:styleId="rvps2">
    <w:name w:val="rvps2"/>
    <w:basedOn w:val="a"/>
    <w:rsid w:val="006020B0"/>
    <w:pPr>
      <w:spacing w:before="100" w:beforeAutospacing="1" w:after="100" w:afterAutospacing="1" w:line="240" w:lineRule="auto"/>
    </w:pPr>
    <w:rPr>
      <w:rFonts w:eastAsia="Times New Roman"/>
      <w:sz w:val="24"/>
      <w:szCs w:val="24"/>
      <w:lang w:val="ru-RU" w:eastAsia="ru-RU"/>
    </w:rPr>
  </w:style>
  <w:style w:type="character" w:customStyle="1" w:styleId="rvts37">
    <w:name w:val="rvts37"/>
    <w:basedOn w:val="a0"/>
    <w:rsid w:val="006020B0"/>
  </w:style>
  <w:style w:type="character" w:styleId="ab">
    <w:name w:val="Hyperlink"/>
    <w:basedOn w:val="a0"/>
    <w:uiPriority w:val="99"/>
    <w:semiHidden/>
    <w:unhideWhenUsed/>
    <w:rsid w:val="006020B0"/>
    <w:rPr>
      <w:color w:val="0000FF"/>
      <w:u w:val="single"/>
    </w:rPr>
  </w:style>
  <w:style w:type="paragraph" w:styleId="ac">
    <w:name w:val="List Paragraph"/>
    <w:basedOn w:val="a"/>
    <w:uiPriority w:val="34"/>
    <w:qFormat/>
    <w:rsid w:val="0095474D"/>
    <w:pPr>
      <w:ind w:left="720"/>
      <w:contextualSpacing/>
    </w:pPr>
  </w:style>
  <w:style w:type="character" w:customStyle="1" w:styleId="Absatz-Standardschriftart">
    <w:name w:val="Absatz-Standardschriftart"/>
    <w:uiPriority w:val="99"/>
    <w:rsid w:val="00137D2F"/>
  </w:style>
  <w:style w:type="character" w:customStyle="1" w:styleId="rvts0">
    <w:name w:val="rvts0"/>
    <w:rsid w:val="00804F65"/>
  </w:style>
  <w:style w:type="paragraph" w:styleId="ad">
    <w:name w:val="footnote text"/>
    <w:basedOn w:val="a"/>
    <w:link w:val="ae"/>
    <w:uiPriority w:val="99"/>
    <w:semiHidden/>
    <w:unhideWhenUsed/>
    <w:rsid w:val="00804F65"/>
    <w:pPr>
      <w:spacing w:after="0" w:line="240" w:lineRule="auto"/>
    </w:pPr>
    <w:rPr>
      <w:sz w:val="20"/>
      <w:szCs w:val="20"/>
    </w:rPr>
  </w:style>
  <w:style w:type="character" w:customStyle="1" w:styleId="ae">
    <w:name w:val="Текст виноски Знак"/>
    <w:basedOn w:val="a0"/>
    <w:link w:val="ad"/>
    <w:uiPriority w:val="99"/>
    <w:semiHidden/>
    <w:rsid w:val="00804F65"/>
    <w:rPr>
      <w:rFonts w:ascii="Times New Roman" w:eastAsia="Calibri" w:hAnsi="Times New Roman" w:cs="Times New Roman"/>
      <w:sz w:val="20"/>
      <w:szCs w:val="20"/>
      <w:lang w:val="uk-UA"/>
    </w:rPr>
  </w:style>
  <w:style w:type="character" w:styleId="af">
    <w:name w:val="Emphasis"/>
    <w:basedOn w:val="a0"/>
    <w:uiPriority w:val="20"/>
    <w:qFormat/>
    <w:rsid w:val="006C7406"/>
    <w:rPr>
      <w:i/>
      <w:iCs/>
    </w:rPr>
  </w:style>
  <w:style w:type="paragraph" w:styleId="af0">
    <w:name w:val="Normal (Web)"/>
    <w:basedOn w:val="a"/>
    <w:uiPriority w:val="99"/>
    <w:semiHidden/>
    <w:unhideWhenUsed/>
    <w:rsid w:val="00236623"/>
    <w:pPr>
      <w:spacing w:before="100" w:beforeAutospacing="1" w:after="100" w:afterAutospacing="1" w:line="240" w:lineRule="auto"/>
    </w:pPr>
    <w:rPr>
      <w:rFonts w:eastAsia="Times New Roman"/>
      <w:sz w:val="24"/>
      <w:szCs w:val="24"/>
      <w:lang w:eastAsia="uk-UA"/>
    </w:rPr>
  </w:style>
  <w:style w:type="paragraph" w:styleId="af1">
    <w:name w:val="Balloon Text"/>
    <w:basedOn w:val="a"/>
    <w:link w:val="af2"/>
    <w:uiPriority w:val="99"/>
    <w:semiHidden/>
    <w:unhideWhenUsed/>
    <w:rsid w:val="00605D18"/>
    <w:pPr>
      <w:spacing w:after="0" w:line="240" w:lineRule="auto"/>
    </w:pPr>
    <w:rPr>
      <w:rFonts w:ascii="Segoe UI" w:hAnsi="Segoe UI" w:cs="Segoe UI"/>
      <w:sz w:val="18"/>
      <w:szCs w:val="18"/>
    </w:rPr>
  </w:style>
  <w:style w:type="character" w:customStyle="1" w:styleId="af2">
    <w:name w:val="Текст у виносці Знак"/>
    <w:basedOn w:val="a0"/>
    <w:link w:val="af1"/>
    <w:uiPriority w:val="99"/>
    <w:semiHidden/>
    <w:rsid w:val="00605D18"/>
    <w:rPr>
      <w:rFonts w:ascii="Segoe UI" w:eastAsia="Calibri" w:hAnsi="Segoe UI" w:cs="Segoe UI"/>
      <w:sz w:val="18"/>
      <w:szCs w:val="18"/>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10561">
      <w:bodyDiv w:val="1"/>
      <w:marLeft w:val="0"/>
      <w:marRight w:val="0"/>
      <w:marTop w:val="0"/>
      <w:marBottom w:val="0"/>
      <w:divBdr>
        <w:top w:val="none" w:sz="0" w:space="0" w:color="auto"/>
        <w:left w:val="none" w:sz="0" w:space="0" w:color="auto"/>
        <w:bottom w:val="none" w:sz="0" w:space="0" w:color="auto"/>
        <w:right w:val="none" w:sz="0" w:space="0" w:color="auto"/>
      </w:divBdr>
    </w:div>
    <w:div w:id="587271073">
      <w:bodyDiv w:val="1"/>
      <w:marLeft w:val="0"/>
      <w:marRight w:val="0"/>
      <w:marTop w:val="0"/>
      <w:marBottom w:val="0"/>
      <w:divBdr>
        <w:top w:val="none" w:sz="0" w:space="0" w:color="auto"/>
        <w:left w:val="none" w:sz="0" w:space="0" w:color="auto"/>
        <w:bottom w:val="none" w:sz="0" w:space="0" w:color="auto"/>
        <w:right w:val="none" w:sz="0" w:space="0" w:color="auto"/>
      </w:divBdr>
    </w:div>
    <w:div w:id="663824586">
      <w:bodyDiv w:val="1"/>
      <w:marLeft w:val="0"/>
      <w:marRight w:val="0"/>
      <w:marTop w:val="0"/>
      <w:marBottom w:val="0"/>
      <w:divBdr>
        <w:top w:val="none" w:sz="0" w:space="0" w:color="auto"/>
        <w:left w:val="none" w:sz="0" w:space="0" w:color="auto"/>
        <w:bottom w:val="none" w:sz="0" w:space="0" w:color="auto"/>
        <w:right w:val="none" w:sz="0" w:space="0" w:color="auto"/>
      </w:divBdr>
    </w:div>
    <w:div w:id="771633963">
      <w:bodyDiv w:val="1"/>
      <w:marLeft w:val="0"/>
      <w:marRight w:val="0"/>
      <w:marTop w:val="0"/>
      <w:marBottom w:val="0"/>
      <w:divBdr>
        <w:top w:val="none" w:sz="0" w:space="0" w:color="auto"/>
        <w:left w:val="none" w:sz="0" w:space="0" w:color="auto"/>
        <w:bottom w:val="none" w:sz="0" w:space="0" w:color="auto"/>
        <w:right w:val="none" w:sz="0" w:space="0" w:color="auto"/>
      </w:divBdr>
    </w:div>
    <w:div w:id="790826830">
      <w:bodyDiv w:val="1"/>
      <w:marLeft w:val="0"/>
      <w:marRight w:val="0"/>
      <w:marTop w:val="0"/>
      <w:marBottom w:val="0"/>
      <w:divBdr>
        <w:top w:val="none" w:sz="0" w:space="0" w:color="auto"/>
        <w:left w:val="none" w:sz="0" w:space="0" w:color="auto"/>
        <w:bottom w:val="none" w:sz="0" w:space="0" w:color="auto"/>
        <w:right w:val="none" w:sz="0" w:space="0" w:color="auto"/>
      </w:divBdr>
    </w:div>
    <w:div w:id="985090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B.XSL" StyleName="GB7714" Version="2005"/>
</file>

<file path=customXml/itemProps1.xml><?xml version="1.0" encoding="utf-8"?>
<ds:datastoreItem xmlns:ds="http://schemas.openxmlformats.org/officeDocument/2006/customXml" ds:itemID="{6D3233E7-9C03-437E-9BAA-2F17A7E589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8224</Words>
  <Characters>4689</Characters>
  <Application>Microsoft Office Word</Application>
  <DocSecurity>0</DocSecurity>
  <Lines>39</Lines>
  <Paragraphs>25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12888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2021-11-16T14:51:00Z</dcterms:created>
  <dcterms:modified xsi:type="dcterms:W3CDTF">2021-11-16T14:51:00Z</dcterms:modified>
</cp:coreProperties>
</file>