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989" w:rsidRPr="00F96989" w:rsidRDefault="00F96989" w:rsidP="00F96989">
      <w:pPr>
        <w:spacing w:after="0" w:line="240" w:lineRule="auto"/>
        <w:jc w:val="center"/>
        <w:rPr>
          <w:rFonts w:ascii="Times New Roman" w:eastAsia="Times New Roman" w:hAnsi="Times New Roman" w:cs="Times New Roman"/>
          <w:b/>
          <w:sz w:val="28"/>
          <w:szCs w:val="28"/>
          <w:lang w:val="uk-UA" w:eastAsia="ru-RU"/>
        </w:rPr>
      </w:pPr>
      <w:bookmarkStart w:id="0" w:name="_GoBack"/>
      <w:bookmarkEnd w:id="0"/>
      <w:r w:rsidRPr="00F96989">
        <w:rPr>
          <w:rFonts w:ascii="Times New Roman" w:eastAsia="Times New Roman" w:hAnsi="Times New Roman" w:cs="Times New Roman"/>
          <w:b/>
          <w:sz w:val="28"/>
          <w:szCs w:val="28"/>
          <w:lang w:val="uk-UA" w:eastAsia="ru-RU"/>
        </w:rPr>
        <w:t>ПОЯСНЮВАЛЬНА ЗАПИСКА</w:t>
      </w:r>
    </w:p>
    <w:p w:rsidR="00F96989" w:rsidRPr="00F96989" w:rsidRDefault="00F96989" w:rsidP="00F96989">
      <w:pPr>
        <w:spacing w:after="0" w:line="240" w:lineRule="auto"/>
        <w:jc w:val="center"/>
        <w:rPr>
          <w:rFonts w:ascii="Times New Roman" w:eastAsia="Times New Roman" w:hAnsi="Times New Roman" w:cs="Times New Roman"/>
          <w:b/>
          <w:sz w:val="28"/>
          <w:szCs w:val="28"/>
          <w:lang w:val="uk-UA" w:eastAsia="ru-RU"/>
        </w:rPr>
      </w:pPr>
    </w:p>
    <w:p w:rsidR="00F96989" w:rsidRPr="00F96989" w:rsidRDefault="00F96989" w:rsidP="00F96989">
      <w:pPr>
        <w:autoSpaceDE w:val="0"/>
        <w:autoSpaceDN w:val="0"/>
        <w:adjustRightInd w:val="0"/>
        <w:spacing w:after="0" w:line="240" w:lineRule="auto"/>
        <w:jc w:val="center"/>
        <w:rPr>
          <w:rFonts w:ascii="Times New Roman" w:hAnsi="Times New Roman" w:cs="Times New Roman"/>
          <w:b/>
          <w:bCs/>
          <w:color w:val="000000"/>
          <w:sz w:val="28"/>
          <w:szCs w:val="28"/>
          <w:lang w:val="uk-UA"/>
        </w:rPr>
      </w:pPr>
      <w:r w:rsidRPr="00F96989">
        <w:rPr>
          <w:rFonts w:ascii="Times New Roman" w:hAnsi="Times New Roman" w:cs="Times New Roman"/>
          <w:b/>
          <w:bCs/>
          <w:color w:val="000000"/>
          <w:sz w:val="28"/>
          <w:szCs w:val="28"/>
          <w:lang w:val="uk-UA"/>
        </w:rPr>
        <w:t xml:space="preserve">до проєкту Закону України </w:t>
      </w:r>
    </w:p>
    <w:p w:rsidR="00F96989" w:rsidRPr="00F96989" w:rsidRDefault="00F96989" w:rsidP="00F96989">
      <w:pPr>
        <w:autoSpaceDE w:val="0"/>
        <w:autoSpaceDN w:val="0"/>
        <w:adjustRightInd w:val="0"/>
        <w:spacing w:after="0" w:line="240" w:lineRule="auto"/>
        <w:jc w:val="center"/>
        <w:rPr>
          <w:rFonts w:ascii="Times New Roman" w:hAnsi="Times New Roman" w:cs="Times New Roman"/>
          <w:b/>
          <w:color w:val="000000"/>
          <w:sz w:val="28"/>
          <w:szCs w:val="28"/>
          <w:lang w:val="uk-UA"/>
        </w:rPr>
      </w:pPr>
      <w:r w:rsidRPr="00F96989">
        <w:rPr>
          <w:rFonts w:ascii="Times New Roman" w:hAnsi="Times New Roman" w:cs="Times New Roman"/>
          <w:b/>
          <w:color w:val="000000"/>
          <w:sz w:val="28"/>
          <w:szCs w:val="28"/>
          <w:lang w:val="uk-UA"/>
        </w:rPr>
        <w:t>«</w:t>
      </w:r>
      <w:bookmarkStart w:id="1" w:name="_Hlk73548237"/>
      <w:r w:rsidRPr="00F96989">
        <w:rPr>
          <w:rFonts w:ascii="Times New Roman" w:hAnsi="Times New Roman" w:cs="Times New Roman"/>
          <w:b/>
          <w:bCs/>
          <w:color w:val="000000"/>
          <w:sz w:val="28"/>
          <w:szCs w:val="28"/>
          <w:lang w:val="uk-UA"/>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bookmarkEnd w:id="1"/>
      <w:r w:rsidRPr="00F96989">
        <w:rPr>
          <w:rFonts w:ascii="Times New Roman" w:hAnsi="Times New Roman" w:cs="Times New Roman"/>
          <w:b/>
          <w:color w:val="000000"/>
          <w:sz w:val="28"/>
          <w:szCs w:val="28"/>
          <w:lang w:val="uk-UA"/>
        </w:rPr>
        <w:t>»</w:t>
      </w:r>
    </w:p>
    <w:p w:rsidR="00F96989" w:rsidRPr="00F96989" w:rsidRDefault="00F96989" w:rsidP="00F96989">
      <w:pPr>
        <w:spacing w:after="0" w:line="240" w:lineRule="auto"/>
        <w:ind w:firstLine="567"/>
        <w:jc w:val="both"/>
        <w:rPr>
          <w:rFonts w:ascii="Times New Roman" w:eastAsia="Times New Roman" w:hAnsi="Times New Roman" w:cs="Times New Roman"/>
          <w:b/>
          <w:bCs/>
          <w:color w:val="000000"/>
          <w:sz w:val="28"/>
          <w:szCs w:val="28"/>
          <w:lang w:val="uk-UA" w:eastAsia="ru-RU"/>
        </w:rPr>
      </w:pPr>
    </w:p>
    <w:p w:rsidR="00F96989" w:rsidRPr="00F96989" w:rsidRDefault="00F96989" w:rsidP="00F96989">
      <w:pPr>
        <w:spacing w:after="0" w:line="240" w:lineRule="auto"/>
        <w:ind w:firstLine="567"/>
        <w:jc w:val="both"/>
        <w:rPr>
          <w:rFonts w:ascii="Times New Roman" w:eastAsia="Times New Roman" w:hAnsi="Times New Roman" w:cs="Times New Roman"/>
          <w:b/>
          <w:bCs/>
          <w:color w:val="000000"/>
          <w:sz w:val="28"/>
          <w:szCs w:val="28"/>
          <w:lang w:val="uk-UA" w:eastAsia="ru-RU"/>
        </w:rPr>
      </w:pPr>
      <w:r w:rsidRPr="00F96989">
        <w:rPr>
          <w:rFonts w:ascii="Times New Roman" w:eastAsia="Times New Roman" w:hAnsi="Times New Roman" w:cs="Times New Roman"/>
          <w:b/>
          <w:bCs/>
          <w:color w:val="000000"/>
          <w:sz w:val="28"/>
          <w:szCs w:val="28"/>
          <w:lang w:val="uk-UA" w:eastAsia="ru-RU"/>
        </w:rPr>
        <w:t xml:space="preserve">1. Обґрунтування необхідності прийняття акта </w:t>
      </w:r>
    </w:p>
    <w:p w:rsidR="00F96989" w:rsidRPr="00F96989" w:rsidRDefault="00F96989" w:rsidP="00F96989">
      <w:pPr>
        <w:spacing w:after="0" w:line="240" w:lineRule="auto"/>
        <w:ind w:firstLine="567"/>
        <w:jc w:val="both"/>
        <w:rPr>
          <w:rFonts w:ascii="Times New Roman" w:eastAsia="Times New Roman" w:hAnsi="Times New Roman" w:cs="Times New Roman"/>
          <w:b/>
          <w:bCs/>
          <w:color w:val="000000"/>
          <w:sz w:val="28"/>
          <w:szCs w:val="28"/>
          <w:lang w:val="uk-UA" w:eastAsia="ru-RU"/>
        </w:rPr>
      </w:pP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Відповідно до положень частини другої статті 1 Закону України «Про ратифікацію Протоколу про приєднання України до Договору про заснування Енергетичного Співтовариства» та рішення Ради Міністрів Енергетичного Співтовариства № 2018/01/MC-EnC від 29 листопада 2019 року Україна, як Договірна сторона Енергетичного Співтовариства, взяла на себе зобов’язання імплементувати в національне законодавство Регламент № 1227/2011 від 25 жовтня 2011 року щодо цілісності та прозорості оптового енергетичного ринку в його адаптованій редакції (далі - Регламент REMIT). </w:t>
      </w: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Регламент вимагає від держав, які є членами Європейського Союзу або  сторонами Енергетичного Співтовариства, встановити на національному законодавчому рівні такі вимоги та правила, що забезпечать прозорість та цілісність оптового енергетичного ринку (ринків електричної енергії та природного газу), та дозволять попереджувати зловживання учасників на оптовому енергетичному ринку, зокрема, що стосується маніпулювання ринками, торгівлі на основі інсайдерської інформації.</w:t>
      </w: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16 грудня 2020 року у Верховній Раді України було зареєстровано проєкт Закону України «Про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 (реєстр. № 4503).</w:t>
      </w: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Енергетичне Співтовариство рекомендувало прийняти проєкт Закону України реєстр. № 4503 в першому читанні за умови врахування до другого читання ряду пропозицій.</w:t>
      </w: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Таким чином, постала необхідність у врахуванні таких пропозицій від Енергетичного Співтовариства.</w:t>
      </w:r>
    </w:p>
    <w:p w:rsidR="00F96989" w:rsidRPr="00F96989" w:rsidRDefault="00F96989" w:rsidP="00F96989">
      <w:pPr>
        <w:spacing w:after="0" w:line="240" w:lineRule="auto"/>
        <w:ind w:firstLine="567"/>
        <w:jc w:val="both"/>
        <w:rPr>
          <w:rFonts w:ascii="Times New Roman" w:eastAsia="Times New Roman" w:hAnsi="Times New Roman" w:cs="Times New Roman"/>
          <w:color w:val="000000"/>
          <w:sz w:val="28"/>
          <w:szCs w:val="28"/>
          <w:lang w:val="uk-UA" w:eastAsia="ru-RU"/>
        </w:rPr>
      </w:pP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r w:rsidRPr="00F96989">
        <w:rPr>
          <w:rFonts w:ascii="Times New Roman" w:hAnsi="Times New Roman" w:cs="Times New Roman"/>
          <w:b/>
          <w:bCs/>
          <w:color w:val="000000"/>
          <w:sz w:val="28"/>
          <w:szCs w:val="28"/>
          <w:lang w:val="uk-UA"/>
        </w:rPr>
        <w:t xml:space="preserve">2. Мета і шляхи досягнення </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Метою прийняття проєкту Закону є імплементування в українське законодавство положень Регламенту № 1227/2011 від 25 жовтня 2011 року з урахуванням пропозицій Енергетичного Співтовариства.</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 xml:space="preserve">Для чого пропонується закріпити на законодавчому рівні норми, спрямовані на попередження зловживань з боку учасників на оптових енергетичних ринках, та встановити відповідальності для учасників за </w:t>
      </w:r>
      <w:r w:rsidRPr="00F96989">
        <w:rPr>
          <w:rFonts w:ascii="Times New Roman" w:hAnsi="Times New Roman" w:cs="Times New Roman"/>
          <w:color w:val="000000"/>
          <w:sz w:val="28"/>
          <w:szCs w:val="28"/>
          <w:lang w:val="uk-UA"/>
        </w:rPr>
        <w:lastRenderedPageBreak/>
        <w:t>маніпулювання на енергетичних ринках, а також за торгівлю на основі інсайдерської інформації.</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r w:rsidRPr="00F96989">
        <w:rPr>
          <w:rFonts w:ascii="Times New Roman" w:hAnsi="Times New Roman" w:cs="Times New Roman"/>
          <w:b/>
          <w:bCs/>
          <w:color w:val="000000"/>
          <w:sz w:val="28"/>
          <w:szCs w:val="28"/>
          <w:lang w:val="uk-UA"/>
        </w:rPr>
        <w:t>3. Загальна характеристика та основні положення проєкту акту</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 xml:space="preserve">Проєктом Закону передбачається внесення до Законів України положень щодо енергетичних ринків, які відповідають Регламенту </w:t>
      </w:r>
      <w:r w:rsidRPr="00F96989">
        <w:rPr>
          <w:rFonts w:ascii="Times New Roman" w:hAnsi="Times New Roman" w:cs="Times New Roman"/>
          <w:color w:val="000000"/>
          <w:sz w:val="28"/>
          <w:szCs w:val="28"/>
          <w:lang w:val="en-US"/>
        </w:rPr>
        <w:t>REMIT</w:t>
      </w:r>
      <w:r w:rsidRPr="00F96989">
        <w:rPr>
          <w:rFonts w:ascii="Times New Roman" w:hAnsi="Times New Roman" w:cs="Times New Roman"/>
          <w:color w:val="000000"/>
          <w:sz w:val="28"/>
          <w:szCs w:val="28"/>
          <w:lang w:val="uk-UA"/>
        </w:rPr>
        <w:t xml:space="preserve">. </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 xml:space="preserve"> Проєктом Закону запроваджуються визначення «оптовий енергетичний ринок», «оптові енергетичні продукти», «</w:t>
      </w:r>
      <w:r w:rsidRPr="00F96989">
        <w:rPr>
          <w:rFonts w:ascii="Times New Roman" w:hAnsi="Times New Roman" w:cs="Times New Roman"/>
          <w:color w:val="000000"/>
          <w:sz w:val="28"/>
          <w:szCs w:val="28"/>
          <w:lang w:val="uk-UA" w:eastAsia="uk-UA"/>
        </w:rPr>
        <w:t>особа, яка професійно організовує операції з оптовими енергетичними продуктами</w:t>
      </w:r>
      <w:r w:rsidRPr="00F96989">
        <w:rPr>
          <w:rFonts w:ascii="Times New Roman" w:hAnsi="Times New Roman" w:cs="Times New Roman"/>
          <w:color w:val="000000"/>
          <w:sz w:val="28"/>
          <w:szCs w:val="28"/>
          <w:lang w:val="uk-UA"/>
        </w:rPr>
        <w:t xml:space="preserve">», «інсайдерська інформація на ринку електричної енергії», «інсайдерська інформацією на ринку природного газу», «маніпулювання на ринку електричної енергії», «маніпулювання на ринку природного газу», «критична інфраструктура». </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Установлюється заборона здійснення маніпулювань на оптовому енергетичному ринку та обмеження поводження з інсайдерською інформацією.</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Установлюється відповідальність учасників оптового енергетичного ринку та їх службових осіб за маніпулювання ринками, неправомірне використання інсайдерської інформації.</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r w:rsidRPr="00F96989">
        <w:rPr>
          <w:rFonts w:ascii="Times New Roman" w:hAnsi="Times New Roman" w:cs="Times New Roman"/>
          <w:color w:val="000000"/>
          <w:sz w:val="28"/>
          <w:szCs w:val="28"/>
          <w:lang w:val="uk-UA"/>
        </w:rPr>
        <w:t>Також передбачається надання додаткових повноважень Регулятору в частині визначення вимог щодо заборони та запобігання зловживанням на оптових енергетичних ринках відповідно до вимог нормативно-правових актів Енергетичного Співтовариства; контролю ринків електричної енергії та природного газу та поведінки суб’єктів господарювання, що провадять діяльність на зазначених ринках, з метою виявлення ознак зловживань на ринках; реєстрації суб’єктів господарювання, що провадять діяльність у сферах енергетики та є учасниками оптових енергетичних ринків; співпраці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2018/10/MC-EnC; отримання інформації від осіб, які професійно організовують операції з оптовими енергетичними продуктами; здійснення моніторингу торгівельної діяльності з оптовими енергетичними продуктами  метою виявлення та запобігання зловживанням на оптових енергетичних ринках;  ініціювання розслідувань виявлених порушень щодо обмежень поводження з інсайдерською інформацією, або виявлено дії, що мають ознаки маніпулювання на оптових енергетичних ринках; застосування санкцій за зловживання на оптових енергетичних ринках.</w:t>
      </w:r>
      <w:r w:rsidRPr="00F96989">
        <w:rPr>
          <w:rFonts w:ascii="Times New Roman" w:hAnsi="Times New Roman" w:cs="Times New Roman"/>
          <w:b/>
          <w:bCs/>
          <w:color w:val="000000"/>
          <w:sz w:val="28"/>
          <w:szCs w:val="28"/>
          <w:lang w:val="uk-UA"/>
        </w:rPr>
        <w:t xml:space="preserve"> </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Визначається механізм підтримання ліквідності на ринку (маркет-мейкери).</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r w:rsidRPr="00F96989">
        <w:rPr>
          <w:rFonts w:ascii="Times New Roman" w:hAnsi="Times New Roman" w:cs="Times New Roman"/>
          <w:color w:val="000000"/>
          <w:sz w:val="28"/>
          <w:szCs w:val="28"/>
          <w:lang w:val="uk-UA"/>
        </w:rPr>
        <w:t>Врегульовується питання, пов’язане з професійною таємницею на енергетичних ринках.</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b/>
          <w:bCs/>
          <w:color w:val="000000"/>
          <w:sz w:val="28"/>
          <w:szCs w:val="28"/>
          <w:lang w:val="uk-UA"/>
        </w:rPr>
      </w:pP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Courier New"/>
          <w:b/>
          <w:bCs/>
          <w:color w:val="000000"/>
          <w:sz w:val="28"/>
          <w:szCs w:val="28"/>
          <w:lang w:val="uk-UA" w:eastAsia="uk-UA"/>
        </w:rPr>
      </w:pPr>
      <w:r w:rsidRPr="00F96989">
        <w:rPr>
          <w:rFonts w:ascii="Times New Roman" w:eastAsia="Times New Roman" w:hAnsi="Times New Roman" w:cs="Courier New"/>
          <w:b/>
          <w:bCs/>
          <w:color w:val="000000"/>
          <w:sz w:val="28"/>
          <w:szCs w:val="28"/>
          <w:lang w:val="uk-UA" w:eastAsia="uk-UA"/>
        </w:rPr>
        <w:t>4. Стан нормативно-правової бази у даній сфері правового регулювання</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Нормативно-правовими актами у даній сфері правового регулювання є: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Закон України «Про природні монополії»,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Закон України «Про Антимонопольний комітет України»,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Закон України «Про Національну комісію, що здійснює державне регулювання у сферах енергетики та комунальних послуг»,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Закон України «Про ринок електричної енергії»,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r w:rsidRPr="00F96989">
        <w:rPr>
          <w:rFonts w:ascii="Times New Roman" w:eastAsia="Times New Roman" w:hAnsi="Times New Roman" w:cs="Times New Roman"/>
          <w:color w:val="000000"/>
          <w:sz w:val="28"/>
          <w:szCs w:val="28"/>
          <w:lang w:val="uk-UA" w:eastAsia="ru-RU"/>
        </w:rPr>
        <w:t xml:space="preserve">Закон України «Про ринок природного газу».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Times New Roman"/>
          <w:color w:val="000000"/>
          <w:sz w:val="28"/>
          <w:szCs w:val="28"/>
          <w:lang w:val="uk-UA" w:eastAsia="ru-RU"/>
        </w:rPr>
      </w:pP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Courier New"/>
          <w:b/>
          <w:color w:val="000000"/>
          <w:sz w:val="28"/>
          <w:szCs w:val="28"/>
          <w:lang w:val="uk-UA" w:eastAsia="ru-RU"/>
        </w:rPr>
      </w:pPr>
      <w:r w:rsidRPr="00F96989">
        <w:rPr>
          <w:rFonts w:ascii="Times New Roman" w:eastAsia="Times New Roman" w:hAnsi="Times New Roman" w:cs="Courier New"/>
          <w:b/>
          <w:color w:val="000000"/>
          <w:sz w:val="28"/>
          <w:szCs w:val="28"/>
          <w:lang w:val="uk-UA" w:eastAsia="ru-RU"/>
        </w:rPr>
        <w:t xml:space="preserve">5. Фінансово-економічне обґрунтування </w:t>
      </w:r>
    </w:p>
    <w:p w:rsidR="00F96989" w:rsidRPr="00F96989" w:rsidRDefault="00F96989" w:rsidP="00F9698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contextualSpacing/>
        <w:jc w:val="both"/>
        <w:rPr>
          <w:rFonts w:ascii="Times New Roman" w:eastAsia="Times New Roman" w:hAnsi="Times New Roman" w:cs="Courier New"/>
          <w:b/>
          <w:color w:val="000000"/>
          <w:sz w:val="28"/>
          <w:szCs w:val="28"/>
          <w:lang w:val="uk-UA" w:eastAsia="ru-RU"/>
        </w:rPr>
      </w:pPr>
    </w:p>
    <w:p w:rsidR="00F96989" w:rsidRPr="00F96989" w:rsidRDefault="00F96989" w:rsidP="00F96989">
      <w:pPr>
        <w:widowControl w:val="0"/>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8"/>
          <w:szCs w:val="28"/>
          <w:lang w:val="uk-UA" w:eastAsia="uk-UA"/>
        </w:rPr>
      </w:pPr>
      <w:r w:rsidRPr="00F96989">
        <w:rPr>
          <w:rFonts w:ascii="Times New Roman" w:eastAsia="Times New Roman" w:hAnsi="Times New Roman" w:cs="Times New Roman"/>
          <w:color w:val="000000"/>
          <w:sz w:val="28"/>
          <w:szCs w:val="28"/>
          <w:lang w:val="uk-UA" w:eastAsia="uk-UA"/>
        </w:rPr>
        <w:t xml:space="preserve">Реалізація положень проєкту Закону України у разі його прийняття не призведе до додаткових видатків з Державного бюджету України. </w:t>
      </w:r>
    </w:p>
    <w:p w:rsidR="00F96989" w:rsidRPr="00F96989" w:rsidRDefault="00F96989" w:rsidP="00F96989">
      <w:pPr>
        <w:widowControl w:val="0"/>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lang w:val="uk-UA" w:eastAsia="uk-UA"/>
        </w:rPr>
      </w:pPr>
    </w:p>
    <w:p w:rsidR="00F96989" w:rsidRPr="00F96989" w:rsidRDefault="00F96989" w:rsidP="00F96989">
      <w:pPr>
        <w:widowControl w:val="0"/>
        <w:tabs>
          <w:tab w:val="left" w:pos="900"/>
        </w:tabs>
        <w:autoSpaceDE w:val="0"/>
        <w:autoSpaceDN w:val="0"/>
        <w:spacing w:after="0" w:line="240" w:lineRule="auto"/>
        <w:ind w:firstLine="567"/>
        <w:contextualSpacing/>
        <w:jc w:val="both"/>
        <w:rPr>
          <w:rFonts w:ascii="Times New Roman" w:eastAsia="Times New Roman" w:hAnsi="Times New Roman" w:cs="Times New Roman"/>
          <w:b/>
          <w:bCs/>
          <w:color w:val="000000"/>
          <w:sz w:val="28"/>
          <w:szCs w:val="28"/>
          <w:lang w:val="uk-UA" w:eastAsia="ru-RU"/>
        </w:rPr>
      </w:pPr>
      <w:r w:rsidRPr="00F96989">
        <w:rPr>
          <w:rFonts w:ascii="Times New Roman" w:eastAsia="Times New Roman" w:hAnsi="Times New Roman" w:cs="Times New Roman"/>
          <w:b/>
          <w:color w:val="000000"/>
          <w:sz w:val="28"/>
          <w:szCs w:val="28"/>
          <w:lang w:val="uk-UA" w:eastAsia="ru-RU"/>
        </w:rPr>
        <w:t xml:space="preserve">6. </w:t>
      </w:r>
      <w:r w:rsidRPr="00F96989">
        <w:rPr>
          <w:rFonts w:ascii="Times New Roman" w:eastAsia="Times New Roman" w:hAnsi="Times New Roman" w:cs="Times New Roman"/>
          <w:b/>
          <w:bCs/>
          <w:color w:val="000000"/>
          <w:sz w:val="28"/>
          <w:szCs w:val="28"/>
          <w:lang w:val="uk-UA" w:eastAsia="ru-RU"/>
        </w:rPr>
        <w:t>Прогноз соціально-економічних та інших наслідків прийняття проєкту Закону</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 xml:space="preserve"> </w:t>
      </w:r>
    </w:p>
    <w:p w:rsidR="00F96989" w:rsidRPr="00F96989" w:rsidRDefault="00F96989" w:rsidP="00F96989">
      <w:pPr>
        <w:autoSpaceDE w:val="0"/>
        <w:autoSpaceDN w:val="0"/>
        <w:adjustRightInd w:val="0"/>
        <w:spacing w:after="0" w:line="240" w:lineRule="auto"/>
        <w:ind w:firstLine="567"/>
        <w:jc w:val="both"/>
        <w:rPr>
          <w:rFonts w:ascii="Times New Roman" w:hAnsi="Times New Roman" w:cs="Times New Roman"/>
          <w:color w:val="000000"/>
          <w:sz w:val="28"/>
          <w:szCs w:val="28"/>
          <w:lang w:val="uk-UA"/>
        </w:rPr>
      </w:pPr>
      <w:r w:rsidRPr="00F96989">
        <w:rPr>
          <w:rFonts w:ascii="Times New Roman" w:hAnsi="Times New Roman" w:cs="Times New Roman"/>
          <w:color w:val="000000"/>
          <w:sz w:val="28"/>
          <w:szCs w:val="28"/>
          <w:lang w:val="uk-UA"/>
        </w:rPr>
        <w:t xml:space="preserve">Прийняття проєкту Закону України матиме суттєвий позитивний вплив на продовження реформи в галузі енергетики, боротьбу з маніпуляціями, зловживаннями на оптових енергетичних ринках та недопущення монополізації на них та забезпечить виконання державою Україна міжнародних зобов’язань за Угодою про асоціацію між Україною та Європейським Союзом, а також сприятиме припиненню Секретаріатом Енергетичного Співтовариства провадження по справі № ECS-0421 від 26.03.2021 року щодо невиконання Україною зобов’язань із транспозиції Регламенту № 1227/2011.  </w:t>
      </w:r>
    </w:p>
    <w:p w:rsidR="00F96989" w:rsidRPr="00F96989" w:rsidRDefault="00F96989" w:rsidP="00F96989">
      <w:pPr>
        <w:spacing w:after="0" w:line="240" w:lineRule="auto"/>
        <w:rPr>
          <w:rFonts w:ascii="Times New Roman" w:eastAsia="Times New Roman" w:hAnsi="Times New Roman" w:cs="Times New Roman"/>
          <w:color w:val="000000"/>
          <w:sz w:val="26"/>
          <w:szCs w:val="26"/>
          <w:lang w:val="uk-UA" w:eastAsia="ru-RU"/>
        </w:rPr>
      </w:pPr>
    </w:p>
    <w:p w:rsidR="00F96989" w:rsidRPr="00F96989" w:rsidRDefault="00F96989" w:rsidP="00F96989">
      <w:pPr>
        <w:spacing w:after="0" w:line="240" w:lineRule="auto"/>
        <w:rPr>
          <w:rFonts w:ascii="Times New Roman" w:eastAsia="Times New Roman" w:hAnsi="Times New Roman" w:cs="Times New Roman"/>
          <w:color w:val="000000"/>
          <w:sz w:val="26"/>
          <w:szCs w:val="26"/>
          <w:lang w:val="uk-UA" w:eastAsia="ru-RU"/>
        </w:rPr>
      </w:pPr>
    </w:p>
    <w:p w:rsidR="00F96989" w:rsidRPr="00F96989" w:rsidRDefault="00F96989" w:rsidP="00F96989">
      <w:pPr>
        <w:spacing w:before="120" w:after="0" w:line="240" w:lineRule="auto"/>
        <w:rPr>
          <w:rFonts w:ascii="Antiqua" w:eastAsia="Times New Roman" w:hAnsi="Antiqua" w:cs="Antiqua"/>
          <w:sz w:val="26"/>
          <w:szCs w:val="26"/>
          <w:lang w:val="uk-UA" w:eastAsia="uk-UA"/>
        </w:rPr>
      </w:pPr>
      <w:r w:rsidRPr="00F96989">
        <w:rPr>
          <w:rFonts w:ascii="Times New Roman" w:eastAsia="Times New Roman" w:hAnsi="Times New Roman" w:cs="Times New Roman"/>
          <w:b/>
          <w:bCs/>
          <w:sz w:val="28"/>
          <w:szCs w:val="28"/>
          <w:lang w:val="uk-UA" w:eastAsia="uk-UA"/>
        </w:rPr>
        <w:t>Народн</w:t>
      </w:r>
      <w:r w:rsidR="00392FFC">
        <w:rPr>
          <w:rFonts w:ascii="Times New Roman" w:eastAsia="Times New Roman" w:hAnsi="Times New Roman" w:cs="Times New Roman"/>
          <w:b/>
          <w:bCs/>
          <w:sz w:val="28"/>
          <w:szCs w:val="28"/>
          <w:lang w:val="uk-UA" w:eastAsia="uk-UA"/>
        </w:rPr>
        <w:t>і</w:t>
      </w:r>
      <w:r w:rsidRPr="00F96989">
        <w:rPr>
          <w:rFonts w:ascii="Times New Roman" w:eastAsia="Times New Roman" w:hAnsi="Times New Roman" w:cs="Times New Roman"/>
          <w:b/>
          <w:bCs/>
          <w:sz w:val="28"/>
          <w:szCs w:val="28"/>
          <w:lang w:val="uk-UA" w:eastAsia="uk-UA"/>
        </w:rPr>
        <w:t xml:space="preserve"> депутат</w:t>
      </w:r>
      <w:r w:rsidR="00392FFC">
        <w:rPr>
          <w:rFonts w:ascii="Times New Roman" w:eastAsia="Times New Roman" w:hAnsi="Times New Roman" w:cs="Times New Roman"/>
          <w:b/>
          <w:bCs/>
          <w:sz w:val="28"/>
          <w:szCs w:val="28"/>
          <w:lang w:val="uk-UA" w:eastAsia="uk-UA"/>
        </w:rPr>
        <w:t>и</w:t>
      </w:r>
      <w:r w:rsidRPr="00F96989">
        <w:rPr>
          <w:rFonts w:ascii="Times New Roman" w:eastAsia="Times New Roman" w:hAnsi="Times New Roman" w:cs="Times New Roman"/>
          <w:b/>
          <w:bCs/>
          <w:sz w:val="28"/>
          <w:szCs w:val="28"/>
          <w:lang w:val="uk-UA" w:eastAsia="uk-UA"/>
        </w:rPr>
        <w:t xml:space="preserve"> України                                              </w:t>
      </w:r>
    </w:p>
    <w:p w:rsidR="00DD2D0C" w:rsidRDefault="00DD2D0C"/>
    <w:sectPr w:rsidR="00DD2D0C" w:rsidSect="00962B2C">
      <w:footerReference w:type="default" r:id="rId9"/>
      <w:pgSz w:w="11906" w:h="16838"/>
      <w:pgMar w:top="1134" w:right="850" w:bottom="1276"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A3A" w:rsidRDefault="00B41A3A" w:rsidP="00392FFC">
      <w:pPr>
        <w:spacing w:after="0" w:line="240" w:lineRule="auto"/>
      </w:pPr>
      <w:r>
        <w:separator/>
      </w:r>
    </w:p>
  </w:endnote>
  <w:endnote w:type="continuationSeparator" w:id="0">
    <w:p w:rsidR="00B41A3A" w:rsidRDefault="00B41A3A" w:rsidP="0039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110353"/>
      <w:docPartObj>
        <w:docPartGallery w:val="Page Numbers (Bottom of Page)"/>
        <w:docPartUnique/>
      </w:docPartObj>
    </w:sdtPr>
    <w:sdtEndPr/>
    <w:sdtContent>
      <w:p w:rsidR="00962B2C" w:rsidRDefault="00962B2C">
        <w:pPr>
          <w:pStyle w:val="a5"/>
          <w:jc w:val="right"/>
        </w:pPr>
        <w:r>
          <w:fldChar w:fldCharType="begin"/>
        </w:r>
        <w:r>
          <w:instrText>PAGE   \* MERGEFORMAT</w:instrText>
        </w:r>
        <w:r>
          <w:fldChar w:fldCharType="separate"/>
        </w:r>
        <w:r w:rsidR="002824D9" w:rsidRPr="002824D9">
          <w:rPr>
            <w:noProof/>
            <w:lang w:val="uk-UA"/>
          </w:rPr>
          <w:t>3</w:t>
        </w:r>
        <w:r>
          <w:fldChar w:fldCharType="end"/>
        </w:r>
      </w:p>
    </w:sdtContent>
  </w:sdt>
  <w:p w:rsidR="00392FFC" w:rsidRDefault="00392F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A3A" w:rsidRDefault="00B41A3A" w:rsidP="00392FFC">
      <w:pPr>
        <w:spacing w:after="0" w:line="240" w:lineRule="auto"/>
      </w:pPr>
      <w:r>
        <w:separator/>
      </w:r>
    </w:p>
  </w:footnote>
  <w:footnote w:type="continuationSeparator" w:id="0">
    <w:p w:rsidR="00B41A3A" w:rsidRDefault="00B41A3A" w:rsidP="00392F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04"/>
    <w:rsid w:val="002824D9"/>
    <w:rsid w:val="0030641F"/>
    <w:rsid w:val="00392FFC"/>
    <w:rsid w:val="00505204"/>
    <w:rsid w:val="00662AF0"/>
    <w:rsid w:val="00780FE5"/>
    <w:rsid w:val="00962B2C"/>
    <w:rsid w:val="00B41A3A"/>
    <w:rsid w:val="00DD2D0C"/>
    <w:rsid w:val="00F96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497B71-8CD6-42D0-A2A0-B546223BC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2FF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92FFC"/>
  </w:style>
  <w:style w:type="paragraph" w:styleId="a5">
    <w:name w:val="footer"/>
    <w:basedOn w:val="a"/>
    <w:link w:val="a6"/>
    <w:uiPriority w:val="99"/>
    <w:unhideWhenUsed/>
    <w:rsid w:val="00392FF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392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46551E-C9D1-4711-94C2-9E7FFF36ED2A}">
  <ds:schemaRefs>
    <ds:schemaRef ds:uri="http://schemas.microsoft.com/sharepoint/v3/contenttype/forms"/>
  </ds:schemaRefs>
</ds:datastoreItem>
</file>

<file path=customXml/itemProps2.xml><?xml version="1.0" encoding="utf-8"?>
<ds:datastoreItem xmlns:ds="http://schemas.openxmlformats.org/officeDocument/2006/customXml" ds:itemID="{9AE2E378-EA6F-4BED-B7CD-06D39D449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7B9E24-8F3E-4F75-82CA-3CCB20D9A6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3961</Words>
  <Characters>2259</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2021-06-08T12:40:00Z</dcterms:created>
  <dcterms:modified xsi:type="dcterms:W3CDTF">2021-06-08T12:40:00Z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