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6D21" w:rsidRPr="004E7E88" w:rsidRDefault="000E44F9" w:rsidP="007F1AAB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00000002" w14:textId="2361A733" w:rsidR="00DA6D21" w:rsidRPr="004E7E88" w:rsidRDefault="000E44F9" w:rsidP="00C87E28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="00605928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A14CE3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Закону України</w:t>
      </w: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BE68C8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C87E28" w:rsidRPr="004E7E88">
        <w:rPr>
          <w:rFonts w:ascii="Times New Roman" w:hAnsi="Times New Roman" w:cs="Times New Roman"/>
          <w:sz w:val="28"/>
          <w:szCs w:val="28"/>
          <w:lang w:val="uk-UA"/>
        </w:rPr>
        <w:t>Про внесення змін до Податкового кодексу України щодо забезпечення збалансованості бюджетних надходжень</w:t>
      </w:r>
      <w:r w:rsidR="00BE68C8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14:paraId="0A34B441" w14:textId="77777777" w:rsidR="00605928" w:rsidRPr="004E7E88" w:rsidRDefault="00605928" w:rsidP="00A14CE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3" w14:textId="0CC79D94" w:rsidR="00DA6D21" w:rsidRPr="004E7E88" w:rsidRDefault="000E44F9" w:rsidP="001E16C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A14CE3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7FA16628" w14:textId="77777777" w:rsidR="00C87E28" w:rsidRPr="004E7E88" w:rsidRDefault="00C87E28" w:rsidP="001E16CC">
      <w:pPr>
        <w:pStyle w:val="a7"/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пункту 4 розділу ХІХ Податкового кодексу України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оподаткування, визначених в абсолютних значеннях, з урахуванням індексів споживчих цін, індексів цін виробників промислової продукції з акцизного податку, екологічного податку та рентної плати. З 2019 року відповідно до цього положення ставки податків не переглядалися, а ставки акцизного податку на алкогольні напої не переглядалися з 2017 року.</w:t>
      </w:r>
    </w:p>
    <w:p w14:paraId="66406075" w14:textId="2B90FED0" w:rsidR="001E16CC" w:rsidRPr="004E7E88" w:rsidRDefault="00C87E28" w:rsidP="001E16CC">
      <w:pPr>
        <w:pStyle w:val="a7"/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Такий законопроект</w:t>
      </w:r>
      <w:r w:rsidR="00A26021"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(хоч і з порушенням встановленого строку)</w:t>
      </w: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було внесено за № 5600 від 02.06.2021 р. "Про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1E16CC"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".</w:t>
      </w:r>
    </w:p>
    <w:p w14:paraId="2D07591C" w14:textId="3200E0CF" w:rsidR="00C87E28" w:rsidRPr="004E7E88" w:rsidRDefault="00957B7A" w:rsidP="001E16CC">
      <w:pPr>
        <w:pStyle w:val="a7"/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Втім, вказаний законопроект містить не лише</w:t>
      </w:r>
      <w:r w:rsidR="001E16CC"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норми про індексацію, а й низку кардинальних змін щодо адміністрування податків, прав контролюючих органів, збільшення бази оподаткування окремих податків, тощо.</w:t>
      </w:r>
    </w:p>
    <w:p w14:paraId="20536F11" w14:textId="75BAC0C2" w:rsidR="001E16CC" w:rsidRPr="004E7E88" w:rsidRDefault="001E16CC" w:rsidP="001E16CC">
      <w:pPr>
        <w:pStyle w:val="a7"/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час обговорення 10.06.2021 року на засіданні робочої групи </w:t>
      </w:r>
      <w:r w:rsidR="00A26021"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Комітеті Верховної Ради України з питань фінансів, податкової та митної політики </w:t>
      </w: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законопроекту № 5600 від 02.06.2021 р. до нього було висловлено вели</w:t>
      </w:r>
      <w:r w:rsidR="00A26021"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ку </w:t>
      </w: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кількість зауважень від представників бізнес-організацій, експертів та науковців.</w:t>
      </w:r>
    </w:p>
    <w:p w14:paraId="54D74ADF" w14:textId="7E93554E" w:rsidR="001E16CC" w:rsidRPr="004E7E88" w:rsidRDefault="00A26021" w:rsidP="001E16CC">
      <w:pPr>
        <w:pStyle w:val="a7"/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З урахуванням цього</w:t>
      </w:r>
      <w:r w:rsidR="001E16CC"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, виникла необхідність в реєстрації альтернативного законопроекту, яким виключається більшість негативних положень законопроекту 5600 від 02.06.2021 р., проте зберігається положення щодо індексації окремих ставок податків, а також підвищення акцизного податку та рентної плати.</w:t>
      </w:r>
    </w:p>
    <w:p w14:paraId="71CD06AD" w14:textId="77777777" w:rsidR="00C87E28" w:rsidRPr="004E7E88" w:rsidRDefault="00C87E28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C" w14:textId="363DD2C3" w:rsidR="00DA6D21" w:rsidRPr="004E7E88" w:rsidRDefault="000E44F9" w:rsidP="007F1AAB">
      <w:pPr>
        <w:ind w:firstLine="5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2. Мета та завдання прийняття 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2F5D703E" w14:textId="77777777" w:rsidR="00A26021" w:rsidRPr="004E7E88" w:rsidRDefault="00A26021" w:rsidP="00A26021">
      <w:pPr>
        <w:pStyle w:val="ae"/>
        <w:spacing w:before="0" w:beforeAutospacing="0" w:after="0" w:afterAutospacing="0" w:line="360" w:lineRule="auto"/>
        <w:ind w:firstLine="567"/>
        <w:jc w:val="both"/>
        <w:rPr>
          <w:rFonts w:eastAsia="Times New Roman"/>
          <w:sz w:val="28"/>
          <w:szCs w:val="28"/>
        </w:rPr>
      </w:pPr>
      <w:r w:rsidRPr="004E7E88">
        <w:rPr>
          <w:rFonts w:eastAsia="Times New Roman"/>
          <w:sz w:val="28"/>
          <w:szCs w:val="28"/>
        </w:rPr>
        <w:t>Метою законопроекту є забезпечення збалансованості бюджетних надходжень шляхом підвищення ефективності використання економічних ресурсів країни, а також усунення прогалин чинного законодавства.</w:t>
      </w:r>
    </w:p>
    <w:p w14:paraId="0000000E" w14:textId="77777777" w:rsidR="00DA6D21" w:rsidRPr="004E7E88" w:rsidRDefault="000E44F9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0000000F" w14:textId="1371492E" w:rsidR="00DA6D21" w:rsidRPr="004E7E88" w:rsidRDefault="000E44F9" w:rsidP="007F1AAB">
      <w:pPr>
        <w:ind w:left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E458AA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кту </w:t>
      </w: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акта</w:t>
      </w:r>
    </w:p>
    <w:p w14:paraId="6AA229E4" w14:textId="77777777" w:rsidR="006757AA" w:rsidRPr="004E7E88" w:rsidRDefault="00605928" w:rsidP="006757A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</w:t>
      </w:r>
      <w:r w:rsidR="00E458AA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ктом </w:t>
      </w:r>
      <w:r w:rsidR="000E44F9"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пропонується внести зміни до окремих положень Податкового кодексу України, зокрема:</w:t>
      </w:r>
    </w:p>
    <w:p w14:paraId="7E452A52" w14:textId="740FE7E1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1. </w:t>
      </w:r>
      <w:r w:rsidRPr="004E7E88">
        <w:rPr>
          <w:rFonts w:ascii="Times New Roman" w:hAnsi="Times New Roman" w:cs="Times New Roman"/>
          <w:sz w:val="28"/>
          <w:szCs w:val="28"/>
          <w:lang w:val="uk-UA"/>
        </w:rPr>
        <w:t xml:space="preserve">Ставки акцизного податку на алкогольні напої, екологічного податку </w:t>
      </w:r>
      <w:r w:rsidRPr="004E7E8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(крім ставок за викиди двоокису вуглецю в атмосферне повітря стаціонарними джерелами забруднення, за скиди забруднюючих речовин у водні об’єкти та за розміщення малонебезпечних нетоксичних відходів гірничої промисловості)</w:t>
      </w:r>
      <w:r w:rsidRPr="004E7E88">
        <w:rPr>
          <w:rFonts w:ascii="Times New Roman" w:hAnsi="Times New Roman" w:cs="Times New Roman"/>
          <w:sz w:val="28"/>
          <w:szCs w:val="28"/>
          <w:lang w:val="uk-UA"/>
        </w:rPr>
        <w:t xml:space="preserve"> та рентної плати за користування радіочастотним ресурсом України з урахуванням індексу споживчих цін за 2020 рік збільшити на 5 %.</w:t>
      </w:r>
    </w:p>
    <w:p w14:paraId="0B1E8DA4" w14:textId="7CA6D176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2.</w:t>
      </w:r>
      <w:r w:rsidRPr="004E7E88">
        <w:rPr>
          <w:rFonts w:ascii="Times New Roman" w:hAnsi="Times New Roman" w:cs="Times New Roman"/>
          <w:sz w:val="28"/>
          <w:szCs w:val="28"/>
          <w:lang w:val="uk-UA"/>
        </w:rPr>
        <w:t xml:space="preserve"> Ставки рентної плати за користування надрами в цілях, не пов'язаних з видобуванням корисних копалин, рентної плати за спеціальне використання води та рентної плати за спеціальне використання лісових ресурсів з урахуванням індексу цін виробників промислової продукції за 2020 рік збільшити на 14,5%.</w:t>
      </w:r>
    </w:p>
    <w:p w14:paraId="74CB4A0A" w14:textId="18410B14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3. </w:t>
      </w:r>
      <w:r w:rsidRPr="004E7E88">
        <w:rPr>
          <w:rFonts w:ascii="Times New Roman" w:hAnsi="Times New Roman" w:cs="Times New Roman"/>
          <w:sz w:val="28"/>
          <w:szCs w:val="28"/>
          <w:lang w:val="uk-UA"/>
        </w:rPr>
        <w:t>Відповідно до міжнародних зобов’язань України, проектом пропонується змінити підходи до визначення одиниці виміру ставки акцизного податку на пиво. Так, згідно додатку ХХVIII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Україна зобов’язана привести норми власного законодавства у відповідність до Директиви Ради 92/83/ЄЕС від 19.10.1992 щодо гармонізації структур акцизних зборів на спирт та алкогольні напої. Статтею 3 вказаної Директиви встановлено, що акцизний податок, що справляється з пива, встановлюються в залежності від фактичної міцності готової продукції. При цьому, в Україні ставка акцизу на пиво визна</w:t>
      </w:r>
      <w:r w:rsidR="00E0504A">
        <w:rPr>
          <w:rFonts w:ascii="Times New Roman" w:hAnsi="Times New Roman" w:cs="Times New Roman"/>
          <w:sz w:val="28"/>
          <w:szCs w:val="28"/>
          <w:lang w:val="uk-UA"/>
        </w:rPr>
        <w:t xml:space="preserve">чена за 1 л готової продукції. </w:t>
      </w:r>
      <w:r w:rsidRPr="004E7E88">
        <w:rPr>
          <w:rFonts w:ascii="Times New Roman" w:hAnsi="Times New Roman" w:cs="Times New Roman"/>
          <w:sz w:val="28"/>
          <w:szCs w:val="28"/>
          <w:lang w:val="uk-UA"/>
        </w:rPr>
        <w:t xml:space="preserve">Приведення правил оподаткування пива у відповідність до Угоди про </w:t>
      </w:r>
      <w:r w:rsidRPr="004E7E88">
        <w:rPr>
          <w:rFonts w:ascii="Times New Roman" w:hAnsi="Times New Roman" w:cs="Times New Roman"/>
          <w:sz w:val="28"/>
          <w:szCs w:val="28"/>
          <w:lang w:val="uk-UA"/>
        </w:rPr>
        <w:lastRenderedPageBreak/>
        <w:t>асоціацію між Україною та ЄС, також передбачено пунктом 118 Плану законопроектної роботи Верховної Ради України на 2021 рік, затвердженого постановою Верховної Ради України від 02.02.2021 № 1165.</w:t>
      </w:r>
    </w:p>
    <w:p w14:paraId="35E45FAA" w14:textId="50959DC7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sz w:val="28"/>
          <w:szCs w:val="28"/>
          <w:lang w:val="uk-UA"/>
        </w:rPr>
        <w:t>Тому, у законопроекті пропонується діючу ставку акцизу за 1 л пива, замінити на ставку за 1 л 100-відсоткового спирту, виходячи з середньозваженої міцності пива за 2019-2020 роки 4,88 відсотка об’ємних одиниць та індексу споживчих цін за 2020 рік 5%.</w:t>
      </w:r>
    </w:p>
    <w:p w14:paraId="19466514" w14:textId="7ABABCBF" w:rsidR="006757AA" w:rsidRPr="004E7E88" w:rsidRDefault="006757AA" w:rsidP="006757AA">
      <w:pPr>
        <w:pStyle w:val="a7"/>
        <w:tabs>
          <w:tab w:val="left" w:pos="0"/>
        </w:tabs>
        <w:spacing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sz w:val="28"/>
          <w:szCs w:val="28"/>
          <w:lang w:val="uk-UA"/>
        </w:rPr>
        <w:t>4. Скасувати пільгу з акцизного податку для платників, які здійснюють постачання електричної енергії (когенераційної та/або з відновлювальних джерел).</w:t>
      </w:r>
    </w:p>
    <w:p w14:paraId="74356092" w14:textId="66CDDB5D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sz w:val="28"/>
          <w:szCs w:val="28"/>
          <w:lang w:val="uk-UA"/>
        </w:rPr>
        <w:t>5. С</w:t>
      </w:r>
      <w:r w:rsidRPr="004E7E8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тавки екологічного податку за скиди забруднюючих речовин у водні об’єкти збільшити в 1,6 рази та передбачити їх підвищення у 8 разів у 2029 році (поступово).</w:t>
      </w:r>
    </w:p>
    <w:p w14:paraId="3EC6AFB5" w14:textId="597FD42A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4E7E8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Підвищити ставки екологічного податку за викиди двоокису вуглецю (СО2) з 10 грн/т до 30 грн/тонну.</w:t>
      </w:r>
    </w:p>
    <w:p w14:paraId="674F9788" w14:textId="22B1F1EE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7. Підвищити ставки екологічного податку за відходи для підприємств гірничої промисловості з 0,49 грн до 1,5 грн/тонну.</w:t>
      </w:r>
    </w:p>
    <w:p w14:paraId="74118F56" w14:textId="77777777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8. Розширити базу оподаткування за рахунок забезпечення єдиного </w:t>
      </w:r>
      <w:r w:rsidRPr="004E7E88">
        <w:rPr>
          <w:rFonts w:ascii="Times New Roman" w:hAnsi="Times New Roman" w:cs="Times New Roman"/>
          <w:bCs/>
          <w:sz w:val="28"/>
          <w:szCs w:val="28"/>
          <w:lang w:val="uk-UA"/>
        </w:rPr>
        <w:t>підходу до визначення об’єкта оподаткування шляхом класифікації видобутої мінеральної сировини згідно з галузевими вимогами з метою усунення можливості платника суб’єктивно визначати вартість корисної копалини;</w:t>
      </w:r>
    </w:p>
    <w:p w14:paraId="58F60F8A" w14:textId="77777777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E7E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9. </w:t>
      </w:r>
      <w:r w:rsidRPr="004E7E88">
        <w:rPr>
          <w:rFonts w:ascii="Times New Roman" w:hAnsi="Times New Roman"/>
          <w:bCs/>
          <w:sz w:val="28"/>
          <w:szCs w:val="28"/>
          <w:lang w:val="uk-UA"/>
        </w:rPr>
        <w:t>Запровадити диференціацію ставок оподаткування руд заліза в залежності від розміру середньої</w:t>
      </w:r>
      <w:r w:rsidRPr="004E7E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4E7E88">
        <w:rPr>
          <w:rFonts w:ascii="Times New Roman" w:hAnsi="Times New Roman"/>
          <w:bCs/>
          <w:sz w:val="28"/>
          <w:szCs w:val="28"/>
          <w:lang w:val="uk-UA"/>
        </w:rPr>
        <w:t>ф</w:t>
      </w:r>
      <w:r w:rsidRPr="004E7E88">
        <w:rPr>
          <w:rFonts w:ascii="Times New Roman" w:hAnsi="Times New Roman"/>
          <w:sz w:val="28"/>
          <w:szCs w:val="28"/>
          <w:lang w:val="uk-UA"/>
        </w:rPr>
        <w:t>актичної ціни реалізації визначеної, як середня вартість залізної руди за індексом IODEX 62% FE CFR China, за інформацією</w:t>
      </w:r>
      <w:r w:rsidRPr="004E7E88">
        <w:rPr>
          <w:rFonts w:ascii="Times New Roman" w:hAnsi="Times New Roman"/>
          <w:color w:val="000000"/>
          <w:sz w:val="28"/>
          <w:szCs w:val="28"/>
          <w:lang w:val="uk-UA"/>
        </w:rPr>
        <w:t>, що офіційно зазначена світовим інформаційним агентством Platts, та опублікованої на офіційному вебсайті Мінекономіки;</w:t>
      </w:r>
    </w:p>
    <w:p w14:paraId="53BE7500" w14:textId="76DB5F8D" w:rsidR="006757AA" w:rsidRPr="004E7E88" w:rsidRDefault="006757AA" w:rsidP="006757AA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E7E88">
        <w:rPr>
          <w:rFonts w:ascii="Times New Roman" w:hAnsi="Times New Roman"/>
          <w:color w:val="000000"/>
          <w:sz w:val="28"/>
          <w:szCs w:val="28"/>
          <w:lang w:val="uk-UA"/>
        </w:rPr>
        <w:t>10. Встановити коригування бази оподаткування руд заліза на коефіцієнт сухої ваги товарної продукції (0,9);</w:t>
      </w:r>
    </w:p>
    <w:p w14:paraId="000F8F3D" w14:textId="2FC04589" w:rsidR="006757AA" w:rsidRPr="004E7E88" w:rsidRDefault="006757AA" w:rsidP="006757AA">
      <w:pPr>
        <w:spacing w:before="12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11. Встановити диференціацію ставок рентної плати за спеціальне використання поверхневих вод в залежності від 9 районів річкових басейнів замість 14 басейнів річок;</w:t>
      </w:r>
    </w:p>
    <w:p w14:paraId="22F3E281" w14:textId="77777777" w:rsidR="00605928" w:rsidRPr="004E7E88" w:rsidRDefault="00605928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6" w14:textId="4BEE7BEE" w:rsidR="00DA6D21" w:rsidRPr="004E7E88" w:rsidRDefault="000E44F9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00000017" w14:textId="17153C4B" w:rsidR="00DA6D21" w:rsidRPr="004E7E88" w:rsidRDefault="000E44F9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Нормативно-правову базу у даній сфері правового регулювання становить Податковий кодекс України.</w:t>
      </w:r>
    </w:p>
    <w:p w14:paraId="57FBE8A6" w14:textId="77777777" w:rsidR="004E7E88" w:rsidRPr="004E7E88" w:rsidRDefault="004E7E88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8" w14:textId="73211A53" w:rsidR="00DA6D21" w:rsidRPr="004E7E88" w:rsidRDefault="000E44F9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00000019" w14:textId="63CC1FD7" w:rsidR="00DA6D21" w:rsidRPr="004E7E88" w:rsidRDefault="000E44F9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Прийняття цього Закону не потребує збільшення видатків Державного бюджету України.</w:t>
      </w:r>
    </w:p>
    <w:p w14:paraId="55FDE15C" w14:textId="77777777" w:rsidR="00605928" w:rsidRPr="004E7E88" w:rsidRDefault="00605928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A" w14:textId="28EE5C10" w:rsidR="00DA6D21" w:rsidRPr="004E7E88" w:rsidRDefault="000E44F9" w:rsidP="00AD683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7E0372ED" w14:textId="52C4E711" w:rsidR="004E7E88" w:rsidRPr="004E7E88" w:rsidRDefault="004E7E88" w:rsidP="00AD6832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 забезпечить приведення розмірів ставок податків у відповідність до інфляційних процесів в економіці та забезпечить збільшення надходжень до державного бюджету.</w:t>
      </w:r>
    </w:p>
    <w:p w14:paraId="0000001D" w14:textId="6296960E" w:rsidR="00DA6D21" w:rsidRPr="004E7E88" w:rsidRDefault="00DA6D21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E" w14:textId="53AC9722" w:rsidR="00DA6D21" w:rsidRPr="004E7E88" w:rsidRDefault="00E458AA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="000E44F9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="004E7E88" w:rsidRPr="004E7E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України</w:t>
      </w:r>
    </w:p>
    <w:p w14:paraId="00000022" w14:textId="77777777" w:rsidR="00DA6D21" w:rsidRPr="004E7E88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sectPr w:rsidR="00DA6D21" w:rsidRPr="004E7E88">
      <w:footerReference w:type="default" r:id="rId11"/>
      <w:pgSz w:w="12240" w:h="15840"/>
      <w:pgMar w:top="720" w:right="1170" w:bottom="81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B8284" w14:textId="77777777" w:rsidR="000D5574" w:rsidRDefault="000D5574" w:rsidP="00212FE8">
      <w:pPr>
        <w:spacing w:line="240" w:lineRule="auto"/>
      </w:pPr>
      <w:r>
        <w:separator/>
      </w:r>
    </w:p>
  </w:endnote>
  <w:endnote w:type="continuationSeparator" w:id="0">
    <w:p w14:paraId="6B2AEDB6" w14:textId="77777777" w:rsidR="000D5574" w:rsidRDefault="000D5574" w:rsidP="002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227310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046FA5C9" w14:textId="61042F78" w:rsidR="00AD6832" w:rsidRPr="00AD6832" w:rsidRDefault="00AD6832">
        <w:pPr>
          <w:pStyle w:val="af2"/>
          <w:jc w:val="right"/>
          <w:rPr>
            <w:rFonts w:ascii="Times New Roman" w:hAnsi="Times New Roman" w:cs="Times New Roman"/>
            <w:sz w:val="28"/>
          </w:rPr>
        </w:pPr>
        <w:r w:rsidRPr="00AD6832">
          <w:rPr>
            <w:rFonts w:ascii="Times New Roman" w:hAnsi="Times New Roman" w:cs="Times New Roman"/>
            <w:sz w:val="28"/>
          </w:rPr>
          <w:fldChar w:fldCharType="begin"/>
        </w:r>
        <w:r w:rsidRPr="00AD6832">
          <w:rPr>
            <w:rFonts w:ascii="Times New Roman" w:hAnsi="Times New Roman" w:cs="Times New Roman"/>
            <w:sz w:val="28"/>
          </w:rPr>
          <w:instrText>PAGE   \* MERGEFORMAT</w:instrText>
        </w:r>
        <w:r w:rsidRPr="00AD6832">
          <w:rPr>
            <w:rFonts w:ascii="Times New Roman" w:hAnsi="Times New Roman" w:cs="Times New Roman"/>
            <w:sz w:val="28"/>
          </w:rPr>
          <w:fldChar w:fldCharType="separate"/>
        </w:r>
        <w:r w:rsidR="005E50B2" w:rsidRPr="005E50B2">
          <w:rPr>
            <w:rFonts w:ascii="Times New Roman" w:hAnsi="Times New Roman" w:cs="Times New Roman"/>
            <w:noProof/>
            <w:sz w:val="28"/>
            <w:lang w:val="ru-RU"/>
          </w:rPr>
          <w:t>1</w:t>
        </w:r>
        <w:r w:rsidRPr="00AD6832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1CB787D7" w14:textId="77777777" w:rsidR="00AD6832" w:rsidRPr="00AD6832" w:rsidRDefault="00AD6832">
    <w:pPr>
      <w:pStyle w:val="af2"/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DDA15" w14:textId="77777777" w:rsidR="000D5574" w:rsidRDefault="000D5574" w:rsidP="00212FE8">
      <w:pPr>
        <w:spacing w:line="240" w:lineRule="auto"/>
      </w:pPr>
      <w:r>
        <w:separator/>
      </w:r>
    </w:p>
  </w:footnote>
  <w:footnote w:type="continuationSeparator" w:id="0">
    <w:p w14:paraId="522D8670" w14:textId="77777777" w:rsidR="000D5574" w:rsidRDefault="000D5574" w:rsidP="00212F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23F6952"/>
    <w:multiLevelType w:val="hybridMultilevel"/>
    <w:tmpl w:val="A970A590"/>
    <w:lvl w:ilvl="0" w:tplc="638431FA">
      <w:start w:val="1"/>
      <w:numFmt w:val="decimal"/>
      <w:lvlText w:val="%1."/>
      <w:lvlJc w:val="left"/>
      <w:pPr>
        <w:ind w:left="100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ACC6388"/>
    <w:multiLevelType w:val="hybridMultilevel"/>
    <w:tmpl w:val="5714FE2E"/>
    <w:lvl w:ilvl="0" w:tplc="0422000F">
      <w:start w:val="1"/>
      <w:numFmt w:val="decimal"/>
      <w:lvlText w:val="%1."/>
      <w:lvlJc w:val="left"/>
      <w:pPr>
        <w:ind w:left="1260" w:hanging="360"/>
      </w:p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DC94FAE"/>
    <w:multiLevelType w:val="hybridMultilevel"/>
    <w:tmpl w:val="5AA834C0"/>
    <w:lvl w:ilvl="0" w:tplc="4EE2AAC2">
      <w:start w:val="8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21"/>
    <w:rsid w:val="00082954"/>
    <w:rsid w:val="000D5574"/>
    <w:rsid w:val="000E44F9"/>
    <w:rsid w:val="001E16CC"/>
    <w:rsid w:val="00200CF7"/>
    <w:rsid w:val="00212FE8"/>
    <w:rsid w:val="00290A14"/>
    <w:rsid w:val="002E6777"/>
    <w:rsid w:val="0038737A"/>
    <w:rsid w:val="0046443E"/>
    <w:rsid w:val="00464DF1"/>
    <w:rsid w:val="004E7E88"/>
    <w:rsid w:val="005E50B2"/>
    <w:rsid w:val="00605928"/>
    <w:rsid w:val="00621662"/>
    <w:rsid w:val="006757AA"/>
    <w:rsid w:val="006A38DE"/>
    <w:rsid w:val="006D24A2"/>
    <w:rsid w:val="006E142C"/>
    <w:rsid w:val="00796DA6"/>
    <w:rsid w:val="007F1AAB"/>
    <w:rsid w:val="008634DA"/>
    <w:rsid w:val="00886513"/>
    <w:rsid w:val="00957B7A"/>
    <w:rsid w:val="009A3BB2"/>
    <w:rsid w:val="00A14CE3"/>
    <w:rsid w:val="00A26021"/>
    <w:rsid w:val="00A46825"/>
    <w:rsid w:val="00A642A5"/>
    <w:rsid w:val="00AD6832"/>
    <w:rsid w:val="00B37EAE"/>
    <w:rsid w:val="00BE68C8"/>
    <w:rsid w:val="00BE7D7E"/>
    <w:rsid w:val="00C06FD2"/>
    <w:rsid w:val="00C34A8C"/>
    <w:rsid w:val="00C87E28"/>
    <w:rsid w:val="00DA6D21"/>
    <w:rsid w:val="00DD067D"/>
    <w:rsid w:val="00DD36FE"/>
    <w:rsid w:val="00E0504A"/>
    <w:rsid w:val="00E3298A"/>
    <w:rsid w:val="00E40C17"/>
    <w:rsid w:val="00E458AA"/>
    <w:rsid w:val="00E92C34"/>
    <w:rsid w:val="00EA60F2"/>
    <w:rsid w:val="00F2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DE8F3"/>
  <w15:docId w15:val="{10BA8E7B-186E-4465-9C09-9A137D0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E68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E68C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qFormat/>
    <w:rsid w:val="008634D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12FE8"/>
    <w:pPr>
      <w:spacing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212FE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12FE8"/>
    <w:rPr>
      <w:vertAlign w:val="superscript"/>
    </w:rPr>
  </w:style>
  <w:style w:type="character" w:styleId="ab">
    <w:name w:val="Hyperlink"/>
    <w:basedOn w:val="a0"/>
    <w:uiPriority w:val="99"/>
    <w:unhideWhenUsed/>
    <w:rsid w:val="00212FE8"/>
    <w:rPr>
      <w:color w:val="2474B2"/>
      <w:u w:val="single"/>
    </w:rPr>
  </w:style>
  <w:style w:type="character" w:styleId="ac">
    <w:name w:val="FollowedHyperlink"/>
    <w:basedOn w:val="a0"/>
    <w:uiPriority w:val="99"/>
    <w:semiHidden/>
    <w:unhideWhenUsed/>
    <w:rsid w:val="00212FE8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DD067D"/>
    <w:pPr>
      <w:spacing w:line="240" w:lineRule="auto"/>
    </w:pPr>
    <w:rPr>
      <w:rFonts w:asciiTheme="minorHAnsi" w:eastAsia="Times New Roman" w:hAnsiTheme="minorHAnsi" w:cs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aliases w:val="Обычный (Web),Обычный (веб) Знак Знак,Знак1 Знак Знак,Знак1 Знак1,Знак1 Знак Знак1,Обычный (веб) Знак Знак2,Знак1 Знак2,Обычный (веб) Знак,Знак1 Знак,Знак1,Знак,Обычный (веб) Знак Знак2 Знак Знак Знак,Обычный (веб) Знак Знак2 Знак Знак,З"/>
    <w:basedOn w:val="a"/>
    <w:link w:val="af"/>
    <w:uiPriority w:val="99"/>
    <w:unhideWhenUsed/>
    <w:qFormat/>
    <w:rsid w:val="00A2602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/>
    </w:rPr>
  </w:style>
  <w:style w:type="character" w:customStyle="1" w:styleId="af">
    <w:name w:val="Звичайний (веб) Знак"/>
    <w:aliases w:val="Обычный (Web) Знак,Обычный (веб) Знак Знак Знак,Знак1 Знак Знак Знак,Знак1 Знак1 Знак,Знак1 Знак Знак1 Знак,Обычный (веб) Знак Знак2 Знак,Знак1 Знак2 Знак,Обычный (веб) Знак Знак1,Знак1 Знак Знак2,Знак1 Знак3,Знак Знак,З Знак"/>
    <w:link w:val="ae"/>
    <w:uiPriority w:val="99"/>
    <w:locked/>
    <w:rsid w:val="00A26021"/>
    <w:rPr>
      <w:rFonts w:ascii="Times New Roman" w:eastAsia="Calibri" w:hAnsi="Times New Roman" w:cs="Times New Roman"/>
      <w:sz w:val="24"/>
      <w:szCs w:val="24"/>
      <w:lang w:val="uk-UA"/>
    </w:rPr>
  </w:style>
  <w:style w:type="paragraph" w:styleId="HTML">
    <w:name w:val="HTML Preformatted"/>
    <w:basedOn w:val="a"/>
    <w:link w:val="HTML0"/>
    <w:uiPriority w:val="99"/>
    <w:rsid w:val="006757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6757AA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f0">
    <w:name w:val="header"/>
    <w:basedOn w:val="a"/>
    <w:link w:val="af1"/>
    <w:uiPriority w:val="99"/>
    <w:unhideWhenUsed/>
    <w:rsid w:val="00AD6832"/>
    <w:pPr>
      <w:tabs>
        <w:tab w:val="center" w:pos="4986"/>
        <w:tab w:val="right" w:pos="9973"/>
      </w:tabs>
      <w:spacing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AD6832"/>
  </w:style>
  <w:style w:type="paragraph" w:styleId="af2">
    <w:name w:val="footer"/>
    <w:basedOn w:val="a"/>
    <w:link w:val="af3"/>
    <w:uiPriority w:val="99"/>
    <w:unhideWhenUsed/>
    <w:rsid w:val="00AD6832"/>
    <w:pPr>
      <w:tabs>
        <w:tab w:val="center" w:pos="4986"/>
        <w:tab w:val="right" w:pos="9973"/>
      </w:tabs>
      <w:spacing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AD6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4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13B27-0DCB-45B8-85BD-93CE6C8A33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F38E05-88AA-4FF1-BE58-6AD7EAC24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A35BCD-96EA-4214-8015-1E9456189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9A8290-C2D4-4C78-B689-BDD9ECE4F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3972</Words>
  <Characters>2265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2021-06-11T11:41:00Z</dcterms:created>
  <dcterms:modified xsi:type="dcterms:W3CDTF">2021-06-11T11:41:00Z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