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C8265F" w:rsidRDefault="00C8265F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14:paraId="00000003" w14:textId="77777777" w:rsidR="00C8265F" w:rsidRDefault="00C8265F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14:paraId="00000005" w14:textId="5AF7E161" w:rsidR="00C8265F" w:rsidRDefault="00C8265F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14:paraId="728E1BE1" w14:textId="77777777" w:rsidR="00050E1F" w:rsidRDefault="00050E1F">
      <w:pPr>
        <w:keepNext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highlight w:val="yellow"/>
        </w:rPr>
      </w:pPr>
    </w:p>
    <w:p w14:paraId="00000006" w14:textId="77777777" w:rsidR="00C8265F" w:rsidRDefault="00C8265F">
      <w:pPr>
        <w:keepNext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7" w14:textId="77777777" w:rsidR="00C8265F" w:rsidRDefault="00B433F1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ВИСНОВОК</w:t>
      </w:r>
    </w:p>
    <w:p w14:paraId="00000008" w14:textId="77777777" w:rsidR="00C8265F" w:rsidRDefault="00B433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 проект Закону України «Про внесення змін до Податкового кодексу України щодо забезпечення збалансованості бюджетних надходжень»</w:t>
      </w:r>
    </w:p>
    <w:p w14:paraId="00000009" w14:textId="77777777" w:rsidR="00C8265F" w:rsidRDefault="00C8265F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00000A" w14:textId="54FAC172" w:rsidR="00C8265F" w:rsidRDefault="00B433F1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проекті шляхом внесення змін до Податкового кодексу України </w:t>
      </w:r>
      <w:r w:rsidR="00050E1F" w:rsidRPr="00050E1F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>(далі – ПК) пропонується: переглянути ставки акцизного і екологічного податків та ренти, у тому числі, замінити діючу ставку акцизного податку (за 1 л пива) на ставку за 1 л 100-відсоткового спирту, виходячи із середньозваженої міцності пива за 2019-2020 роки 4,88 відсотка об’ємних одиниць та індексу споживчих цін за 2020 рік 5%; суттєво підвищити ставки екологічного податку за скиди, викиди деяких забруднюючих речовин; запровадити окремий механізм визначення вартості руд заліза для цілей сплати рентної плати.</w:t>
      </w:r>
    </w:p>
    <w:p w14:paraId="0000000B" w14:textId="77777777" w:rsidR="00C8265F" w:rsidRDefault="00B433F1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Метою проекту згідно із пояснювальною запискою до нього є  «забезпечення збалансованості бюджетних надходжень шляхом підвищення ефективності використання економічних ресурсів країни, а також усунення прогалин чинного законодавства».</w:t>
      </w:r>
    </w:p>
    <w:p w14:paraId="0000000C" w14:textId="77777777" w:rsidR="00C8265F" w:rsidRDefault="00B433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 на момент підготовки висновку у Плані законопроектної роботи Верховної Ради України на 2021 рік, затвердженому постановою Верховної Ради України від 02.02.2021 № 1165-IX, відсутній.</w:t>
      </w:r>
    </w:p>
    <w:p w14:paraId="0000000D" w14:textId="77777777" w:rsidR="00C8265F" w:rsidRDefault="00B433F1">
      <w:pPr>
        <w:widowControl w:val="0"/>
        <w:tabs>
          <w:tab w:val="left" w:pos="709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jdgxs" w:colFirst="0" w:colLast="0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Головне управління, розглянувши проект у вкрай стислий термін, вважає за доцільне зазначити, що внесений проект визначений альтернативним до проекту реєстр. № 5600 від 02.06.2021 та у частині змін щодо акцизного та екологічного податків, рентної плати, здебільшого, дублює його положення. Основною ж відмінністю є виключення низки положень, що містилися у проекті реєстр. № 5600 і на дискусійний характер яких Головне управління звертало увагу у висновку на вказаний проект. Щодо положень проекту вважаємо за доцільне зауважити наступне.</w:t>
      </w:r>
    </w:p>
    <w:p w14:paraId="0000000E" w14:textId="77777777" w:rsidR="00C8265F" w:rsidRDefault="00B433F1">
      <w:pPr>
        <w:widowControl w:val="0"/>
        <w:tabs>
          <w:tab w:val="left" w:pos="709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Супровідні до проекту документи не містять жодного обґрунтування пропозиції щодо виключення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213.2.8 п. 213.2 ст. 213 ПК, яким до операцій з підакцизними товарами, які не підлягають оподаткуванню, віднесено реалізацію електричної енергії, виробленої кваліфікованими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когенераційними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установками та/або з відновлюваних джерел енергії.</w:t>
      </w:r>
    </w:p>
    <w:p w14:paraId="0000000F" w14:textId="37693A8C" w:rsidR="00C8265F" w:rsidRDefault="00B433F1">
      <w:pPr>
        <w:widowControl w:val="0"/>
        <w:tabs>
          <w:tab w:val="left" w:pos="709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 цьому контексті Головне управління звертає увагу на ст. 15 Директиви Ради 2003/96/ЄC від 27.10.2003 про реструктуризацію системи Співтовариства з оподаткування продуктів енергії та електроенергії (далі – Директива Ради 2003/96/ЄC), якою передбачається, що без упередження до інших положень Співтовариства, держави-члени можуть застосувати, під фінансовим контролем, повне або часткове звільнення або скорочення рівня оподаткування, </w:t>
      </w:r>
      <w:r w:rsidR="00050E1F" w:rsidRPr="00050E1F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зокрема, для: </w:t>
      </w:r>
    </w:p>
    <w:p w14:paraId="00000010" w14:textId="7EBC8D58" w:rsidR="00C8265F" w:rsidRDefault="00B433F1">
      <w:pPr>
        <w:widowControl w:val="0"/>
        <w:tabs>
          <w:tab w:val="left" w:pos="709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оподаткованої продукції, що використовується під фінансовим контролем у сфері експериментальних проектів з технологічної розробки більш </w:t>
      </w:r>
      <w:r w:rsidR="00050E1F" w:rsidRPr="00050E1F">
        <w:rPr>
          <w:rFonts w:ascii="Times New Roman" w:eastAsia="Times New Roman" w:hAnsi="Times New Roman" w:cs="Times New Roman"/>
          <w:sz w:val="28"/>
          <w:szCs w:val="28"/>
        </w:rPr>
        <w:t xml:space="preserve">                </w:t>
      </w:r>
      <w:bookmarkStart w:id="1" w:name="_GoBack"/>
      <w:bookmarkEnd w:id="1"/>
      <w:r>
        <w:rPr>
          <w:rFonts w:ascii="Times New Roman" w:eastAsia="Times New Roman" w:hAnsi="Times New Roman" w:cs="Times New Roman"/>
          <w:sz w:val="28"/>
          <w:szCs w:val="28"/>
        </w:rPr>
        <w:t xml:space="preserve">екологічно-сприятливих виробів або у сфері пального з поновлюваних ресурсів; </w:t>
      </w:r>
    </w:p>
    <w:p w14:paraId="00000011" w14:textId="77777777" w:rsidR="00C8265F" w:rsidRDefault="00B433F1">
      <w:pPr>
        <w:widowControl w:val="0"/>
        <w:tabs>
          <w:tab w:val="left" w:pos="709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електроенергії: сонячного, вітрового, хвильового, припливного або геотермального походження; гідравлічного походження, виробленої в гідроелектричних установках; виробленої з біомаси або з продукції, що вироблена з біомаси; виробленої з метану, що виділяється з покинутих вугільних шахт; виробленої з паливних елементів; енергоносіїв і електроенергії, що використовуються для комбінованого виробництва тепла і електроенергії;</w:t>
      </w:r>
    </w:p>
    <w:p w14:paraId="00000012" w14:textId="77777777" w:rsidR="00C8265F" w:rsidRDefault="00B433F1">
      <w:pPr>
        <w:widowControl w:val="0"/>
        <w:tabs>
          <w:tab w:val="left" w:pos="709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електроенергії, виробленої при комбінованому виробництві тепла і електроенергії – за умови, що виробники комбінованої енергії є екологічно чистими. Держави-члени можуть застосувати власні визначення «екологічно-сприятливого» (або високоефективного) комбінованого виробництва – поки Рада, на підставі звіту і пропозиції Комісії, одностайно не ухвалить загальне визначення.</w:t>
      </w:r>
    </w:p>
    <w:p w14:paraId="00000013" w14:textId="77777777" w:rsidR="00C8265F" w:rsidRDefault="00B433F1">
      <w:pPr>
        <w:widowControl w:val="0"/>
        <w:tabs>
          <w:tab w:val="left" w:pos="709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Повні або часткові звільнення чи скорочення можуть застосовуватись максимум на десять років після введення в дію цієї Директиви або поки національна частка природного газу при кінцевому енергоспоживанні не сягне 25% – в залежності від того, що швидше. Проте, як тільки національна частка природного газу при кінцевому енергоспоживанні сягне 20%, зацікавлені держави-члени повинні застосувати безумовно позитивний рівень оподаткування, який має зростати щорічно – щоб досягти, щонайменше, мінімальної норми в кінці вищезгаданого періоду.</w:t>
      </w:r>
    </w:p>
    <w:p w14:paraId="00000014" w14:textId="77777777" w:rsidR="00C8265F" w:rsidRDefault="00C8265F">
      <w:pPr>
        <w:widowControl w:val="0"/>
        <w:tabs>
          <w:tab w:val="left" w:pos="709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5" w14:textId="77777777" w:rsidR="00C8265F" w:rsidRDefault="00C8265F">
      <w:pPr>
        <w:widowControl w:val="0"/>
        <w:tabs>
          <w:tab w:val="left" w:pos="709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6" w14:textId="77777777" w:rsidR="00C8265F" w:rsidRDefault="00B433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Керівник Головного управління                                                 С. Тихонюк</w:t>
      </w:r>
    </w:p>
    <w:p w14:paraId="00000017" w14:textId="77777777" w:rsidR="00C8265F" w:rsidRDefault="00C8265F">
      <w:pPr>
        <w:widowControl w:val="0"/>
        <w:tabs>
          <w:tab w:val="left" w:pos="709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8" w14:textId="77777777" w:rsidR="00C8265F" w:rsidRDefault="00C8265F">
      <w:pPr>
        <w:widowControl w:val="0"/>
        <w:tabs>
          <w:tab w:val="left" w:pos="709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9" w14:textId="77777777" w:rsidR="00C8265F" w:rsidRDefault="00B433F1">
      <w:pPr>
        <w:widowControl w:val="0"/>
        <w:tabs>
          <w:tab w:val="left" w:pos="709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0"/>
          <w:szCs w:val="20"/>
        </w:rPr>
      </w:pPr>
      <w:proofErr w:type="spellStart"/>
      <w:r>
        <w:rPr>
          <w:rFonts w:ascii="Times New Roman" w:eastAsia="Times New Roman" w:hAnsi="Times New Roman" w:cs="Times New Roman"/>
          <w:sz w:val="20"/>
          <w:szCs w:val="20"/>
        </w:rPr>
        <w:t>Вик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</w:rPr>
        <w:t>.: Є. Гришко, О. Олещенко</w:t>
      </w:r>
    </w:p>
    <w:p w14:paraId="0000001A" w14:textId="77777777" w:rsidR="00C8265F" w:rsidRDefault="00C8265F">
      <w:pPr>
        <w:widowControl w:val="0"/>
        <w:tabs>
          <w:tab w:val="left" w:pos="709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B" w14:textId="77777777" w:rsidR="00C8265F" w:rsidRDefault="00C8265F">
      <w:pPr>
        <w:widowControl w:val="0"/>
        <w:tabs>
          <w:tab w:val="left" w:pos="709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C" w14:textId="77777777" w:rsidR="00C8265F" w:rsidRDefault="00C8265F">
      <w:pPr>
        <w:widowControl w:val="0"/>
        <w:tabs>
          <w:tab w:val="left" w:pos="709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D" w14:textId="77777777" w:rsidR="00C8265F" w:rsidRDefault="00C8265F">
      <w:pPr>
        <w:widowControl w:val="0"/>
        <w:tabs>
          <w:tab w:val="left" w:pos="709"/>
          <w:tab w:val="left" w:pos="993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E" w14:textId="77777777" w:rsidR="00C8265F" w:rsidRDefault="00C826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00001F" w14:textId="77777777" w:rsidR="00C8265F" w:rsidRDefault="00C826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C8265F">
      <w:headerReference w:type="default" r:id="rId6"/>
      <w:headerReference w:type="first" r:id="rId7"/>
      <w:pgSz w:w="11906" w:h="16838"/>
      <w:pgMar w:top="1134" w:right="567" w:bottom="1134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24C72E" w14:textId="77777777" w:rsidR="00345D26" w:rsidRDefault="00345D26">
      <w:pPr>
        <w:spacing w:after="0" w:line="240" w:lineRule="auto"/>
      </w:pPr>
      <w:r>
        <w:separator/>
      </w:r>
    </w:p>
  </w:endnote>
  <w:endnote w:type="continuationSeparator" w:id="0">
    <w:p w14:paraId="6E327F82" w14:textId="77777777" w:rsidR="00345D26" w:rsidRDefault="00345D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CCEFBD" w14:textId="77777777" w:rsidR="00345D26" w:rsidRDefault="00345D26">
      <w:pPr>
        <w:spacing w:after="0" w:line="240" w:lineRule="auto"/>
      </w:pPr>
      <w:r>
        <w:separator/>
      </w:r>
    </w:p>
  </w:footnote>
  <w:footnote w:type="continuationSeparator" w:id="0">
    <w:p w14:paraId="5DA3EFE7" w14:textId="77777777" w:rsidR="00345D26" w:rsidRDefault="00345D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3" w14:textId="5AF799CD" w:rsidR="00C8265F" w:rsidRDefault="00B433F1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8"/>
        <w:szCs w:val="28"/>
      </w:rPr>
    </w:pP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begin"/>
    </w:r>
    <w:r>
      <w:rPr>
        <w:rFonts w:ascii="Times New Roman" w:eastAsia="Times New Roman" w:hAnsi="Times New Roman" w:cs="Times New Roman"/>
        <w:color w:val="000000"/>
        <w:sz w:val="28"/>
        <w:szCs w:val="28"/>
      </w:rPr>
      <w:instrText>PAGE</w:instrTex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separate"/>
    </w:r>
    <w:r w:rsidR="00050E1F">
      <w:rPr>
        <w:rFonts w:ascii="Times New Roman" w:eastAsia="Times New Roman" w:hAnsi="Times New Roman" w:cs="Times New Roman"/>
        <w:noProof/>
        <w:color w:val="000000"/>
        <w:sz w:val="28"/>
        <w:szCs w:val="28"/>
      </w:rPr>
      <w:t>2</w:t>
    </w:r>
    <w:r>
      <w:rPr>
        <w:rFonts w:ascii="Times New Roman" w:eastAsia="Times New Roman" w:hAnsi="Times New Roman" w:cs="Times New Roman"/>
        <w:color w:val="000000"/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0" w14:textId="77777777" w:rsidR="00C8265F" w:rsidRDefault="00B433F1">
    <w:pPr>
      <w:keepNext/>
      <w:tabs>
        <w:tab w:val="left" w:pos="5670"/>
        <w:tab w:val="right" w:pos="9354"/>
      </w:tabs>
      <w:spacing w:after="0" w:line="240" w:lineRule="auto"/>
      <w:ind w:left="5670"/>
      <w:jc w:val="right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>До реєстр. № 5600-1 від 11.06.2021</w:t>
    </w:r>
  </w:p>
  <w:p w14:paraId="00000021" w14:textId="77777777" w:rsidR="00C8265F" w:rsidRDefault="00B433F1">
    <w:pPr>
      <w:keepNext/>
      <w:tabs>
        <w:tab w:val="left" w:pos="5670"/>
        <w:tab w:val="right" w:pos="9354"/>
      </w:tabs>
      <w:spacing w:after="0" w:line="240" w:lineRule="auto"/>
      <w:ind w:left="5670" w:hanging="991"/>
      <w:jc w:val="right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 xml:space="preserve">    Народні депутати України</w:t>
    </w:r>
  </w:p>
  <w:p w14:paraId="00000022" w14:textId="77777777" w:rsidR="00C8265F" w:rsidRDefault="00B433F1">
    <w:pPr>
      <w:keepNext/>
      <w:tabs>
        <w:tab w:val="left" w:pos="5670"/>
        <w:tab w:val="right" w:pos="9354"/>
      </w:tabs>
      <w:spacing w:after="0" w:line="240" w:lineRule="auto"/>
      <w:ind w:left="5670" w:hanging="991"/>
      <w:jc w:val="right"/>
      <w:rPr>
        <w:rFonts w:ascii="Times New Roman" w:eastAsia="Times New Roman" w:hAnsi="Times New Roman" w:cs="Times New Roman"/>
        <w:sz w:val="20"/>
        <w:szCs w:val="20"/>
      </w:rPr>
    </w:pPr>
    <w:r>
      <w:rPr>
        <w:rFonts w:ascii="Times New Roman" w:eastAsia="Times New Roman" w:hAnsi="Times New Roman" w:cs="Times New Roman"/>
        <w:sz w:val="20"/>
        <w:szCs w:val="20"/>
      </w:rPr>
      <w:t>Я. </w:t>
    </w:r>
    <w:proofErr w:type="spellStart"/>
    <w:r>
      <w:rPr>
        <w:rFonts w:ascii="Times New Roman" w:eastAsia="Times New Roman" w:hAnsi="Times New Roman" w:cs="Times New Roman"/>
        <w:sz w:val="20"/>
        <w:szCs w:val="20"/>
      </w:rPr>
      <w:t>Железняк</w:t>
    </w:r>
    <w:proofErr w:type="spellEnd"/>
    <w:r>
      <w:rPr>
        <w:rFonts w:ascii="Times New Roman" w:eastAsia="Times New Roman" w:hAnsi="Times New Roman" w:cs="Times New Roman"/>
        <w:sz w:val="20"/>
        <w:szCs w:val="20"/>
      </w:rPr>
      <w:t xml:space="preserve">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65F"/>
    <w:rsid w:val="00050E1F"/>
    <w:rsid w:val="00250558"/>
    <w:rsid w:val="002A1B3B"/>
    <w:rsid w:val="00345D26"/>
    <w:rsid w:val="004B1C17"/>
    <w:rsid w:val="008E5759"/>
    <w:rsid w:val="00B433F1"/>
    <w:rsid w:val="00C82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838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2681</Words>
  <Characters>1529</Characters>
  <Application>Microsoft Office Word</Application>
  <DocSecurity>0</DocSecurity>
  <Lines>12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2021-06-23T08:14:00Z</dcterms:created>
  <dcterms:modified xsi:type="dcterms:W3CDTF">2021-06-23T08:15:00Z</dcterms:modified>
</cp:coreProperties>
</file>