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2A4C" w:rsidRDefault="003A2A4C" w:rsidP="00C10C51">
      <w:pPr>
        <w:spacing w:after="0" w:line="240" w:lineRule="auto"/>
        <w:ind w:firstLine="709"/>
        <w:rPr>
          <w:rFonts w:eastAsia="Times New Roman"/>
          <w:b/>
          <w:bCs/>
          <w:color w:val="000000" w:themeColor="text1"/>
          <w:szCs w:val="28"/>
          <w:lang w:val="en-US" w:eastAsia="ru-RU"/>
        </w:rPr>
      </w:pPr>
    </w:p>
    <w:p w:rsidR="00C23703" w:rsidRDefault="00C23703" w:rsidP="00C10C51">
      <w:pPr>
        <w:spacing w:after="0" w:line="240" w:lineRule="auto"/>
        <w:ind w:firstLine="709"/>
        <w:rPr>
          <w:rFonts w:eastAsia="Times New Roman"/>
          <w:b/>
          <w:bCs/>
          <w:color w:val="000000" w:themeColor="text1"/>
          <w:szCs w:val="28"/>
          <w:lang w:val="en-US" w:eastAsia="ru-RU"/>
        </w:rPr>
      </w:pPr>
    </w:p>
    <w:p w:rsidR="003F6B35" w:rsidRDefault="003F6B35" w:rsidP="00C10C51">
      <w:pPr>
        <w:spacing w:after="0" w:line="240" w:lineRule="auto"/>
        <w:ind w:firstLine="709"/>
        <w:rPr>
          <w:rFonts w:eastAsia="Times New Roman"/>
          <w:b/>
          <w:bCs/>
          <w:color w:val="000000" w:themeColor="text1"/>
          <w:szCs w:val="28"/>
          <w:lang w:val="en-US" w:eastAsia="ru-RU"/>
        </w:rPr>
      </w:pPr>
    </w:p>
    <w:p w:rsidR="003F6B35" w:rsidRDefault="003F6B35" w:rsidP="00C10C51">
      <w:pPr>
        <w:spacing w:after="0" w:line="240" w:lineRule="auto"/>
        <w:ind w:firstLine="709"/>
        <w:rPr>
          <w:rFonts w:eastAsia="Times New Roman"/>
          <w:b/>
          <w:bCs/>
          <w:color w:val="000000" w:themeColor="text1"/>
          <w:szCs w:val="28"/>
          <w:lang w:val="en-US" w:eastAsia="ru-RU"/>
        </w:rPr>
      </w:pPr>
    </w:p>
    <w:p w:rsidR="003F6B35" w:rsidRDefault="003F6B35" w:rsidP="00C10C51">
      <w:pPr>
        <w:spacing w:after="0" w:line="240" w:lineRule="auto"/>
        <w:ind w:firstLine="709"/>
        <w:rPr>
          <w:rFonts w:eastAsia="Times New Roman"/>
          <w:b/>
          <w:bCs/>
          <w:color w:val="000000" w:themeColor="text1"/>
          <w:szCs w:val="28"/>
          <w:lang w:val="en-US" w:eastAsia="ru-RU"/>
        </w:rPr>
      </w:pPr>
    </w:p>
    <w:p w:rsidR="003F6B35" w:rsidRPr="003F6B35" w:rsidRDefault="003F6B35" w:rsidP="003F6B35">
      <w:pPr>
        <w:keepNext/>
        <w:spacing w:after="0" w:line="240" w:lineRule="auto"/>
        <w:ind w:firstLine="709"/>
        <w:jc w:val="both"/>
        <w:rPr>
          <w:rFonts w:eastAsia="Times New Roman"/>
          <w:szCs w:val="28"/>
          <w:highlight w:val="yellow"/>
          <w:lang w:eastAsia="uk-UA"/>
        </w:rPr>
      </w:pPr>
    </w:p>
    <w:p w:rsidR="003F6B35" w:rsidRPr="003F6B35" w:rsidRDefault="003F6B35" w:rsidP="003F6B35">
      <w:pPr>
        <w:keepNext/>
        <w:spacing w:after="0" w:line="240" w:lineRule="auto"/>
        <w:ind w:firstLine="709"/>
        <w:jc w:val="both"/>
        <w:rPr>
          <w:rFonts w:eastAsia="Times New Roman"/>
          <w:b/>
          <w:szCs w:val="28"/>
          <w:highlight w:val="yellow"/>
          <w:lang w:eastAsia="uk-UA"/>
        </w:rPr>
      </w:pPr>
    </w:p>
    <w:p w:rsidR="003F6B35" w:rsidRPr="003F6B35" w:rsidRDefault="003F6B35" w:rsidP="003F6B35">
      <w:pPr>
        <w:keepNext/>
        <w:spacing w:after="0" w:line="240" w:lineRule="auto"/>
        <w:ind w:firstLine="709"/>
        <w:jc w:val="both"/>
        <w:rPr>
          <w:rFonts w:eastAsia="Times New Roman"/>
          <w:b/>
          <w:szCs w:val="28"/>
          <w:highlight w:val="yellow"/>
          <w:lang w:eastAsia="uk-UA"/>
        </w:rPr>
      </w:pPr>
    </w:p>
    <w:p w:rsidR="003F6B35" w:rsidRPr="003F6B35" w:rsidRDefault="003F6B35" w:rsidP="003F6B35">
      <w:pPr>
        <w:keepNext/>
        <w:spacing w:after="0" w:line="240" w:lineRule="auto"/>
        <w:ind w:firstLine="709"/>
        <w:jc w:val="both"/>
        <w:rPr>
          <w:rFonts w:eastAsia="Times New Roman"/>
          <w:b/>
          <w:szCs w:val="28"/>
          <w:highlight w:val="yellow"/>
          <w:lang w:eastAsia="uk-UA"/>
        </w:rPr>
      </w:pPr>
    </w:p>
    <w:p w:rsidR="003F6B35" w:rsidRPr="003F6B35" w:rsidRDefault="003F6B35" w:rsidP="003F6B35">
      <w:pPr>
        <w:keepNext/>
        <w:spacing w:after="0" w:line="240" w:lineRule="auto"/>
        <w:ind w:firstLine="709"/>
        <w:jc w:val="both"/>
        <w:rPr>
          <w:rFonts w:eastAsia="Times New Roman"/>
          <w:b/>
          <w:szCs w:val="28"/>
          <w:highlight w:val="yellow"/>
          <w:lang w:eastAsia="uk-UA"/>
        </w:rPr>
      </w:pPr>
    </w:p>
    <w:p w:rsidR="003F6B35" w:rsidRPr="003F6B35" w:rsidRDefault="003F6B35" w:rsidP="003F6B35">
      <w:pPr>
        <w:keepNext/>
        <w:spacing w:after="0" w:line="240" w:lineRule="auto"/>
        <w:ind w:firstLine="709"/>
        <w:jc w:val="center"/>
        <w:rPr>
          <w:rFonts w:eastAsia="Times New Roman"/>
          <w:b/>
          <w:szCs w:val="28"/>
          <w:lang w:eastAsia="uk-UA"/>
        </w:rPr>
      </w:pPr>
    </w:p>
    <w:p w:rsidR="003F6B35" w:rsidRPr="003F6B35" w:rsidRDefault="003F6B35" w:rsidP="003F6B35">
      <w:pPr>
        <w:keepNext/>
        <w:spacing w:after="0" w:line="240" w:lineRule="auto"/>
        <w:jc w:val="center"/>
        <w:rPr>
          <w:rFonts w:eastAsia="Times New Roman"/>
          <w:b/>
          <w:szCs w:val="28"/>
          <w:lang w:eastAsia="uk-UA"/>
        </w:rPr>
      </w:pPr>
      <w:r w:rsidRPr="003F6B35">
        <w:rPr>
          <w:rFonts w:eastAsia="Times New Roman"/>
          <w:b/>
          <w:szCs w:val="28"/>
          <w:lang w:eastAsia="uk-UA"/>
        </w:rPr>
        <w:t>ВИСНОВОК</w:t>
      </w:r>
    </w:p>
    <w:p w:rsidR="003F6B35" w:rsidRPr="003F6B35" w:rsidRDefault="003F6B35" w:rsidP="003F6B35">
      <w:pPr>
        <w:spacing w:after="0" w:line="240" w:lineRule="auto"/>
        <w:jc w:val="center"/>
        <w:rPr>
          <w:rFonts w:eastAsia="Times New Roman"/>
          <w:b/>
          <w:szCs w:val="28"/>
          <w:lang w:eastAsia="uk-UA"/>
        </w:rPr>
      </w:pPr>
      <w:r w:rsidRPr="003F6B35">
        <w:rPr>
          <w:rFonts w:eastAsia="Times New Roman"/>
          <w:b/>
          <w:szCs w:val="28"/>
          <w:lang w:eastAsia="uk-UA"/>
        </w:rPr>
        <w:t>на проект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w:t>
      </w:r>
    </w:p>
    <w:p w:rsidR="003F6B35" w:rsidRPr="003F6B35" w:rsidRDefault="003F6B35" w:rsidP="003F6B35">
      <w:pPr>
        <w:spacing w:after="0" w:line="240" w:lineRule="auto"/>
        <w:ind w:firstLine="709"/>
        <w:rPr>
          <w:rFonts w:eastAsia="Times New Roman"/>
          <w:b/>
          <w:szCs w:val="28"/>
          <w:lang w:eastAsia="uk-UA"/>
        </w:rPr>
      </w:pPr>
    </w:p>
    <w:p w:rsidR="003F6B35" w:rsidRPr="003F6B35" w:rsidRDefault="003F6B35" w:rsidP="003F6B35">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eastAsia="Times New Roman"/>
          <w:szCs w:val="28"/>
          <w:lang w:eastAsia="uk-UA"/>
        </w:rPr>
      </w:pPr>
      <w:r w:rsidRPr="003F6B35">
        <w:rPr>
          <w:rFonts w:eastAsia="Times New Roman"/>
          <w:szCs w:val="28"/>
          <w:lang w:eastAsia="uk-UA"/>
        </w:rPr>
        <w:t xml:space="preserve">У проекті шляхом внесення змін до Податкового кодексу України (далі – ПК), а також </w:t>
      </w:r>
      <w:r w:rsidRPr="004023EC">
        <w:rPr>
          <w:rFonts w:eastAsia="Times New Roman"/>
          <w:szCs w:val="28"/>
          <w:lang w:eastAsia="uk-UA"/>
        </w:rPr>
        <w:t xml:space="preserve">до </w:t>
      </w:r>
      <w:r w:rsidRPr="003F6B35">
        <w:rPr>
          <w:rFonts w:eastAsia="Times New Roman"/>
          <w:szCs w:val="28"/>
          <w:lang w:eastAsia="uk-UA"/>
        </w:rPr>
        <w:t xml:space="preserve">Закону України «Про місцеве самоврядування в Україні» пропонується, зокрема: </w:t>
      </w:r>
    </w:p>
    <w:p w:rsidR="003F6B35" w:rsidRPr="003F6B35" w:rsidRDefault="003F6B35" w:rsidP="003F6B35">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eastAsia="Times New Roman"/>
          <w:szCs w:val="28"/>
          <w:lang w:eastAsia="uk-UA"/>
        </w:rPr>
      </w:pPr>
      <w:r w:rsidRPr="003F6B35">
        <w:rPr>
          <w:rFonts w:eastAsia="Times New Roman"/>
          <w:szCs w:val="28"/>
          <w:lang w:eastAsia="uk-UA"/>
        </w:rPr>
        <w:t xml:space="preserve">застосовувати положення щодо зменшення фінансового результату до оподаткування податком на прибуток підприємств на суму від’ємного значення об’єкта оподаткування минулих податкових (звітних) років протягом </w:t>
      </w:r>
      <w:r w:rsidRPr="004023EC">
        <w:rPr>
          <w:rFonts w:eastAsia="Times New Roman"/>
          <w:szCs w:val="28"/>
          <w:lang w:eastAsia="uk-UA"/>
        </w:rPr>
        <w:br/>
      </w:r>
      <w:r w:rsidRPr="003F6B35">
        <w:rPr>
          <w:rFonts w:eastAsia="Times New Roman"/>
          <w:szCs w:val="28"/>
          <w:lang w:eastAsia="uk-UA"/>
        </w:rPr>
        <w:t>12 послідовних податкових (звітних) років, починаючи з податкового (звітного) року виникнення такого від’ємного значення об’єкта оподаткування;</w:t>
      </w:r>
    </w:p>
    <w:p w:rsidR="003F6B35" w:rsidRPr="003F6B35" w:rsidRDefault="003F6B35" w:rsidP="003F6B35">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eastAsia="Times New Roman"/>
          <w:szCs w:val="28"/>
          <w:lang w:eastAsia="uk-UA"/>
        </w:rPr>
      </w:pPr>
      <w:r w:rsidRPr="003F6B35">
        <w:rPr>
          <w:rFonts w:eastAsia="Times New Roman"/>
          <w:szCs w:val="28"/>
          <w:lang w:eastAsia="uk-UA"/>
        </w:rPr>
        <w:t>оподатковувати дохід фізичної особи, отриманий від продажу протягом звітного податкового року третього та наступних об’єктів нерухомості, за базовою ставкою податку з доходів громадян (18%);</w:t>
      </w:r>
    </w:p>
    <w:p w:rsidR="003F6B35" w:rsidRPr="003F6B35" w:rsidRDefault="003F6B35" w:rsidP="003F6B35">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eastAsia="Times New Roman"/>
          <w:szCs w:val="28"/>
          <w:lang w:eastAsia="uk-UA"/>
        </w:rPr>
      </w:pPr>
      <w:r w:rsidRPr="003F6B35">
        <w:rPr>
          <w:rFonts w:eastAsia="Times New Roman"/>
          <w:szCs w:val="28"/>
          <w:lang w:eastAsia="uk-UA"/>
        </w:rPr>
        <w:t>скасувати положення, згідно з яким операції постачання житла (об'єктів житлового фонду), крім їх першого постачання, звільняються від оподаткування податком на додану вартість;</w:t>
      </w:r>
    </w:p>
    <w:p w:rsidR="003F6B35" w:rsidRPr="003F6B35" w:rsidRDefault="003F6B35" w:rsidP="003F6B35">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eastAsia="Times New Roman"/>
          <w:szCs w:val="28"/>
          <w:lang w:eastAsia="uk-UA"/>
        </w:rPr>
      </w:pPr>
      <w:r w:rsidRPr="003F6B35">
        <w:rPr>
          <w:rFonts w:eastAsia="Times New Roman"/>
          <w:szCs w:val="28"/>
          <w:lang w:eastAsia="uk-UA"/>
        </w:rPr>
        <w:t>індексувати ставки акцизного та екологічного податків та ренти, у тому числі, суттєво підвищити ставки екологічного податку за скиди, викиди деяких забруднюючих речовин, запровадити окремий механізм визначення вартості руд заліза для цілей сплати рентної плати;</w:t>
      </w:r>
    </w:p>
    <w:p w:rsidR="003F6B35" w:rsidRPr="003F6B35" w:rsidRDefault="003F6B35" w:rsidP="003F6B35">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eastAsia="Times New Roman"/>
          <w:szCs w:val="28"/>
          <w:lang w:eastAsia="uk-UA"/>
        </w:rPr>
      </w:pPr>
      <w:r w:rsidRPr="003F6B35">
        <w:rPr>
          <w:rFonts w:eastAsia="Times New Roman"/>
          <w:szCs w:val="28"/>
          <w:lang w:eastAsia="uk-UA"/>
        </w:rPr>
        <w:t>встановити сплату земельного податку землекористувачами, які використовують земельні ділянки державної та комунальної власності, у тому числі, самовільно зайняті, без оформлення правовстановлюючих документів;</w:t>
      </w:r>
    </w:p>
    <w:p w:rsidR="003F6B35" w:rsidRPr="003F6B35" w:rsidRDefault="003F6B35" w:rsidP="003F6B35">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eastAsia="Times New Roman"/>
          <w:szCs w:val="28"/>
          <w:lang w:eastAsia="uk-UA"/>
        </w:rPr>
      </w:pPr>
      <w:r w:rsidRPr="003F6B35">
        <w:rPr>
          <w:rFonts w:eastAsia="Times New Roman"/>
          <w:szCs w:val="28"/>
          <w:lang w:eastAsia="uk-UA"/>
        </w:rPr>
        <w:t>не оподатковувати земельним податком землі залізничного транспорту, що перебувають у державній власності, власності державних підприємств або власності господарських товариств, у статутному капіталі яких 50 і більше відсотків акцій (часток, паїв) належать державі;</w:t>
      </w:r>
    </w:p>
    <w:p w:rsidR="003F6B35" w:rsidRPr="003F6B35" w:rsidRDefault="003F6B35" w:rsidP="003F6B35">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eastAsia="Times New Roman"/>
          <w:szCs w:val="28"/>
          <w:lang w:eastAsia="uk-UA"/>
        </w:rPr>
      </w:pPr>
      <w:r w:rsidRPr="003F6B35">
        <w:rPr>
          <w:rFonts w:eastAsia="Times New Roman"/>
          <w:szCs w:val="28"/>
          <w:lang w:eastAsia="uk-UA"/>
        </w:rPr>
        <w:t>встановити, що не можуть бути платниками єдиного податку четвертої групи суб’єкти господарювання, які здійснюють діяльність з розведення свійської птиці, перепелів і страусів, виробництва м'яса свійської птиці.</w:t>
      </w:r>
    </w:p>
    <w:p w:rsidR="003F6B35" w:rsidRPr="003F6B35" w:rsidRDefault="003F6B35" w:rsidP="003F6B35">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eastAsia="Times New Roman"/>
          <w:szCs w:val="28"/>
          <w:lang w:eastAsia="uk-UA"/>
        </w:rPr>
      </w:pPr>
      <w:r w:rsidRPr="003F6B35">
        <w:rPr>
          <w:rFonts w:eastAsia="Times New Roman"/>
          <w:szCs w:val="28"/>
          <w:lang w:eastAsia="uk-UA"/>
        </w:rPr>
        <w:lastRenderedPageBreak/>
        <w:t>Метою проекту згідно із пояснювальною запискою до нього є  «забезпечення збалансованості бюджетних надходжень шляхом індексації деяких ставок податків шляхом підвищення ефективності використання економічних ресурсів країни, а також усунення прогалин чинного законодавства».</w:t>
      </w:r>
    </w:p>
    <w:p w:rsidR="003F6B35" w:rsidRPr="003F6B35" w:rsidRDefault="003F6B35" w:rsidP="003F6B35">
      <w:pPr>
        <w:spacing w:after="0" w:line="240" w:lineRule="auto"/>
        <w:ind w:firstLine="709"/>
        <w:jc w:val="both"/>
        <w:rPr>
          <w:rFonts w:eastAsia="Times New Roman"/>
          <w:szCs w:val="28"/>
          <w:lang w:eastAsia="uk-UA"/>
        </w:rPr>
      </w:pPr>
      <w:r w:rsidRPr="003F6B35">
        <w:rPr>
          <w:rFonts w:eastAsia="Times New Roman"/>
          <w:szCs w:val="28"/>
          <w:lang w:eastAsia="uk-UA"/>
        </w:rPr>
        <w:t xml:space="preserve">Проект визначений альтернативним до проекту реєстр. № 5600 від 02.06.2021 та, до певної міри, дублює його положення, зокрема, у частині індексації ставок акцизного та екологічного податків, оподаткування самовільно зайнятих, без оформлення правовстановлюючих документів земельних ділянок, єдиного податку тощо. Разом із тим, у проекті, на відміну від проекту </w:t>
      </w:r>
      <w:r w:rsidR="00C23703">
        <w:rPr>
          <w:rFonts w:eastAsia="Times New Roman"/>
          <w:szCs w:val="28"/>
          <w:lang w:eastAsia="uk-UA"/>
        </w:rPr>
        <w:t xml:space="preserve">                     </w:t>
      </w:r>
      <w:r w:rsidRPr="003F6B35">
        <w:rPr>
          <w:rFonts w:eastAsia="Times New Roman"/>
          <w:szCs w:val="28"/>
          <w:lang w:eastAsia="uk-UA"/>
        </w:rPr>
        <w:t>реєстр. № 5600, виключена низка положень, які стосуються: оподаткування доходів фізичних та юридичних осіб, пов’язаних із виробництвом та реалізацією власної сільськогосподарської продукції та/або з власністю та/або користуванням (орендою, суборендою, емфітевзисом, постійним користуванням) земельними ділянками, віднесеними до сільськогосподарських угідь; розширення бази оподаткування податком на додану вартість; індексації рентної плати за користування надрами в цілях, не пов'язаних з видобуванням корисних копалин, радіочастотним ресурсом України, за спеціальне використання лісових ресурсів тощо.</w:t>
      </w:r>
    </w:p>
    <w:p w:rsidR="003F6B35" w:rsidRPr="003F6B35" w:rsidRDefault="003F6B35" w:rsidP="003F6B35">
      <w:pPr>
        <w:spacing w:after="0" w:line="240" w:lineRule="auto"/>
        <w:ind w:firstLine="709"/>
        <w:jc w:val="both"/>
        <w:rPr>
          <w:rFonts w:eastAsia="Times New Roman"/>
          <w:szCs w:val="28"/>
          <w:lang w:eastAsia="uk-UA"/>
        </w:rPr>
      </w:pPr>
      <w:r w:rsidRPr="003F6B35">
        <w:rPr>
          <w:rFonts w:eastAsia="Times New Roman"/>
          <w:szCs w:val="28"/>
          <w:lang w:eastAsia="uk-UA"/>
        </w:rPr>
        <w:t>Проект на момент підготовки висновку у Плані законопроектної роботи Верховної Ради України на 2021 рік, затвердженому постановою Верховної Ради України від 02.02.2021 № 1165-IX, відсутній.</w:t>
      </w:r>
    </w:p>
    <w:p w:rsidR="003F6B35" w:rsidRPr="003F6B35" w:rsidRDefault="003F6B35" w:rsidP="003F6B3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eastAsia="Times New Roman"/>
          <w:szCs w:val="28"/>
          <w:lang w:eastAsia="uk-UA"/>
        </w:rPr>
      </w:pPr>
      <w:bookmarkStart w:id="0" w:name="_gjdgxs" w:colFirst="0" w:colLast="0"/>
      <w:bookmarkEnd w:id="0"/>
      <w:r w:rsidRPr="003F6B35">
        <w:rPr>
          <w:rFonts w:eastAsia="Times New Roman"/>
          <w:szCs w:val="28"/>
          <w:lang w:eastAsia="uk-UA"/>
        </w:rPr>
        <w:t>Головне управління, розглянувши проект у вкрай стислий термін, вважає за доцільне зауважити наступне.</w:t>
      </w:r>
    </w:p>
    <w:p w:rsidR="003F6B35" w:rsidRPr="003F6B35" w:rsidRDefault="003F6B35" w:rsidP="003F6B35">
      <w:pPr>
        <w:tabs>
          <w:tab w:val="left" w:pos="1134"/>
        </w:tabs>
        <w:spacing w:after="0" w:line="240" w:lineRule="auto"/>
        <w:ind w:firstLine="709"/>
        <w:jc w:val="both"/>
        <w:rPr>
          <w:rFonts w:eastAsia="Times New Roman" w:cs="Calibri"/>
          <w:szCs w:val="28"/>
          <w:lang w:eastAsia="uk-UA"/>
        </w:rPr>
      </w:pPr>
      <w:r w:rsidRPr="003F6B35">
        <w:rPr>
          <w:rFonts w:cs="Calibri"/>
          <w:b/>
          <w:szCs w:val="28"/>
          <w:lang w:eastAsia="uk-UA"/>
        </w:rPr>
        <w:t>1.</w:t>
      </w:r>
      <w:r w:rsidRPr="003F6B35">
        <w:rPr>
          <w:rFonts w:cs="Calibri"/>
          <w:szCs w:val="28"/>
          <w:lang w:eastAsia="uk-UA"/>
        </w:rPr>
        <w:t xml:space="preserve"> Насамперед, з</w:t>
      </w:r>
      <w:r w:rsidRPr="003F6B35">
        <w:rPr>
          <w:rFonts w:eastAsia="Times New Roman" w:cs="Calibri"/>
          <w:szCs w:val="28"/>
          <w:lang w:eastAsia="uk-UA"/>
        </w:rPr>
        <w:t xml:space="preserve">вертаємо увагу, що відповідно до ч. 1 ст. 91 Регламенту Верховної Ради України «законопроект, проект іншого </w:t>
      </w:r>
      <w:proofErr w:type="spellStart"/>
      <w:r w:rsidRPr="003F6B35">
        <w:rPr>
          <w:rFonts w:eastAsia="Times New Roman" w:cs="Calibri"/>
          <w:szCs w:val="28"/>
          <w:lang w:eastAsia="uk-UA"/>
        </w:rPr>
        <w:t>акта</w:t>
      </w:r>
      <w:proofErr w:type="spellEnd"/>
      <w:r w:rsidRPr="003F6B35">
        <w:rPr>
          <w:rFonts w:eastAsia="Times New Roman" w:cs="Calibri"/>
          <w:szCs w:val="28"/>
          <w:lang w:eastAsia="uk-UA"/>
        </w:rPr>
        <w:t xml:space="preserve"> вноситься на реєстрацію разом з … пояснювальною запискою, яка </w:t>
      </w:r>
      <w:r w:rsidRPr="003F6B35">
        <w:rPr>
          <w:rFonts w:eastAsia="Times New Roman" w:cs="Calibri"/>
          <w:i/>
          <w:szCs w:val="28"/>
          <w:lang w:eastAsia="uk-UA"/>
        </w:rPr>
        <w:t xml:space="preserve">має містити: </w:t>
      </w:r>
      <w:r>
        <w:rPr>
          <w:rFonts w:eastAsia="Times New Roman" w:cs="Calibri"/>
          <w:i/>
          <w:szCs w:val="28"/>
          <w:lang w:eastAsia="uk-UA"/>
        </w:rPr>
        <w:br/>
      </w:r>
      <w:r w:rsidRPr="003F6B35">
        <w:rPr>
          <w:rFonts w:eastAsia="Times New Roman" w:cs="Calibri"/>
          <w:szCs w:val="28"/>
          <w:lang w:eastAsia="uk-UA"/>
        </w:rPr>
        <w:t xml:space="preserve">1) обґрунтування необхідності прийняття законопроекту, цілей, завдань і основних його положень та місця в системі законодавства; 2) обґрунтування очікуваних соціально-економічних, правових та інших наслідків застосування закону після його прийняття; 3) інші відомості, необхідні для розгляду законопроекту». Разом із тим, у супровідних до проекту документах відсутнє відповідне обґрунтування пропонованих положень, що суттєво ускладнює їх аналіз, оцінку доцільності вирішення окреслених проблемних питань, у даному випадку, оподаткування, у пропонований спосіб. </w:t>
      </w:r>
    </w:p>
    <w:p w:rsidR="003F6B35" w:rsidRPr="003F6B35" w:rsidRDefault="003F6B35" w:rsidP="003F6B35">
      <w:pPr>
        <w:tabs>
          <w:tab w:val="left" w:pos="993"/>
        </w:tabs>
        <w:spacing w:after="0" w:line="240" w:lineRule="auto"/>
        <w:ind w:firstLine="709"/>
        <w:jc w:val="both"/>
        <w:rPr>
          <w:rFonts w:eastAsia="Times New Roman" w:cs="Calibri"/>
          <w:szCs w:val="28"/>
          <w:lang w:eastAsia="uk-UA"/>
        </w:rPr>
      </w:pPr>
      <w:r w:rsidRPr="003F6B35">
        <w:rPr>
          <w:rFonts w:eastAsia="Times New Roman" w:cs="Calibri"/>
          <w:szCs w:val="28"/>
          <w:lang w:eastAsia="uk-UA"/>
        </w:rPr>
        <w:t xml:space="preserve">Крім того, відповідно до вимог ч. 3 ст. 91 Регламенту Верховної Ради України, ч. 3 ст. 27 Бюджетного кодексу України «до законопроекту, прийняття якого призведе до </w:t>
      </w:r>
      <w:r w:rsidRPr="003F6B35">
        <w:rPr>
          <w:rFonts w:eastAsia="Times New Roman" w:cs="Calibri"/>
          <w:i/>
          <w:szCs w:val="28"/>
          <w:lang w:eastAsia="uk-UA"/>
        </w:rPr>
        <w:t>зміни показників бюджету</w:t>
      </w:r>
      <w:r w:rsidRPr="003F6B35">
        <w:rPr>
          <w:rFonts w:eastAsia="Times New Roman" w:cs="Calibri"/>
          <w:szCs w:val="28"/>
          <w:lang w:eastAsia="uk-UA"/>
        </w:rPr>
        <w:t>, суб'єкт права законодавчої ініціативи зобов'язаний додати фінансово-економічне обґрунтування (включаючи відповідні розрахунки)», у тому числі, у частині впливу пропозицій проекту як на показники бюджету, так і на фінансовий стан суб’єктів господарювання, домогосподарств. У супровідних до проекту документах такі обґрунтування, розрахунки відсутні.</w:t>
      </w:r>
    </w:p>
    <w:p w:rsidR="003F6B35" w:rsidRPr="003F6B35" w:rsidRDefault="003F6B35" w:rsidP="003F6B35">
      <w:pPr>
        <w:spacing w:after="0" w:line="240" w:lineRule="auto"/>
        <w:ind w:firstLine="708"/>
        <w:jc w:val="both"/>
        <w:rPr>
          <w:rFonts w:eastAsia="Times New Roman" w:cs="Calibri"/>
          <w:szCs w:val="28"/>
          <w:lang w:eastAsia="uk-UA"/>
        </w:rPr>
      </w:pPr>
      <w:r w:rsidRPr="003F6B35">
        <w:rPr>
          <w:rFonts w:eastAsia="Times New Roman" w:cs="Calibri"/>
          <w:b/>
          <w:szCs w:val="28"/>
          <w:lang w:eastAsia="uk-UA"/>
        </w:rPr>
        <w:t>2.</w:t>
      </w:r>
      <w:r w:rsidRPr="003F6B35">
        <w:rPr>
          <w:rFonts w:eastAsia="Times New Roman" w:cs="Calibri"/>
          <w:szCs w:val="28"/>
          <w:lang w:eastAsia="uk-UA"/>
        </w:rPr>
        <w:t xml:space="preserve"> Назва проекту – «</w:t>
      </w:r>
      <w:r w:rsidRPr="003F6B35">
        <w:rPr>
          <w:rFonts w:cs="Calibri"/>
          <w:szCs w:val="28"/>
          <w:lang w:eastAsia="uk-UA"/>
        </w:rPr>
        <w:t xml:space="preserve">Про внесення змін до Податкового кодексу України та деяких законодавчих актів України щодо </w:t>
      </w:r>
      <w:r w:rsidRPr="003F6B35">
        <w:rPr>
          <w:rFonts w:cs="Calibri"/>
          <w:i/>
          <w:szCs w:val="28"/>
          <w:lang w:eastAsia="uk-UA"/>
        </w:rPr>
        <w:t xml:space="preserve">забезпечення збалансованості </w:t>
      </w:r>
      <w:r w:rsidRPr="003F6B35">
        <w:rPr>
          <w:rFonts w:cs="Calibri"/>
          <w:i/>
          <w:szCs w:val="28"/>
          <w:lang w:eastAsia="uk-UA"/>
        </w:rPr>
        <w:lastRenderedPageBreak/>
        <w:t>бюджетних надходжень</w:t>
      </w:r>
      <w:r w:rsidRPr="003F6B35">
        <w:rPr>
          <w:rFonts w:cs="Calibri"/>
          <w:szCs w:val="28"/>
          <w:lang w:eastAsia="uk-UA"/>
        </w:rPr>
        <w:t xml:space="preserve">» – </w:t>
      </w:r>
      <w:r w:rsidRPr="003F6B35">
        <w:rPr>
          <w:rFonts w:eastAsia="Times New Roman" w:cs="Calibri"/>
          <w:szCs w:val="28"/>
          <w:lang w:eastAsia="uk-UA"/>
        </w:rPr>
        <w:t>не розкриває, власне, предмет проекту. Насамперед, виникає питання, про яку «збалансованість бюджетних надходжень» йде мова – між джерелами бюджетних доходів, між доходами бюджетів різних рівнів чи між доходами та видатками бюджетів. Про останнє ж у проекті взагалі не йдеться.</w:t>
      </w:r>
    </w:p>
    <w:p w:rsidR="003F6B35" w:rsidRPr="003F6B35" w:rsidRDefault="003F6B35" w:rsidP="003F6B35">
      <w:pPr>
        <w:spacing w:after="0" w:line="240" w:lineRule="auto"/>
        <w:ind w:firstLine="708"/>
        <w:jc w:val="both"/>
        <w:rPr>
          <w:rFonts w:cs="Calibri"/>
          <w:szCs w:val="28"/>
          <w:lang w:eastAsia="uk-UA"/>
        </w:rPr>
      </w:pPr>
      <w:r w:rsidRPr="003F6B35">
        <w:rPr>
          <w:rFonts w:eastAsia="Times New Roman" w:cs="Calibri"/>
          <w:szCs w:val="28"/>
          <w:lang w:eastAsia="uk-UA"/>
        </w:rPr>
        <w:t>Зауважимо також, що відсутність у супровідних до проекту документах фінансово-економічного обґрунтування (включаючи розрахунки), серед іншого, не дозволяє оцінити спрямованість пропозицій проекту саме на «забезпечення збалансованості бюджетних надходжень». У пояснювальній записці до проекту суб’єкт права законодавчої ініціативи обмежується лише положенням, за яким «р</w:t>
      </w:r>
      <w:r w:rsidRPr="003F6B35">
        <w:rPr>
          <w:rFonts w:cs="Calibri"/>
          <w:szCs w:val="28"/>
          <w:lang w:eastAsia="ru-RU"/>
        </w:rPr>
        <w:t>еалізація положень цього проекту Закону повинно сприяти збільшенню надходжень до Державного бюджету України</w:t>
      </w:r>
      <w:r w:rsidRPr="003F6B35">
        <w:rPr>
          <w:rFonts w:cs="Calibri"/>
          <w:szCs w:val="28"/>
          <w:lang w:eastAsia="uk-UA"/>
        </w:rPr>
        <w:t>».</w:t>
      </w:r>
    </w:p>
    <w:p w:rsidR="003F6B35" w:rsidRPr="003F6B35" w:rsidRDefault="003F6B35" w:rsidP="003F6B35">
      <w:pPr>
        <w:tabs>
          <w:tab w:val="left" w:pos="709"/>
          <w:tab w:val="left" w:pos="1134"/>
        </w:tabs>
        <w:spacing w:after="0" w:line="240" w:lineRule="auto"/>
        <w:ind w:firstLine="709"/>
        <w:jc w:val="both"/>
        <w:rPr>
          <w:rFonts w:cs="Calibri"/>
          <w:szCs w:val="28"/>
          <w:lang w:eastAsia="uk-UA"/>
        </w:rPr>
      </w:pPr>
      <w:r w:rsidRPr="003F6B35">
        <w:rPr>
          <w:rFonts w:eastAsia="Times New Roman" w:cs="Calibri"/>
          <w:b/>
          <w:szCs w:val="28"/>
          <w:lang w:eastAsia="uk-UA"/>
        </w:rPr>
        <w:t>3.</w:t>
      </w:r>
      <w:r w:rsidRPr="003F6B35">
        <w:rPr>
          <w:rFonts w:eastAsia="Times New Roman" w:cs="Calibri"/>
          <w:szCs w:val="28"/>
          <w:lang w:eastAsia="uk-UA"/>
        </w:rPr>
        <w:t xml:space="preserve"> Вв</w:t>
      </w:r>
      <w:r w:rsidRPr="003F6B35">
        <w:rPr>
          <w:rFonts w:cs="Calibri"/>
          <w:szCs w:val="28"/>
          <w:lang w:eastAsia="uk-UA"/>
        </w:rPr>
        <w:t xml:space="preserve">ажаємо неприйнятним </w:t>
      </w:r>
      <w:proofErr w:type="spellStart"/>
      <w:r w:rsidRPr="003F6B35">
        <w:rPr>
          <w:rFonts w:cs="Calibri"/>
          <w:szCs w:val="28"/>
          <w:lang w:eastAsia="uk-UA"/>
        </w:rPr>
        <w:t>абз</w:t>
      </w:r>
      <w:proofErr w:type="spellEnd"/>
      <w:r w:rsidRPr="003F6B35">
        <w:rPr>
          <w:rFonts w:cs="Calibri"/>
          <w:szCs w:val="28"/>
          <w:lang w:eastAsia="uk-UA"/>
        </w:rPr>
        <w:t xml:space="preserve">. 4 нової редакції </w:t>
      </w:r>
      <w:proofErr w:type="spellStart"/>
      <w:r w:rsidRPr="003F6B35">
        <w:rPr>
          <w:rFonts w:cs="Calibri"/>
          <w:szCs w:val="28"/>
          <w:lang w:eastAsia="uk-UA"/>
        </w:rPr>
        <w:t>пп</w:t>
      </w:r>
      <w:proofErr w:type="spellEnd"/>
      <w:r w:rsidRPr="003F6B35">
        <w:rPr>
          <w:rFonts w:cs="Calibri"/>
          <w:szCs w:val="28"/>
          <w:lang w:eastAsia="uk-UA"/>
        </w:rPr>
        <w:t>. 14.1.73 п.</w:t>
      </w:r>
      <w:r w:rsidRPr="004023EC">
        <w:rPr>
          <w:rFonts w:cs="Calibri"/>
          <w:szCs w:val="28"/>
          <w:lang w:eastAsia="uk-UA"/>
        </w:rPr>
        <w:t xml:space="preserve"> </w:t>
      </w:r>
      <w:r w:rsidRPr="003F6B35">
        <w:rPr>
          <w:rFonts w:cs="Calibri"/>
          <w:szCs w:val="28"/>
          <w:lang w:eastAsia="uk-UA"/>
        </w:rPr>
        <w:t xml:space="preserve">14.1 ст. 14 ПК, відповідно до якого до землекористувачів пропонується віднести </w:t>
      </w:r>
      <w:r w:rsidRPr="003F6B35">
        <w:rPr>
          <w:rFonts w:eastAsia="Times New Roman" w:cs="Calibri"/>
          <w:szCs w:val="28"/>
          <w:lang w:eastAsia="ru-RU"/>
        </w:rPr>
        <w:t>юридичн</w:t>
      </w:r>
      <w:r w:rsidRPr="004023EC">
        <w:rPr>
          <w:rFonts w:eastAsia="Times New Roman" w:cs="Calibri"/>
          <w:szCs w:val="28"/>
          <w:lang w:eastAsia="ru-RU"/>
        </w:rPr>
        <w:t>их</w:t>
      </w:r>
      <w:r w:rsidRPr="003F6B35">
        <w:rPr>
          <w:rFonts w:eastAsia="Times New Roman" w:cs="Calibri"/>
          <w:szCs w:val="28"/>
          <w:lang w:eastAsia="ru-RU"/>
        </w:rPr>
        <w:t xml:space="preserve"> та фізичн</w:t>
      </w:r>
      <w:r w:rsidRPr="004023EC">
        <w:rPr>
          <w:rFonts w:eastAsia="Times New Roman" w:cs="Calibri"/>
          <w:szCs w:val="28"/>
          <w:lang w:eastAsia="ru-RU"/>
        </w:rPr>
        <w:t>их</w:t>
      </w:r>
      <w:r w:rsidRPr="003F6B35">
        <w:rPr>
          <w:rFonts w:eastAsia="Times New Roman" w:cs="Calibri"/>
          <w:szCs w:val="28"/>
          <w:lang w:eastAsia="ru-RU"/>
        </w:rPr>
        <w:t xml:space="preserve"> ос</w:t>
      </w:r>
      <w:r w:rsidRPr="004023EC">
        <w:rPr>
          <w:rFonts w:eastAsia="Times New Roman" w:cs="Calibri"/>
          <w:szCs w:val="28"/>
          <w:lang w:eastAsia="ru-RU"/>
        </w:rPr>
        <w:t>іб</w:t>
      </w:r>
      <w:r w:rsidRPr="003F6B35">
        <w:rPr>
          <w:rFonts w:eastAsia="Times New Roman" w:cs="Calibri"/>
          <w:szCs w:val="28"/>
          <w:lang w:eastAsia="ru-RU"/>
        </w:rPr>
        <w:t xml:space="preserve"> (резидент</w:t>
      </w:r>
      <w:r w:rsidRPr="004023EC">
        <w:rPr>
          <w:rFonts w:eastAsia="Times New Roman" w:cs="Calibri"/>
          <w:szCs w:val="28"/>
          <w:lang w:eastAsia="ru-RU"/>
        </w:rPr>
        <w:t>ів</w:t>
      </w:r>
      <w:r w:rsidRPr="003F6B35">
        <w:rPr>
          <w:rFonts w:eastAsia="Times New Roman" w:cs="Calibri"/>
          <w:szCs w:val="28"/>
          <w:lang w:eastAsia="ru-RU"/>
        </w:rPr>
        <w:t xml:space="preserve"> і нерезидент</w:t>
      </w:r>
      <w:r w:rsidRPr="004023EC">
        <w:rPr>
          <w:rFonts w:eastAsia="Times New Roman" w:cs="Calibri"/>
          <w:szCs w:val="28"/>
          <w:lang w:eastAsia="ru-RU"/>
        </w:rPr>
        <w:t>ів</w:t>
      </w:r>
      <w:r w:rsidRPr="003F6B35">
        <w:rPr>
          <w:rFonts w:eastAsia="Times New Roman" w:cs="Calibri"/>
          <w:szCs w:val="28"/>
          <w:lang w:eastAsia="ru-RU"/>
        </w:rPr>
        <w:t xml:space="preserve">), які користуються земельними ділянками державної та комунальної власності «без оформлення правовстановлюючих документів, в тому числі самовільно зайнятими земельними ділянками». Звертаємо увагу, що </w:t>
      </w:r>
      <w:r w:rsidRPr="003F6B35">
        <w:rPr>
          <w:rFonts w:eastAsia="Times New Roman" w:cs="Calibri"/>
          <w:szCs w:val="28"/>
          <w:lang w:eastAsia="uk-UA"/>
        </w:rPr>
        <w:t xml:space="preserve">відповідно до ч. 1 </w:t>
      </w:r>
      <w:r w:rsidR="00753F4A">
        <w:rPr>
          <w:rFonts w:eastAsia="Times New Roman" w:cs="Calibri"/>
          <w:szCs w:val="28"/>
          <w:lang w:eastAsia="uk-UA"/>
        </w:rPr>
        <w:br/>
      </w:r>
      <w:r w:rsidRPr="003F6B35">
        <w:rPr>
          <w:rFonts w:eastAsia="Times New Roman" w:cs="Calibri"/>
          <w:szCs w:val="28"/>
          <w:lang w:eastAsia="uk-UA"/>
        </w:rPr>
        <w:t xml:space="preserve">ст. 211 </w:t>
      </w:r>
      <w:r w:rsidRPr="003F6B35">
        <w:rPr>
          <w:rFonts w:cs="Calibri"/>
          <w:szCs w:val="28"/>
          <w:lang w:eastAsia="uk-UA"/>
        </w:rPr>
        <w:t>Земельного кодексу України</w:t>
      </w:r>
      <w:r w:rsidRPr="003F6B35">
        <w:rPr>
          <w:rFonts w:eastAsia="Times New Roman" w:cs="Calibri"/>
          <w:szCs w:val="28"/>
          <w:lang w:eastAsia="uk-UA"/>
        </w:rPr>
        <w:t xml:space="preserve"> громадяни та юридичні особи несуть цивільну, адміністративну або кримінальну відповідальність відповідно до законодавства за такі порушення, зокрема, за самовільне зайняття земельних ділянок; ухилення від державної реєстрації земельних ділянок та подання недостовірної інформації щодо них. </w:t>
      </w:r>
      <w:r w:rsidRPr="003F6B35">
        <w:rPr>
          <w:rFonts w:cs="Calibri"/>
          <w:szCs w:val="28"/>
          <w:lang w:eastAsia="uk-UA"/>
        </w:rPr>
        <w:t xml:space="preserve">А відповідно до ч. 1 ст. 212 Земельного кодексу України </w:t>
      </w:r>
      <w:r w:rsidRPr="003F6B35">
        <w:rPr>
          <w:rFonts w:eastAsia="Times New Roman" w:cs="Calibri"/>
          <w:szCs w:val="28"/>
          <w:lang w:eastAsia="ru-RU"/>
        </w:rPr>
        <w:t xml:space="preserve">самовільно </w:t>
      </w:r>
      <w:r w:rsidRPr="003F6B35">
        <w:rPr>
          <w:rFonts w:cs="Calibri"/>
          <w:szCs w:val="28"/>
          <w:lang w:eastAsia="uk-UA"/>
        </w:rPr>
        <w:t xml:space="preserve">зайняті земельні ділянки підлягають поверненню </w:t>
      </w:r>
      <w:r w:rsidRPr="003F6B35">
        <w:rPr>
          <w:rFonts w:cs="Calibri"/>
          <w:i/>
          <w:szCs w:val="28"/>
          <w:lang w:eastAsia="uk-UA"/>
        </w:rPr>
        <w:t>власникам землі або землекористувачам</w:t>
      </w:r>
      <w:r w:rsidRPr="003F6B35">
        <w:rPr>
          <w:rFonts w:cs="Calibri"/>
          <w:szCs w:val="28"/>
          <w:lang w:eastAsia="uk-UA"/>
        </w:rPr>
        <w:t xml:space="preserve"> без відшкодування затрат, понесених за час </w:t>
      </w:r>
      <w:r w:rsidRPr="003F6B35">
        <w:rPr>
          <w:rFonts w:cs="Calibri"/>
          <w:i/>
          <w:szCs w:val="28"/>
          <w:lang w:eastAsia="uk-UA"/>
        </w:rPr>
        <w:t>незаконного</w:t>
      </w:r>
      <w:r w:rsidRPr="003F6B35">
        <w:rPr>
          <w:rFonts w:cs="Calibri"/>
          <w:szCs w:val="28"/>
          <w:lang w:eastAsia="uk-UA"/>
        </w:rPr>
        <w:t xml:space="preserve"> користування ними. </w:t>
      </w:r>
      <w:r w:rsidRPr="003F6B35">
        <w:rPr>
          <w:rFonts w:eastAsia="Times New Roman" w:cs="Calibri"/>
          <w:szCs w:val="28"/>
          <w:lang w:eastAsia="uk-UA"/>
        </w:rPr>
        <w:t xml:space="preserve">Законом України «Про державний контроль за використанням та охороною земель» передбачено механізм контролю за використанням та охороною земель. </w:t>
      </w:r>
      <w:r w:rsidRPr="003F6B35">
        <w:rPr>
          <w:rFonts w:cs="Calibri"/>
          <w:szCs w:val="28"/>
          <w:lang w:eastAsia="uk-UA"/>
        </w:rPr>
        <w:t xml:space="preserve">Тому визнання землекористувачами осіб, які незаконно користуються земельною ділянкою і щодо яких мають бути застосовані заходи юридичної відповідальності, на нашу думку, виглядає юридично некоректним.  </w:t>
      </w:r>
    </w:p>
    <w:p w:rsidR="003F6B35" w:rsidRPr="003F6B35" w:rsidRDefault="003F6B35" w:rsidP="003F6B35">
      <w:pPr>
        <w:tabs>
          <w:tab w:val="left" w:pos="709"/>
          <w:tab w:val="left" w:pos="1134"/>
        </w:tabs>
        <w:spacing w:after="0" w:line="240" w:lineRule="auto"/>
        <w:ind w:firstLine="709"/>
        <w:jc w:val="both"/>
        <w:rPr>
          <w:rFonts w:eastAsia="Times New Roman" w:cs="Calibri"/>
          <w:szCs w:val="28"/>
          <w:lang w:eastAsia="uk-UA"/>
        </w:rPr>
      </w:pPr>
      <w:r w:rsidRPr="003F6B35">
        <w:rPr>
          <w:rFonts w:eastAsia="Times New Roman" w:cs="Calibri"/>
          <w:szCs w:val="28"/>
          <w:lang w:eastAsia="uk-UA"/>
        </w:rPr>
        <w:t xml:space="preserve">Відповідно, не може бути підтриманий пропонований у новому </w:t>
      </w:r>
      <w:proofErr w:type="spellStart"/>
      <w:r w:rsidRPr="003F6B35">
        <w:rPr>
          <w:rFonts w:eastAsia="Times New Roman" w:cs="Calibri"/>
          <w:szCs w:val="28"/>
          <w:lang w:eastAsia="uk-UA"/>
        </w:rPr>
        <w:t>пп</w:t>
      </w:r>
      <w:proofErr w:type="spellEnd"/>
      <w:r w:rsidRPr="003F6B35">
        <w:rPr>
          <w:rFonts w:eastAsia="Times New Roman" w:cs="Calibri"/>
          <w:szCs w:val="28"/>
          <w:lang w:eastAsia="uk-UA"/>
        </w:rPr>
        <w:t xml:space="preserve">. 12.4.5 п. 12.4 ст. 12, оновленому </w:t>
      </w:r>
      <w:proofErr w:type="spellStart"/>
      <w:r w:rsidRPr="003F6B35">
        <w:rPr>
          <w:rFonts w:eastAsia="Times New Roman" w:cs="Calibri"/>
          <w:szCs w:val="28"/>
          <w:lang w:eastAsia="uk-UA"/>
        </w:rPr>
        <w:t>пп</w:t>
      </w:r>
      <w:proofErr w:type="spellEnd"/>
      <w:r w:rsidRPr="003F6B35">
        <w:rPr>
          <w:rFonts w:eastAsia="Times New Roman" w:cs="Calibri"/>
          <w:szCs w:val="28"/>
          <w:lang w:eastAsia="uk-UA"/>
        </w:rPr>
        <w:t xml:space="preserve">. 14.1.73 п. 14.1 ст. 14, </w:t>
      </w:r>
      <w:proofErr w:type="spellStart"/>
      <w:r w:rsidRPr="003F6B35">
        <w:rPr>
          <w:rFonts w:eastAsia="Times New Roman" w:cs="Calibri"/>
          <w:szCs w:val="28"/>
          <w:lang w:eastAsia="uk-UA"/>
        </w:rPr>
        <w:t>пп</w:t>
      </w:r>
      <w:proofErr w:type="spellEnd"/>
      <w:r w:rsidRPr="003F6B35">
        <w:rPr>
          <w:rFonts w:eastAsia="Times New Roman" w:cs="Calibri"/>
          <w:szCs w:val="28"/>
          <w:lang w:eastAsia="uk-UA"/>
        </w:rPr>
        <w:t xml:space="preserve">. 269.1.1.3 оновленого </w:t>
      </w:r>
      <w:proofErr w:type="spellStart"/>
      <w:r w:rsidRPr="003F6B35">
        <w:rPr>
          <w:rFonts w:eastAsia="Times New Roman" w:cs="Calibri"/>
          <w:szCs w:val="28"/>
          <w:lang w:eastAsia="uk-UA"/>
        </w:rPr>
        <w:t>пп</w:t>
      </w:r>
      <w:proofErr w:type="spellEnd"/>
      <w:r w:rsidRPr="003F6B35">
        <w:rPr>
          <w:rFonts w:eastAsia="Times New Roman" w:cs="Calibri"/>
          <w:szCs w:val="28"/>
          <w:lang w:eastAsia="uk-UA"/>
        </w:rPr>
        <w:t xml:space="preserve">. 269.1.1 п. 269.1 ст. 269, новому </w:t>
      </w:r>
      <w:proofErr w:type="spellStart"/>
      <w:r w:rsidRPr="003F6B35">
        <w:rPr>
          <w:rFonts w:eastAsia="Times New Roman" w:cs="Calibri"/>
          <w:szCs w:val="28"/>
          <w:lang w:eastAsia="uk-UA"/>
        </w:rPr>
        <w:t>пп</w:t>
      </w:r>
      <w:proofErr w:type="spellEnd"/>
      <w:r w:rsidRPr="003F6B35">
        <w:rPr>
          <w:rFonts w:eastAsia="Times New Roman" w:cs="Calibri"/>
          <w:szCs w:val="28"/>
          <w:lang w:eastAsia="uk-UA"/>
        </w:rPr>
        <w:t xml:space="preserve">. 270.1.1 п. 270.1 ст. 270, оновлених </w:t>
      </w:r>
      <w:proofErr w:type="spellStart"/>
      <w:r w:rsidRPr="003F6B35">
        <w:rPr>
          <w:rFonts w:eastAsia="Times New Roman" w:cs="Calibri"/>
          <w:szCs w:val="28"/>
          <w:lang w:eastAsia="uk-UA"/>
        </w:rPr>
        <w:t>п.п</w:t>
      </w:r>
      <w:proofErr w:type="spellEnd"/>
      <w:r w:rsidRPr="003F6B35">
        <w:rPr>
          <w:rFonts w:eastAsia="Times New Roman" w:cs="Calibri"/>
          <w:szCs w:val="28"/>
          <w:lang w:eastAsia="uk-UA"/>
        </w:rPr>
        <w:t xml:space="preserve">. 284.1, 284.5 ст. 284, п. 286.1 ст. 286, п. 287.11 ст. 287 ПК (а також пов’язані із цим зміни до Закону України «Про місцеве самоврядування в Україні») підхід щодо сплати земельного податку за земельні ділянки державної та комунальної власності, у тому числі, самовільно зайняті, без оформлення правовстановлюючих документів та, відповідно, встановлення органами самоврядування факту користування юридичною або фізичною особою земельною ділянкою державної та комунальної власності без оформлення правовстановлюючих документів.  </w:t>
      </w:r>
    </w:p>
    <w:p w:rsidR="003F6B35" w:rsidRPr="003F6B35" w:rsidRDefault="003F6B35" w:rsidP="003F6B35">
      <w:pPr>
        <w:tabs>
          <w:tab w:val="left" w:pos="851"/>
          <w:tab w:val="left" w:pos="1134"/>
        </w:tabs>
        <w:spacing w:after="0" w:line="240" w:lineRule="auto"/>
        <w:ind w:firstLine="709"/>
        <w:jc w:val="both"/>
        <w:rPr>
          <w:rFonts w:eastAsia="Times New Roman" w:cs="Calibri"/>
          <w:szCs w:val="28"/>
          <w:lang w:eastAsia="uk-UA"/>
        </w:rPr>
      </w:pPr>
      <w:r w:rsidRPr="003F6B35">
        <w:rPr>
          <w:rFonts w:eastAsia="Times New Roman" w:cs="Calibri"/>
          <w:szCs w:val="28"/>
          <w:lang w:eastAsia="uk-UA"/>
        </w:rPr>
        <w:t xml:space="preserve">Слід зазначити, що ПК регулює відносини, що виникають у сфері справляння податків і зборів (п. 1.1 ст. 1 ПК), а тому вирішення, по суті, проблеми відсутності у користувача правовстановлюючих документів на земельну ділянку, самовільного зайняття земельної ділянки має вирішуватись не </w:t>
      </w:r>
      <w:r w:rsidRPr="003F6B35">
        <w:rPr>
          <w:rFonts w:eastAsia="Times New Roman" w:cs="Calibri"/>
          <w:szCs w:val="28"/>
          <w:lang w:eastAsia="uk-UA"/>
        </w:rPr>
        <w:lastRenderedPageBreak/>
        <w:t xml:space="preserve">шляхом їх оподаткування (що, у тому числі, може використовуватись як один із способів легалізації, зокрема, </w:t>
      </w:r>
      <w:proofErr w:type="spellStart"/>
      <w:r w:rsidRPr="003F6B35">
        <w:rPr>
          <w:rFonts w:eastAsia="Times New Roman" w:cs="Calibri"/>
          <w:szCs w:val="28"/>
          <w:lang w:eastAsia="uk-UA"/>
        </w:rPr>
        <w:t>самозахоплених</w:t>
      </w:r>
      <w:proofErr w:type="spellEnd"/>
      <w:r w:rsidRPr="003F6B35">
        <w:rPr>
          <w:rFonts w:eastAsia="Times New Roman" w:cs="Calibri"/>
          <w:szCs w:val="28"/>
          <w:lang w:eastAsia="uk-UA"/>
        </w:rPr>
        <w:t xml:space="preserve"> земельних ділянок), а через удосконалення механізмів контролю за земельними </w:t>
      </w:r>
      <w:bookmarkStart w:id="1" w:name="_GoBack"/>
      <w:bookmarkEnd w:id="1"/>
      <w:r w:rsidRPr="003F6B35">
        <w:rPr>
          <w:rFonts w:eastAsia="Times New Roman" w:cs="Calibri"/>
          <w:szCs w:val="28"/>
          <w:lang w:eastAsia="uk-UA"/>
        </w:rPr>
        <w:t xml:space="preserve">ділянками, відповідальності за користування земельними ділянками без правовстановлюючих документів, відшкодування втрат власників, у тому числі, бюджетних втрат, спрощення порядку оформлення відповідних документів (що  на сьогодні нерідко є проблематичним як через бюрократичні, так і корупційні причини). </w:t>
      </w:r>
    </w:p>
    <w:p w:rsidR="003F6B35" w:rsidRPr="003F6B35" w:rsidRDefault="003F6B35" w:rsidP="003F6B35">
      <w:pPr>
        <w:tabs>
          <w:tab w:val="left" w:pos="851"/>
          <w:tab w:val="left" w:pos="1134"/>
        </w:tabs>
        <w:spacing w:after="0" w:line="240" w:lineRule="auto"/>
        <w:ind w:firstLine="709"/>
        <w:jc w:val="both"/>
        <w:rPr>
          <w:rFonts w:eastAsia="Times New Roman" w:cs="Calibri"/>
          <w:szCs w:val="28"/>
          <w:lang w:eastAsia="uk-UA"/>
        </w:rPr>
      </w:pPr>
      <w:r w:rsidRPr="003F6B35">
        <w:rPr>
          <w:rFonts w:eastAsia="Times New Roman" w:cs="Calibri"/>
          <w:szCs w:val="28"/>
          <w:lang w:eastAsia="uk-UA"/>
        </w:rPr>
        <w:t xml:space="preserve">Крім того, звертаємо увагу на невідповідність положень нового </w:t>
      </w:r>
      <w:r w:rsidRPr="003F6B35">
        <w:rPr>
          <w:rFonts w:eastAsia="Times New Roman" w:cs="Calibri"/>
          <w:szCs w:val="28"/>
          <w:lang w:eastAsia="uk-UA"/>
        </w:rPr>
        <w:br/>
      </w:r>
      <w:proofErr w:type="spellStart"/>
      <w:r w:rsidRPr="003F6B35">
        <w:rPr>
          <w:rFonts w:eastAsia="Times New Roman" w:cs="Calibri"/>
          <w:szCs w:val="28"/>
          <w:lang w:eastAsia="uk-UA"/>
        </w:rPr>
        <w:t>пп</w:t>
      </w:r>
      <w:proofErr w:type="spellEnd"/>
      <w:r w:rsidRPr="003F6B35">
        <w:rPr>
          <w:rFonts w:eastAsia="Times New Roman" w:cs="Calibri"/>
          <w:szCs w:val="28"/>
          <w:lang w:eastAsia="uk-UA"/>
        </w:rPr>
        <w:t xml:space="preserve">. 270.1.1.3 </w:t>
      </w:r>
      <w:proofErr w:type="spellStart"/>
      <w:r w:rsidRPr="003F6B35">
        <w:rPr>
          <w:rFonts w:eastAsia="Times New Roman" w:cs="Calibri"/>
          <w:szCs w:val="28"/>
          <w:lang w:eastAsia="uk-UA"/>
        </w:rPr>
        <w:t>пп</w:t>
      </w:r>
      <w:proofErr w:type="spellEnd"/>
      <w:r w:rsidRPr="003F6B35">
        <w:rPr>
          <w:rFonts w:eastAsia="Times New Roman" w:cs="Calibri"/>
          <w:szCs w:val="28"/>
          <w:lang w:eastAsia="uk-UA"/>
        </w:rPr>
        <w:t>. 270.1.1 п. 270.1 ст. 270 ПК, згідно з яким до об'єктів оподаткування земельним податком віднесено «</w:t>
      </w:r>
      <w:r w:rsidRPr="003F6B35">
        <w:rPr>
          <w:rFonts w:eastAsia="Times New Roman" w:cs="Calibri"/>
          <w:i/>
          <w:szCs w:val="28"/>
          <w:lang w:eastAsia="uk-UA"/>
        </w:rPr>
        <w:t>земельні ділянки, які знаходяться в користуванні без оформлення правовстановлюючих документів, в тому числі самовільно зайняті</w:t>
      </w:r>
      <w:r w:rsidRPr="003F6B35">
        <w:rPr>
          <w:rFonts w:eastAsia="Times New Roman" w:cs="Calibri"/>
          <w:szCs w:val="28"/>
          <w:lang w:eastAsia="uk-UA"/>
        </w:rPr>
        <w:t xml:space="preserve">», та нового </w:t>
      </w:r>
      <w:proofErr w:type="spellStart"/>
      <w:r w:rsidRPr="003F6B35">
        <w:rPr>
          <w:rFonts w:eastAsia="Times New Roman" w:cs="Calibri"/>
          <w:szCs w:val="28"/>
          <w:lang w:eastAsia="uk-UA"/>
        </w:rPr>
        <w:t>пп</w:t>
      </w:r>
      <w:proofErr w:type="spellEnd"/>
      <w:r w:rsidRPr="003F6B35">
        <w:rPr>
          <w:rFonts w:eastAsia="Times New Roman" w:cs="Calibri"/>
          <w:szCs w:val="28"/>
          <w:lang w:eastAsia="uk-UA"/>
        </w:rPr>
        <w:t xml:space="preserve">. 269.1.1.3 </w:t>
      </w:r>
      <w:proofErr w:type="spellStart"/>
      <w:r w:rsidRPr="003F6B35">
        <w:rPr>
          <w:rFonts w:eastAsia="Times New Roman" w:cs="Calibri"/>
          <w:szCs w:val="28"/>
          <w:lang w:eastAsia="uk-UA"/>
        </w:rPr>
        <w:t>пп</w:t>
      </w:r>
      <w:proofErr w:type="spellEnd"/>
      <w:r w:rsidRPr="003F6B35">
        <w:rPr>
          <w:rFonts w:eastAsia="Times New Roman" w:cs="Calibri"/>
          <w:szCs w:val="28"/>
          <w:lang w:eastAsia="uk-UA"/>
        </w:rPr>
        <w:t xml:space="preserve">. 269.1.1 п. 269.1 ст. 269 ПК, за яким платниками земельного податку є «землекористувачі, які використовують земельні ділянки </w:t>
      </w:r>
      <w:r w:rsidRPr="003F6B35">
        <w:rPr>
          <w:rFonts w:eastAsia="Times New Roman" w:cs="Calibri"/>
          <w:i/>
          <w:szCs w:val="28"/>
          <w:lang w:eastAsia="uk-UA"/>
        </w:rPr>
        <w:t>державної та комунальної власності</w:t>
      </w:r>
      <w:r w:rsidRPr="003F6B35">
        <w:rPr>
          <w:rFonts w:eastAsia="Times New Roman" w:cs="Calibri"/>
          <w:szCs w:val="28"/>
          <w:lang w:eastAsia="uk-UA"/>
        </w:rPr>
        <w:t xml:space="preserve">, </w:t>
      </w:r>
      <w:r w:rsidRPr="003F6B35">
        <w:rPr>
          <w:rFonts w:eastAsia="Times New Roman" w:cs="Calibri"/>
          <w:i/>
          <w:szCs w:val="28"/>
          <w:lang w:eastAsia="uk-UA"/>
        </w:rPr>
        <w:t>в тому числі самовільно зайняті, без оформлення правовстановлюючих документів</w:t>
      </w:r>
      <w:r w:rsidRPr="003F6B35">
        <w:rPr>
          <w:rFonts w:eastAsia="Times New Roman" w:cs="Calibri"/>
          <w:szCs w:val="28"/>
          <w:lang w:eastAsia="uk-UA"/>
        </w:rPr>
        <w:t>».</w:t>
      </w:r>
    </w:p>
    <w:p w:rsidR="003F6B35" w:rsidRPr="003F6B35" w:rsidRDefault="003F6B35" w:rsidP="003F6B35">
      <w:pPr>
        <w:tabs>
          <w:tab w:val="left" w:pos="851"/>
          <w:tab w:val="left" w:pos="1134"/>
        </w:tabs>
        <w:spacing w:after="0" w:line="240" w:lineRule="auto"/>
        <w:ind w:firstLine="709"/>
        <w:jc w:val="both"/>
        <w:rPr>
          <w:rFonts w:eastAsia="Times New Roman" w:cs="Calibri"/>
          <w:szCs w:val="28"/>
          <w:lang w:eastAsia="uk-UA"/>
        </w:rPr>
      </w:pPr>
      <w:r w:rsidRPr="003F6B35">
        <w:rPr>
          <w:rFonts w:eastAsia="Times New Roman" w:cs="Calibri"/>
          <w:b/>
          <w:szCs w:val="28"/>
          <w:lang w:eastAsia="uk-UA"/>
        </w:rPr>
        <w:t xml:space="preserve">4. </w:t>
      </w:r>
      <w:r w:rsidRPr="003F6B35">
        <w:rPr>
          <w:rFonts w:eastAsia="Times New Roman" w:cs="Calibri"/>
          <w:szCs w:val="28"/>
          <w:lang w:eastAsia="uk-UA"/>
        </w:rPr>
        <w:t xml:space="preserve">Відповідно до нового </w:t>
      </w:r>
      <w:proofErr w:type="spellStart"/>
      <w:r w:rsidRPr="003F6B35">
        <w:rPr>
          <w:rFonts w:eastAsia="Times New Roman" w:cs="Calibri"/>
          <w:szCs w:val="28"/>
          <w:lang w:eastAsia="uk-UA"/>
        </w:rPr>
        <w:t>абз</w:t>
      </w:r>
      <w:proofErr w:type="spellEnd"/>
      <w:r w:rsidRPr="003F6B35">
        <w:rPr>
          <w:rFonts w:eastAsia="Times New Roman" w:cs="Calibri"/>
          <w:szCs w:val="28"/>
          <w:lang w:eastAsia="uk-UA"/>
        </w:rPr>
        <w:t xml:space="preserve">. 2 </w:t>
      </w:r>
      <w:proofErr w:type="spellStart"/>
      <w:r w:rsidRPr="003F6B35">
        <w:rPr>
          <w:rFonts w:eastAsia="Times New Roman" w:cs="Calibri"/>
          <w:szCs w:val="28"/>
          <w:lang w:eastAsia="uk-UA"/>
        </w:rPr>
        <w:t>пп</w:t>
      </w:r>
      <w:proofErr w:type="spellEnd"/>
      <w:r w:rsidRPr="003F6B35">
        <w:rPr>
          <w:rFonts w:eastAsia="Times New Roman" w:cs="Calibri"/>
          <w:szCs w:val="28"/>
          <w:lang w:eastAsia="uk-UA"/>
        </w:rPr>
        <w:t xml:space="preserve">. 140.4.4 п. 140.4 ст. 140 ПК пропонується застосовувати положення щодо зменшення фінансового результату до оподаткування податком на прибуток підприємств на суму від’ємного значення об’єкта оподаткування минулих податкових (звітних) років протягом 12 послідовних податкових (звітних) років, починаючи з податкового (звітного) року виникнення такого від’ємного значення об’єкта оподаткування. Не заперечуючи у цілому щодо можливості обмеження перенесення збитків минулих періодів, водночас, зауважимо, що у супровідних до проекту документах відсутнє належне обґрунтування як встановленого часового обмеження – «12 послідовних податкових (звітних) років», так і в цілому  пропонованого підходу, що передбачає можливість повного перенесення збитків попередніх періодів. </w:t>
      </w:r>
    </w:p>
    <w:p w:rsidR="003F6B35" w:rsidRPr="003F6B35" w:rsidRDefault="004023EC" w:rsidP="003F6B35">
      <w:pPr>
        <w:tabs>
          <w:tab w:val="left" w:pos="851"/>
          <w:tab w:val="left" w:pos="1134"/>
        </w:tabs>
        <w:spacing w:after="0" w:line="240" w:lineRule="auto"/>
        <w:ind w:firstLine="709"/>
        <w:jc w:val="both"/>
        <w:rPr>
          <w:rFonts w:eastAsia="Times New Roman" w:cs="Calibri"/>
          <w:szCs w:val="28"/>
          <w:lang w:eastAsia="uk-UA"/>
        </w:rPr>
      </w:pPr>
      <w:r>
        <w:rPr>
          <w:rFonts w:eastAsia="Times New Roman" w:cs="Calibri"/>
          <w:szCs w:val="28"/>
          <w:lang w:eastAsia="uk-UA"/>
        </w:rPr>
        <w:t>Також</w:t>
      </w:r>
      <w:r w:rsidR="003F6B35" w:rsidRPr="003F6B35">
        <w:rPr>
          <w:rFonts w:eastAsia="Times New Roman" w:cs="Calibri"/>
          <w:szCs w:val="28"/>
          <w:lang w:eastAsia="uk-UA"/>
        </w:rPr>
        <w:t xml:space="preserve"> звертаємо увагу на те, що у пропонованій редакції виглядає незрозумілим механізм перенесення від’ємного значення.</w:t>
      </w:r>
    </w:p>
    <w:p w:rsidR="003F6B35" w:rsidRPr="003F6B35" w:rsidRDefault="003F6B35" w:rsidP="003F6B35">
      <w:pPr>
        <w:tabs>
          <w:tab w:val="left" w:pos="851"/>
          <w:tab w:val="left" w:pos="1134"/>
        </w:tabs>
        <w:spacing w:after="0" w:line="240" w:lineRule="auto"/>
        <w:ind w:firstLine="709"/>
        <w:jc w:val="both"/>
        <w:rPr>
          <w:rFonts w:cs="Calibri"/>
          <w:szCs w:val="28"/>
          <w:lang w:eastAsia="uk-UA"/>
        </w:rPr>
      </w:pPr>
      <w:r w:rsidRPr="003F6B35">
        <w:rPr>
          <w:rFonts w:cs="Calibri"/>
          <w:b/>
          <w:szCs w:val="28"/>
          <w:lang w:eastAsia="uk-UA"/>
        </w:rPr>
        <w:t>5.</w:t>
      </w:r>
      <w:r w:rsidRPr="003F6B35">
        <w:rPr>
          <w:rFonts w:cs="Calibri"/>
          <w:szCs w:val="28"/>
          <w:lang w:eastAsia="uk-UA"/>
        </w:rPr>
        <w:t xml:space="preserve"> Згідно з оновленим п. 172.2 ст. 172 ПК пропонується оподатковувати доходи фізичної особи від продажу протягом звітного податкового року третього та наступних об’єктів нерухомості за ставкою 18%. Згідно із чинною нормою ставка податку до доходу, отриманого платником податку від продажу протягом звітного податкового року більш як одного з об’єктів нерухомості, становить 5%. Певною мірою погоджуючись із вказаними змінами, що сприятиме ліквідації деяких схем мінімізації податків на ринку житлової нерухомості, водночас, звертаємо увагу, що стосовно сумлінних платників податків такий підхід може виступати суттєвою перешкодою, наприклад для купівлі ними іншого (більшого та/або кращого) житла шляхом продажу належних йому кількох об’єктів нерухомості.</w:t>
      </w:r>
    </w:p>
    <w:p w:rsidR="003F6B35" w:rsidRPr="003F6B35" w:rsidRDefault="003F6B35" w:rsidP="003F6B35">
      <w:pPr>
        <w:spacing w:after="0" w:line="240" w:lineRule="auto"/>
        <w:ind w:firstLine="708"/>
        <w:jc w:val="both"/>
        <w:rPr>
          <w:rFonts w:cs="Calibri"/>
          <w:szCs w:val="28"/>
          <w:lang w:eastAsia="uk-UA"/>
        </w:rPr>
      </w:pPr>
      <w:r w:rsidRPr="003F6B35">
        <w:rPr>
          <w:rFonts w:cs="Calibri"/>
          <w:b/>
          <w:szCs w:val="28"/>
          <w:lang w:eastAsia="uk-UA"/>
        </w:rPr>
        <w:t>6.</w:t>
      </w:r>
      <w:r w:rsidRPr="003F6B35">
        <w:rPr>
          <w:rFonts w:cs="Calibri"/>
          <w:szCs w:val="28"/>
          <w:lang w:eastAsia="uk-UA"/>
        </w:rPr>
        <w:t xml:space="preserve"> Законодавча пропозиція щодо оподаткування податком на додану вартість операцій з постачання житла, крім операцій з першого постачання доступного житла та житла, що будується із залученням державних коштів (зміни до </w:t>
      </w:r>
      <w:proofErr w:type="spellStart"/>
      <w:r w:rsidRPr="003F6B35">
        <w:rPr>
          <w:rFonts w:cs="Calibri"/>
          <w:szCs w:val="28"/>
          <w:lang w:eastAsia="uk-UA"/>
        </w:rPr>
        <w:t>пп</w:t>
      </w:r>
      <w:proofErr w:type="spellEnd"/>
      <w:r w:rsidRPr="003F6B35">
        <w:rPr>
          <w:rFonts w:cs="Calibri"/>
          <w:szCs w:val="28"/>
          <w:lang w:eastAsia="uk-UA"/>
        </w:rPr>
        <w:t xml:space="preserve">. 197.1.14 п. 197.1 ст. 197 ПК) не містить оцінок її наслідків, зокрема, у частині ризиків зростання вартості новозбудованого житла, зниження його </w:t>
      </w:r>
      <w:r w:rsidRPr="003F6B35">
        <w:rPr>
          <w:rFonts w:cs="Calibri"/>
          <w:szCs w:val="28"/>
          <w:lang w:eastAsia="uk-UA"/>
        </w:rPr>
        <w:lastRenderedPageBreak/>
        <w:t xml:space="preserve">інвестиційної привабливості, зростання цінової пропозиції на вторинному ринку житла, прискорення інфляційних процесів тощо. </w:t>
      </w:r>
    </w:p>
    <w:p w:rsidR="003F6B35" w:rsidRPr="003F6B35" w:rsidRDefault="003F6B35" w:rsidP="003F6B35">
      <w:pPr>
        <w:tabs>
          <w:tab w:val="left" w:pos="851"/>
          <w:tab w:val="left" w:pos="1134"/>
        </w:tabs>
        <w:spacing w:after="0" w:line="240" w:lineRule="auto"/>
        <w:ind w:firstLine="709"/>
        <w:jc w:val="both"/>
        <w:rPr>
          <w:rFonts w:eastAsia="Times New Roman" w:cs="Calibri"/>
          <w:szCs w:val="28"/>
          <w:lang w:eastAsia="uk-UA"/>
        </w:rPr>
      </w:pPr>
      <w:r w:rsidRPr="003F6B35">
        <w:rPr>
          <w:rFonts w:eastAsia="Times New Roman" w:cs="Calibri"/>
          <w:b/>
          <w:szCs w:val="28"/>
          <w:lang w:eastAsia="uk-UA"/>
        </w:rPr>
        <w:t xml:space="preserve">7. </w:t>
      </w:r>
      <w:r w:rsidRPr="003F6B35">
        <w:rPr>
          <w:rFonts w:eastAsia="Times New Roman" w:cs="Calibri"/>
          <w:szCs w:val="28"/>
          <w:lang w:eastAsia="uk-UA"/>
        </w:rPr>
        <w:t>Приписи оновленого п. 252.8 ст. 252 ПК, наведені у проекті та порівняльній таблиці до нього, не є ідентичними.</w:t>
      </w:r>
    </w:p>
    <w:p w:rsidR="003F6B35" w:rsidRPr="003F6B35" w:rsidRDefault="003F6B35" w:rsidP="003F6B35">
      <w:pPr>
        <w:tabs>
          <w:tab w:val="left" w:pos="851"/>
          <w:tab w:val="left" w:pos="1134"/>
        </w:tabs>
        <w:spacing w:after="0" w:line="240" w:lineRule="auto"/>
        <w:ind w:firstLine="709"/>
        <w:jc w:val="both"/>
        <w:rPr>
          <w:rFonts w:eastAsia="Times New Roman" w:cs="Calibri"/>
          <w:szCs w:val="28"/>
          <w:lang w:eastAsia="uk-UA"/>
        </w:rPr>
      </w:pPr>
      <w:r w:rsidRPr="003F6B35">
        <w:rPr>
          <w:rFonts w:eastAsia="Times New Roman" w:cs="Calibri"/>
          <w:szCs w:val="28"/>
          <w:lang w:eastAsia="uk-UA"/>
        </w:rPr>
        <w:t xml:space="preserve">Принагідно щодо приписів, наведених у порівняльній таблиці до проекту, зауважимо </w:t>
      </w:r>
      <w:r w:rsidR="00753F4A" w:rsidRPr="004023EC">
        <w:rPr>
          <w:rFonts w:eastAsia="Times New Roman" w:cs="Calibri"/>
          <w:szCs w:val="28"/>
          <w:lang w:eastAsia="uk-UA"/>
        </w:rPr>
        <w:t>про</w:t>
      </w:r>
      <w:r w:rsidRPr="003F6B35">
        <w:rPr>
          <w:rFonts w:eastAsia="Times New Roman" w:cs="Calibri"/>
          <w:szCs w:val="28"/>
          <w:lang w:eastAsia="uk-UA"/>
        </w:rPr>
        <w:t xml:space="preserve"> те, що виглядає дискусійним пропонований у новому </w:t>
      </w:r>
      <w:proofErr w:type="spellStart"/>
      <w:r w:rsidRPr="003F6B35">
        <w:rPr>
          <w:rFonts w:eastAsia="Times New Roman" w:cs="Calibri"/>
          <w:szCs w:val="28"/>
          <w:lang w:eastAsia="uk-UA"/>
        </w:rPr>
        <w:t>абз</w:t>
      </w:r>
      <w:proofErr w:type="spellEnd"/>
      <w:r w:rsidRPr="003F6B35">
        <w:rPr>
          <w:rFonts w:eastAsia="Times New Roman" w:cs="Calibri"/>
          <w:szCs w:val="28"/>
          <w:lang w:eastAsia="uk-UA"/>
        </w:rPr>
        <w:t xml:space="preserve">. 3 </w:t>
      </w:r>
      <w:r w:rsidRPr="003F6B35">
        <w:rPr>
          <w:rFonts w:eastAsia="Times New Roman" w:cs="Calibri"/>
          <w:szCs w:val="28"/>
          <w:lang w:eastAsia="uk-UA"/>
        </w:rPr>
        <w:br/>
        <w:t xml:space="preserve">п. 252.8 ст. 252 ПК підхід щодо встановлення фактичної ціни реалізації для руд заліза з урахуванням </w:t>
      </w:r>
      <w:r w:rsidRPr="003F6B35">
        <w:rPr>
          <w:rFonts w:eastAsia="Times New Roman" w:cs="Calibri"/>
          <w:i/>
          <w:szCs w:val="28"/>
          <w:lang w:eastAsia="uk-UA"/>
        </w:rPr>
        <w:t xml:space="preserve">подвійних </w:t>
      </w:r>
      <w:r w:rsidRPr="003F6B35">
        <w:rPr>
          <w:rFonts w:eastAsia="Times New Roman" w:cs="Calibri"/>
          <w:szCs w:val="28"/>
          <w:lang w:eastAsia="uk-UA"/>
        </w:rPr>
        <w:t>витрат на внутрішню та зовнішню доставку товарної продукції гірничого підприємства.</w:t>
      </w:r>
    </w:p>
    <w:p w:rsidR="003F6B35" w:rsidRPr="003F6B35" w:rsidRDefault="003F6B35" w:rsidP="003F6B35">
      <w:pPr>
        <w:tabs>
          <w:tab w:val="left" w:pos="851"/>
          <w:tab w:val="left" w:pos="1134"/>
        </w:tabs>
        <w:spacing w:after="0" w:line="240" w:lineRule="auto"/>
        <w:ind w:firstLine="709"/>
        <w:jc w:val="both"/>
        <w:rPr>
          <w:rFonts w:eastAsia="Times New Roman" w:cs="Calibri"/>
          <w:szCs w:val="28"/>
          <w:lang w:eastAsia="uk-UA"/>
        </w:rPr>
      </w:pPr>
      <w:r w:rsidRPr="003F6B35">
        <w:rPr>
          <w:rFonts w:eastAsia="Times New Roman" w:cs="Calibri"/>
          <w:szCs w:val="28"/>
          <w:lang w:eastAsia="uk-UA"/>
        </w:rPr>
        <w:t xml:space="preserve">Так, відповідно до </w:t>
      </w:r>
      <w:proofErr w:type="spellStart"/>
      <w:r w:rsidRPr="003F6B35">
        <w:rPr>
          <w:rFonts w:eastAsia="Times New Roman" w:cs="Calibri"/>
          <w:szCs w:val="28"/>
          <w:lang w:eastAsia="uk-UA"/>
        </w:rPr>
        <w:t>пп</w:t>
      </w:r>
      <w:proofErr w:type="spellEnd"/>
      <w:r w:rsidRPr="003F6B35">
        <w:rPr>
          <w:rFonts w:eastAsia="Times New Roman" w:cs="Calibri"/>
          <w:szCs w:val="28"/>
          <w:lang w:eastAsia="uk-UA"/>
        </w:rPr>
        <w:t xml:space="preserve">. 252.7.1 п. 252.1 ст. 252 ПК вартість відповідного виду товарної продукції гірничого підприємства - видобутої корисної копалини (мінеральної сировини) у податковому (звітному) періоді обчислюється, зокрема, за </w:t>
      </w:r>
      <w:r w:rsidRPr="003F6B35">
        <w:rPr>
          <w:rFonts w:eastAsia="Times New Roman" w:cs="Calibri"/>
          <w:i/>
          <w:szCs w:val="28"/>
          <w:lang w:eastAsia="uk-UA"/>
        </w:rPr>
        <w:t>фактичними цінами</w:t>
      </w:r>
      <w:r w:rsidRPr="003F6B35">
        <w:rPr>
          <w:rFonts w:eastAsia="Times New Roman" w:cs="Calibri"/>
          <w:szCs w:val="28"/>
          <w:lang w:eastAsia="uk-UA"/>
        </w:rPr>
        <w:t xml:space="preserve"> реалізації відповідного виду товарної продукції гірничого підприємства - видобутої корисної копалини (мінеральної сировини) та не передбачає її зменшення на ті чи інші витрати. Зокрема, для нафти, для якої в ПК встановлено аналогічний метод визначення вартості, «фактична ціна реалізації для нафти, конденсату визначається центральним органом виконавчої влади, що реалізує державну політику економічного розвитку, за податковий (звітний) період як середня ціна одного бареля нафти «</w:t>
      </w:r>
      <w:proofErr w:type="spellStart"/>
      <w:r w:rsidRPr="003F6B35">
        <w:rPr>
          <w:rFonts w:eastAsia="Times New Roman" w:cs="Calibri"/>
          <w:szCs w:val="28"/>
          <w:lang w:eastAsia="uk-UA"/>
        </w:rPr>
        <w:t>Urals</w:t>
      </w:r>
      <w:proofErr w:type="spellEnd"/>
      <w:r w:rsidRPr="003F6B35">
        <w:rPr>
          <w:rFonts w:eastAsia="Times New Roman" w:cs="Calibri"/>
          <w:szCs w:val="28"/>
          <w:lang w:eastAsia="uk-UA"/>
        </w:rPr>
        <w:t xml:space="preserve">», … визначена за інформацією міжнародного агентства (котирування </w:t>
      </w:r>
      <w:proofErr w:type="spellStart"/>
      <w:r w:rsidRPr="003F6B35">
        <w:rPr>
          <w:rFonts w:eastAsia="Times New Roman" w:cs="Calibri"/>
          <w:szCs w:val="28"/>
          <w:lang w:eastAsia="uk-UA"/>
        </w:rPr>
        <w:t>Urals</w:t>
      </w:r>
      <w:proofErr w:type="spellEnd"/>
      <w:r w:rsidRPr="003F6B35">
        <w:rPr>
          <w:rFonts w:eastAsia="Times New Roman" w:cs="Calibri"/>
          <w:szCs w:val="28"/>
          <w:lang w:eastAsia="uk-UA"/>
        </w:rPr>
        <w:t xml:space="preserve"> </w:t>
      </w:r>
      <w:proofErr w:type="spellStart"/>
      <w:r w:rsidRPr="003F6B35">
        <w:rPr>
          <w:rFonts w:eastAsia="Times New Roman" w:cs="Calibri"/>
          <w:szCs w:val="28"/>
          <w:lang w:eastAsia="uk-UA"/>
        </w:rPr>
        <w:t>Mediterranean</w:t>
      </w:r>
      <w:proofErr w:type="spellEnd"/>
      <w:r w:rsidRPr="003F6B35">
        <w:rPr>
          <w:rFonts w:eastAsia="Times New Roman" w:cs="Calibri"/>
          <w:szCs w:val="28"/>
          <w:lang w:eastAsia="uk-UA"/>
        </w:rPr>
        <w:t xml:space="preserve"> та </w:t>
      </w:r>
      <w:proofErr w:type="spellStart"/>
      <w:r w:rsidRPr="003F6B35">
        <w:rPr>
          <w:rFonts w:eastAsia="Times New Roman" w:cs="Calibri"/>
          <w:szCs w:val="28"/>
          <w:lang w:eastAsia="uk-UA"/>
        </w:rPr>
        <w:t>Urals</w:t>
      </w:r>
      <w:proofErr w:type="spellEnd"/>
      <w:r w:rsidRPr="003F6B35">
        <w:rPr>
          <w:rFonts w:eastAsia="Times New Roman" w:cs="Calibri"/>
          <w:szCs w:val="28"/>
          <w:lang w:eastAsia="uk-UA"/>
        </w:rPr>
        <w:t xml:space="preserve"> </w:t>
      </w:r>
      <w:proofErr w:type="spellStart"/>
      <w:r w:rsidRPr="003F6B35">
        <w:rPr>
          <w:rFonts w:eastAsia="Times New Roman" w:cs="Calibri"/>
          <w:szCs w:val="28"/>
          <w:lang w:eastAsia="uk-UA"/>
        </w:rPr>
        <w:t>Rotterdam</w:t>
      </w:r>
      <w:proofErr w:type="spellEnd"/>
      <w:r w:rsidRPr="003F6B35">
        <w:rPr>
          <w:rFonts w:eastAsia="Times New Roman" w:cs="Calibri"/>
          <w:szCs w:val="28"/>
          <w:lang w:eastAsia="uk-UA"/>
        </w:rPr>
        <w:t xml:space="preserve">)» (п. 252.8 ст. 252 ПК). </w:t>
      </w:r>
    </w:p>
    <w:p w:rsidR="003F6B35" w:rsidRPr="003F6B35" w:rsidRDefault="003F6B35" w:rsidP="003F6B35">
      <w:pPr>
        <w:tabs>
          <w:tab w:val="left" w:pos="851"/>
          <w:tab w:val="left" w:pos="1134"/>
        </w:tabs>
        <w:spacing w:after="0" w:line="240" w:lineRule="auto"/>
        <w:ind w:firstLine="709"/>
        <w:jc w:val="both"/>
        <w:rPr>
          <w:rFonts w:eastAsia="Times New Roman" w:cs="Calibri"/>
          <w:szCs w:val="28"/>
          <w:lang w:eastAsia="uk-UA"/>
        </w:rPr>
      </w:pPr>
      <w:r w:rsidRPr="003F6B35">
        <w:rPr>
          <w:rFonts w:eastAsia="Times New Roman" w:cs="Calibri"/>
          <w:b/>
          <w:szCs w:val="28"/>
          <w:lang w:eastAsia="uk-UA"/>
        </w:rPr>
        <w:t>8.</w:t>
      </w:r>
      <w:r w:rsidRPr="003F6B35">
        <w:rPr>
          <w:rFonts w:eastAsia="Times New Roman" w:cs="Calibri"/>
          <w:szCs w:val="28"/>
          <w:lang w:eastAsia="uk-UA"/>
        </w:rPr>
        <w:t xml:space="preserve"> Відповідно до нового </w:t>
      </w:r>
      <w:proofErr w:type="spellStart"/>
      <w:r w:rsidRPr="003F6B35">
        <w:rPr>
          <w:rFonts w:eastAsia="Times New Roman" w:cs="Calibri"/>
          <w:szCs w:val="28"/>
          <w:lang w:eastAsia="uk-UA"/>
        </w:rPr>
        <w:t>пп</w:t>
      </w:r>
      <w:proofErr w:type="spellEnd"/>
      <w:r w:rsidRPr="003F6B35">
        <w:rPr>
          <w:rFonts w:eastAsia="Times New Roman" w:cs="Calibri"/>
          <w:szCs w:val="28"/>
          <w:lang w:eastAsia="uk-UA"/>
        </w:rPr>
        <w:t xml:space="preserve">. 283.1.9 п. 283.1 ст. 283 ПК не підлягають оподаткуванню земельним податком «землі залізничного транспорту, до яких належать землі смуг відведення залізниць під залізничним полотном та його облаштуванням, станціями з усіма будівлями і спорудами енергетичного, локомотивного, вагонного, колійного, вантажного і пасажирського господарства, сигналізації та зв'язку, водопостачання, каналізації; під захисними та </w:t>
      </w:r>
      <w:proofErr w:type="spellStart"/>
      <w:r w:rsidRPr="003F6B35">
        <w:rPr>
          <w:rFonts w:eastAsia="Times New Roman" w:cs="Calibri"/>
          <w:szCs w:val="28"/>
          <w:lang w:eastAsia="uk-UA"/>
        </w:rPr>
        <w:t>укріплювальними</w:t>
      </w:r>
      <w:proofErr w:type="spellEnd"/>
      <w:r w:rsidRPr="003F6B35">
        <w:rPr>
          <w:rFonts w:eastAsia="Times New Roman" w:cs="Calibri"/>
          <w:szCs w:val="28"/>
          <w:lang w:eastAsia="uk-UA"/>
        </w:rPr>
        <w:t xml:space="preserve"> насадженнями, службовими та іншими спорудами, необхідними для забезпечення роботи залізничного транспорту (крім окремо розташованих земельних ділянок, на яких знаходяться культурно-побутові та адміністративні будівлі, які оподатковуються на загальних підставах), що перебувають у державній власності, власності державних підприємств або власності господарських товариств, у статутному капіталі яких 50 і більше відсотків акцій (часток, паїв) належать державі».</w:t>
      </w:r>
    </w:p>
    <w:p w:rsidR="003F6B35" w:rsidRPr="003F6B35" w:rsidRDefault="003F6B35" w:rsidP="003F6B35">
      <w:pPr>
        <w:tabs>
          <w:tab w:val="left" w:pos="851"/>
          <w:tab w:val="left" w:pos="1134"/>
        </w:tabs>
        <w:spacing w:after="0" w:line="240" w:lineRule="auto"/>
        <w:ind w:firstLine="709"/>
        <w:jc w:val="both"/>
        <w:rPr>
          <w:rFonts w:eastAsia="Times New Roman" w:cs="Calibri"/>
          <w:szCs w:val="28"/>
          <w:lang w:eastAsia="uk-UA"/>
        </w:rPr>
      </w:pPr>
      <w:r w:rsidRPr="003F6B35">
        <w:rPr>
          <w:rFonts w:eastAsia="Times New Roman" w:cs="Calibri"/>
          <w:szCs w:val="28"/>
          <w:lang w:eastAsia="uk-UA"/>
        </w:rPr>
        <w:t xml:space="preserve">Не заперечуючи щодо можливості встановлення певних преференцій із сплати земельного податку для залізничного транспорту, враховуючи специфіку вказаної галузі, разом із тим, на наш погляд, викликає застереження їх звільнення від оподаткування </w:t>
      </w:r>
      <w:r w:rsidRPr="003F6B35">
        <w:rPr>
          <w:rFonts w:eastAsia="Times New Roman" w:cs="Calibri"/>
          <w:i/>
          <w:szCs w:val="28"/>
          <w:u w:val="single"/>
          <w:lang w:eastAsia="uk-UA"/>
        </w:rPr>
        <w:t>в цілому</w:t>
      </w:r>
      <w:r w:rsidRPr="003F6B35">
        <w:rPr>
          <w:rFonts w:eastAsia="Times New Roman" w:cs="Calibri"/>
          <w:szCs w:val="28"/>
          <w:lang w:eastAsia="uk-UA"/>
        </w:rPr>
        <w:t xml:space="preserve">, враховуючи, що йдеться про надання податкових пільг господарюючим суб’єктам, які здійснюють діяльність з метою отримання прибутку. Зокрема, зазначене призведе до зменшення находжень </w:t>
      </w:r>
      <w:r w:rsidR="00753F4A" w:rsidRPr="004023EC">
        <w:rPr>
          <w:rFonts w:eastAsia="Times New Roman" w:cs="Calibri"/>
          <w:szCs w:val="28"/>
          <w:lang w:eastAsia="uk-UA"/>
        </w:rPr>
        <w:t xml:space="preserve">до </w:t>
      </w:r>
      <w:r w:rsidRPr="003F6B35">
        <w:rPr>
          <w:rFonts w:eastAsia="Times New Roman" w:cs="Calibri"/>
          <w:szCs w:val="28"/>
          <w:lang w:eastAsia="uk-UA"/>
        </w:rPr>
        <w:t xml:space="preserve">місцевих бюджетів, у зв’язку із чим звертаємо увагу на необхідність дотримання вимог ст. 103 Бюджетного кодексу України, згідно з якою надання державою податкових пільг, які зменшують доходи місцевих бюджетів, має супроводжуватися наданням додаткової дотації з державного бюджету місцевим бюджетам на компенсацію відповідних втрат доходів місцевих бюджетів. Крім </w:t>
      </w:r>
      <w:r w:rsidRPr="003F6B35">
        <w:rPr>
          <w:rFonts w:eastAsia="Times New Roman" w:cs="Calibri"/>
          <w:szCs w:val="28"/>
          <w:lang w:eastAsia="uk-UA"/>
        </w:rPr>
        <w:lastRenderedPageBreak/>
        <w:t>того, слід врахувати, що вказаний податок має не тільки фіскальну спрямованість, але й сприяє раціональному використанню земель їх власниками. Також встановлення вказаної пільги окремим суб’єктам господарювання не відповідає принципу рівності усіх платників перед законом, недопущення будь-яких проявів податкової дискримінації (</w:t>
      </w:r>
      <w:proofErr w:type="spellStart"/>
      <w:r w:rsidRPr="003F6B35">
        <w:rPr>
          <w:rFonts w:eastAsia="Times New Roman" w:cs="Calibri"/>
          <w:szCs w:val="28"/>
          <w:lang w:eastAsia="uk-UA"/>
        </w:rPr>
        <w:t>пп</w:t>
      </w:r>
      <w:proofErr w:type="spellEnd"/>
      <w:r w:rsidRPr="003F6B35">
        <w:rPr>
          <w:rFonts w:eastAsia="Times New Roman" w:cs="Calibri"/>
          <w:szCs w:val="28"/>
          <w:lang w:eastAsia="uk-UA"/>
        </w:rPr>
        <w:t>. 4.1.2 п. 4.1 ст. 4 ПК).</w:t>
      </w:r>
    </w:p>
    <w:p w:rsidR="003F6B35" w:rsidRPr="003F6B35" w:rsidRDefault="003F6B35" w:rsidP="003F6B35">
      <w:pPr>
        <w:tabs>
          <w:tab w:val="left" w:pos="851"/>
          <w:tab w:val="left" w:pos="1134"/>
        </w:tabs>
        <w:spacing w:after="0" w:line="240" w:lineRule="auto"/>
        <w:ind w:firstLine="709"/>
        <w:jc w:val="both"/>
        <w:rPr>
          <w:rFonts w:eastAsia="Times New Roman" w:cs="Calibri"/>
          <w:szCs w:val="28"/>
          <w:lang w:eastAsia="uk-UA"/>
        </w:rPr>
      </w:pPr>
      <w:r w:rsidRPr="003F6B35">
        <w:rPr>
          <w:rFonts w:eastAsia="Times New Roman" w:cs="Calibri"/>
          <w:szCs w:val="28"/>
          <w:lang w:eastAsia="uk-UA"/>
        </w:rPr>
        <w:t xml:space="preserve">Принагідно звертаємо увагу, що </w:t>
      </w:r>
      <w:proofErr w:type="spellStart"/>
      <w:r w:rsidRPr="003F6B35">
        <w:rPr>
          <w:rFonts w:eastAsia="Times New Roman" w:cs="Calibri"/>
          <w:szCs w:val="28"/>
          <w:lang w:eastAsia="uk-UA"/>
        </w:rPr>
        <w:t>пп</w:t>
      </w:r>
      <w:proofErr w:type="spellEnd"/>
      <w:r w:rsidRPr="003F6B35">
        <w:rPr>
          <w:rFonts w:eastAsia="Times New Roman" w:cs="Calibri"/>
          <w:szCs w:val="28"/>
          <w:lang w:eastAsia="uk-UA"/>
        </w:rPr>
        <w:t>. 14.1.78</w:t>
      </w:r>
      <w:r w:rsidRPr="003F6B35">
        <w:rPr>
          <w:rFonts w:eastAsia="Times New Roman" w:cs="Calibri"/>
          <w:szCs w:val="28"/>
          <w:vertAlign w:val="superscript"/>
          <w:lang w:eastAsia="uk-UA"/>
        </w:rPr>
        <w:t>1</w:t>
      </w:r>
      <w:r w:rsidRPr="003F6B35">
        <w:rPr>
          <w:rFonts w:eastAsia="Times New Roman" w:cs="Calibri"/>
          <w:szCs w:val="28"/>
          <w:lang w:eastAsia="uk-UA"/>
        </w:rPr>
        <w:t xml:space="preserve"> п. 14.1 ст. 14 ПК містить визначення поняття «землі залізничного транспорту», а тому вказаний </w:t>
      </w:r>
      <w:r w:rsidRPr="003F6B35">
        <w:rPr>
          <w:rFonts w:eastAsia="Times New Roman" w:cs="Calibri"/>
          <w:szCs w:val="28"/>
          <w:lang w:eastAsia="uk-UA"/>
        </w:rPr>
        <w:br/>
      </w:r>
      <w:proofErr w:type="spellStart"/>
      <w:r w:rsidRPr="003F6B35">
        <w:rPr>
          <w:rFonts w:eastAsia="Times New Roman" w:cs="Calibri"/>
          <w:szCs w:val="28"/>
          <w:lang w:eastAsia="uk-UA"/>
        </w:rPr>
        <w:t>пп</w:t>
      </w:r>
      <w:proofErr w:type="spellEnd"/>
      <w:r w:rsidRPr="003F6B35">
        <w:rPr>
          <w:rFonts w:eastAsia="Times New Roman" w:cs="Calibri"/>
          <w:szCs w:val="28"/>
          <w:lang w:eastAsia="uk-UA"/>
        </w:rPr>
        <w:t>. 283.1.9 у пропонованій редакції частково дублює його положення.</w:t>
      </w:r>
    </w:p>
    <w:p w:rsidR="003F6B35" w:rsidRPr="003F6B35" w:rsidRDefault="003F6B35" w:rsidP="003F6B35">
      <w:pPr>
        <w:tabs>
          <w:tab w:val="left" w:pos="851"/>
          <w:tab w:val="left" w:pos="1134"/>
        </w:tabs>
        <w:spacing w:after="0" w:line="240" w:lineRule="auto"/>
        <w:ind w:firstLine="709"/>
        <w:jc w:val="both"/>
        <w:rPr>
          <w:rFonts w:cs="Calibri"/>
          <w:szCs w:val="28"/>
          <w:lang w:eastAsia="uk-UA"/>
        </w:rPr>
      </w:pPr>
      <w:r w:rsidRPr="003F6B35">
        <w:rPr>
          <w:rFonts w:cs="Calibri"/>
          <w:b/>
          <w:szCs w:val="28"/>
          <w:lang w:eastAsia="uk-UA"/>
        </w:rPr>
        <w:t>9.</w:t>
      </w:r>
      <w:r w:rsidRPr="003F6B35">
        <w:rPr>
          <w:rFonts w:cs="Calibri"/>
          <w:szCs w:val="28"/>
          <w:lang w:eastAsia="uk-UA"/>
        </w:rPr>
        <w:t xml:space="preserve"> Відповідно до оновленого </w:t>
      </w:r>
      <w:proofErr w:type="spellStart"/>
      <w:r w:rsidRPr="003F6B35">
        <w:rPr>
          <w:rFonts w:cs="Calibri"/>
          <w:szCs w:val="28"/>
          <w:lang w:eastAsia="uk-UA"/>
        </w:rPr>
        <w:t>пп</w:t>
      </w:r>
      <w:proofErr w:type="spellEnd"/>
      <w:r w:rsidRPr="003F6B35">
        <w:rPr>
          <w:rFonts w:cs="Calibri"/>
          <w:szCs w:val="28"/>
          <w:lang w:eastAsia="uk-UA"/>
        </w:rPr>
        <w:t>. </w:t>
      </w:r>
      <w:r w:rsidRPr="003F6B35">
        <w:rPr>
          <w:rFonts w:eastAsia="Times New Roman" w:cs="Calibri"/>
          <w:szCs w:val="28"/>
          <w:lang w:eastAsia="uk-UA"/>
        </w:rPr>
        <w:t>291.5</w:t>
      </w:r>
      <w:r w:rsidRPr="003F6B35">
        <w:rPr>
          <w:rFonts w:eastAsia="Times New Roman" w:cs="Calibri"/>
          <w:szCs w:val="28"/>
          <w:vertAlign w:val="superscript"/>
          <w:lang w:eastAsia="uk-UA"/>
        </w:rPr>
        <w:t>1</w:t>
      </w:r>
      <w:r w:rsidRPr="003F6B35">
        <w:rPr>
          <w:rFonts w:eastAsia="Times New Roman" w:cs="Calibri"/>
          <w:szCs w:val="28"/>
          <w:lang w:eastAsia="uk-UA"/>
        </w:rPr>
        <w:t>.1 п. 291.5</w:t>
      </w:r>
      <w:r w:rsidRPr="003F6B35">
        <w:rPr>
          <w:rFonts w:eastAsia="Times New Roman" w:cs="Calibri"/>
          <w:szCs w:val="28"/>
          <w:vertAlign w:val="superscript"/>
          <w:lang w:eastAsia="uk-UA"/>
        </w:rPr>
        <w:t>1</w:t>
      </w:r>
      <w:r w:rsidRPr="003F6B35">
        <w:rPr>
          <w:rFonts w:eastAsia="Times New Roman" w:cs="Calibri"/>
          <w:szCs w:val="28"/>
          <w:lang w:eastAsia="uk-UA"/>
        </w:rPr>
        <w:t xml:space="preserve"> ст. 291 ПК не можуть бути платниками єдиного податку четвертої групи «суб’єкти господарювання, діяльність яких згідно з КВЕД-2010 відноситься до класів 01.47 (розведення свійської птиці), 01.49 (у частині  розведення та вирощування перепелів і страусів) та 10.12 (виробництво м'яса свійської птиці)». У цілому не заперечуючи щодо вказаних змін, разом із тим, зауважимо, що встановлення вказаних обмежень стосуватиметься не тільки великих та середніх виробників, які використовують на сьогодні спрощену систему оподаткування, обліку та звітності для сільськогосподарських товаровиробників в Україні (4 група платників єдиного податку) для мінімізації податків, але </w:t>
      </w:r>
      <w:r w:rsidRPr="003F6B35">
        <w:rPr>
          <w:rFonts w:cs="Calibri"/>
          <w:szCs w:val="28"/>
          <w:lang w:eastAsia="uk-UA"/>
        </w:rPr>
        <w:t>й</w:t>
      </w:r>
      <w:r w:rsidRPr="003F6B35">
        <w:rPr>
          <w:rFonts w:eastAsia="Times New Roman" w:cs="Calibri"/>
          <w:szCs w:val="28"/>
          <w:lang w:eastAsia="uk-UA"/>
        </w:rPr>
        <w:t xml:space="preserve"> може негативно позначитись на малих виробниках, що, у тому числі, може призвести до зниження конкуренції у цій сфері та, як наслідок, зростання ціни на відповідні товари.</w:t>
      </w:r>
    </w:p>
    <w:p w:rsidR="003F6B35" w:rsidRPr="003F6B35" w:rsidRDefault="003F6B35" w:rsidP="003F6B35">
      <w:pPr>
        <w:tabs>
          <w:tab w:val="left" w:pos="851"/>
          <w:tab w:val="left" w:pos="993"/>
        </w:tabs>
        <w:spacing w:after="0" w:line="240" w:lineRule="auto"/>
        <w:ind w:firstLine="709"/>
        <w:jc w:val="both"/>
        <w:rPr>
          <w:rFonts w:eastAsia="Times New Roman" w:cs="Calibri"/>
          <w:szCs w:val="28"/>
          <w:lang w:eastAsia="uk-UA"/>
        </w:rPr>
      </w:pPr>
      <w:r w:rsidRPr="003F6B35">
        <w:rPr>
          <w:rFonts w:eastAsia="Times New Roman" w:cs="Calibri"/>
          <w:szCs w:val="28"/>
          <w:lang w:eastAsia="uk-UA"/>
        </w:rPr>
        <w:t>Принагідно зауважимо, що, на наш погляд, застосування 4 групи платників єдиного податку потребує суттєвого вдосконалення, оскільки за своєю природою має застосовуватися виключно суб’єктами малого підприємництва з невеликими доходом, чисельністю працівників тощо, для яких ведення повноцінного податкового обліку є складним та економічно обтяжливим, а не поширюватись на будь-якого сільськогосподарського товаровиробника без обмежень обсягу доходу, розміру земельної ділянки, як це передбачено чинною редакцією ПК. Зазначене на сьогодні фактично використовується великими та середніми сільськогосподарським</w:t>
      </w:r>
      <w:r w:rsidR="00753F4A" w:rsidRPr="004023EC">
        <w:rPr>
          <w:rFonts w:eastAsia="Times New Roman" w:cs="Calibri"/>
          <w:szCs w:val="28"/>
          <w:lang w:eastAsia="uk-UA"/>
        </w:rPr>
        <w:t>и</w:t>
      </w:r>
      <w:r w:rsidRPr="003F6B35">
        <w:rPr>
          <w:rFonts w:eastAsia="Times New Roman" w:cs="Calibri"/>
          <w:szCs w:val="28"/>
          <w:lang w:eastAsia="uk-UA"/>
        </w:rPr>
        <w:t xml:space="preserve"> виробниками для мінімізації податків та зборів, призводить до суттєвого зменшення бюджетних надходжень та нерівномірного податкового навантаження на виробників різних організаційно-правових форм.</w:t>
      </w:r>
    </w:p>
    <w:p w:rsidR="003F6B35" w:rsidRPr="003F6B35" w:rsidRDefault="003F6B35" w:rsidP="003F6B3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eastAsia="Times New Roman"/>
          <w:szCs w:val="28"/>
          <w:lang w:eastAsia="uk-UA"/>
        </w:rPr>
      </w:pPr>
    </w:p>
    <w:p w:rsidR="003F6B35" w:rsidRPr="003F6B35" w:rsidRDefault="003F6B35" w:rsidP="003F6B3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eastAsia="Times New Roman"/>
          <w:szCs w:val="28"/>
          <w:lang w:eastAsia="uk-UA"/>
        </w:rPr>
      </w:pPr>
    </w:p>
    <w:p w:rsidR="003F6B35" w:rsidRPr="003F6B35" w:rsidRDefault="003F6B35" w:rsidP="003F6B35">
      <w:pPr>
        <w:spacing w:after="0" w:line="240" w:lineRule="auto"/>
        <w:ind w:firstLine="709"/>
        <w:jc w:val="both"/>
        <w:rPr>
          <w:rFonts w:eastAsia="Times New Roman"/>
          <w:szCs w:val="28"/>
          <w:lang w:eastAsia="uk-UA"/>
        </w:rPr>
      </w:pPr>
      <w:r w:rsidRPr="003F6B35">
        <w:rPr>
          <w:rFonts w:eastAsia="Times New Roman"/>
          <w:szCs w:val="28"/>
          <w:lang w:eastAsia="uk-UA"/>
        </w:rPr>
        <w:t>Керівник Головного управління                                                 С. Тихонюк</w:t>
      </w:r>
    </w:p>
    <w:p w:rsidR="003F6B35" w:rsidRPr="003F6B35" w:rsidRDefault="003F6B35" w:rsidP="003F6B3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eastAsia="Times New Roman"/>
          <w:szCs w:val="28"/>
          <w:lang w:eastAsia="uk-UA"/>
        </w:rPr>
      </w:pPr>
    </w:p>
    <w:p w:rsidR="003F6B35" w:rsidRPr="003F6B35" w:rsidRDefault="003F6B35" w:rsidP="003F6B3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eastAsia="Times New Roman"/>
          <w:szCs w:val="28"/>
          <w:lang w:eastAsia="uk-UA"/>
        </w:rPr>
      </w:pPr>
    </w:p>
    <w:p w:rsidR="003F6B35" w:rsidRPr="003F6B35" w:rsidRDefault="003F6B35" w:rsidP="003F6B3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eastAsia="Times New Roman"/>
          <w:szCs w:val="28"/>
          <w:lang w:eastAsia="uk-UA"/>
        </w:rPr>
      </w:pPr>
      <w:proofErr w:type="spellStart"/>
      <w:r w:rsidRPr="003F6B35">
        <w:rPr>
          <w:rFonts w:eastAsia="Times New Roman"/>
          <w:sz w:val="20"/>
          <w:szCs w:val="20"/>
          <w:lang w:eastAsia="uk-UA"/>
        </w:rPr>
        <w:t>Вик</w:t>
      </w:r>
      <w:proofErr w:type="spellEnd"/>
      <w:r w:rsidRPr="003F6B35">
        <w:rPr>
          <w:rFonts w:eastAsia="Times New Roman"/>
          <w:sz w:val="20"/>
          <w:szCs w:val="20"/>
          <w:lang w:eastAsia="uk-UA"/>
        </w:rPr>
        <w:t>.: Я. Бережний, І  Крегул, М. Муравська</w:t>
      </w:r>
    </w:p>
    <w:p w:rsidR="003F6B35" w:rsidRPr="003F6B35" w:rsidRDefault="003F6B35" w:rsidP="003F6B3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eastAsia="Times New Roman"/>
          <w:szCs w:val="28"/>
          <w:lang w:eastAsia="uk-UA"/>
        </w:rPr>
      </w:pPr>
    </w:p>
    <w:p w:rsidR="003F6B35" w:rsidRPr="003F6B35" w:rsidRDefault="003F6B35" w:rsidP="003F6B35">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firstLine="709"/>
        <w:jc w:val="both"/>
        <w:rPr>
          <w:rFonts w:eastAsia="Times New Roman"/>
          <w:szCs w:val="28"/>
          <w:lang w:eastAsia="uk-UA"/>
        </w:rPr>
      </w:pPr>
    </w:p>
    <w:p w:rsidR="003F6B35" w:rsidRPr="003F6B35" w:rsidRDefault="003F6B35" w:rsidP="003F6B35">
      <w:pPr>
        <w:spacing w:after="0" w:line="240" w:lineRule="auto"/>
        <w:ind w:firstLine="709"/>
        <w:jc w:val="both"/>
        <w:rPr>
          <w:rFonts w:eastAsia="Times New Roman"/>
          <w:szCs w:val="28"/>
          <w:lang w:eastAsia="uk-UA"/>
        </w:rPr>
      </w:pPr>
    </w:p>
    <w:p w:rsidR="003F6B35" w:rsidRPr="00AC1173" w:rsidRDefault="003F6B35" w:rsidP="003F6B35">
      <w:pPr>
        <w:spacing w:after="0" w:line="240" w:lineRule="auto"/>
        <w:rPr>
          <w:color w:val="000000" w:themeColor="text1"/>
          <w:lang w:val="ru-RU"/>
        </w:rPr>
      </w:pPr>
    </w:p>
    <w:sectPr w:rsidR="003F6B35" w:rsidRPr="00AC1173" w:rsidSect="005B76BB">
      <w:headerReference w:type="default" r:id="rId8"/>
      <w:footerReference w:type="even"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3D13" w:rsidRDefault="00963D13" w:rsidP="003E43BF">
      <w:pPr>
        <w:spacing w:after="0" w:line="240" w:lineRule="auto"/>
      </w:pPr>
      <w:r>
        <w:separator/>
      </w:r>
    </w:p>
  </w:endnote>
  <w:endnote w:type="continuationSeparator" w:id="0">
    <w:p w:rsidR="00963D13" w:rsidRDefault="00963D13" w:rsidP="003E4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20002A87"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A21" w:rsidRDefault="00C874D3" w:rsidP="00274A21">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274A21" w:rsidRDefault="00274A21" w:rsidP="00274A21">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3D13" w:rsidRDefault="00963D13" w:rsidP="003E43BF">
      <w:pPr>
        <w:spacing w:after="0" w:line="240" w:lineRule="auto"/>
      </w:pPr>
      <w:r>
        <w:separator/>
      </w:r>
    </w:p>
  </w:footnote>
  <w:footnote w:type="continuationSeparator" w:id="0">
    <w:p w:rsidR="00963D13" w:rsidRDefault="00963D13" w:rsidP="003E43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A21" w:rsidRDefault="00C874D3" w:rsidP="005B76BB">
    <w:pPr>
      <w:pStyle w:val="a5"/>
      <w:jc w:val="center"/>
    </w:pPr>
    <w:r>
      <w:fldChar w:fldCharType="begin"/>
    </w:r>
    <w:r>
      <w:instrText>PAGE   \* MERGEFORMAT</w:instrText>
    </w:r>
    <w:r>
      <w:fldChar w:fldCharType="separate"/>
    </w:r>
    <w:r w:rsidR="00924901">
      <w:rPr>
        <w:noProof/>
      </w:rPr>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A21" w:rsidRPr="00753F4A" w:rsidRDefault="00C874D3" w:rsidP="00274A21">
    <w:pPr>
      <w:pStyle w:val="a5"/>
      <w:jc w:val="right"/>
      <w:rPr>
        <w:sz w:val="20"/>
        <w:szCs w:val="20"/>
      </w:rPr>
    </w:pPr>
    <w:r w:rsidRPr="00753F4A">
      <w:rPr>
        <w:sz w:val="20"/>
        <w:szCs w:val="20"/>
      </w:rPr>
      <w:t xml:space="preserve">До реєстр. № </w:t>
    </w:r>
    <w:r w:rsidR="00ED38D0" w:rsidRPr="00753F4A">
      <w:rPr>
        <w:sz w:val="20"/>
        <w:szCs w:val="20"/>
      </w:rPr>
      <w:t>5</w:t>
    </w:r>
    <w:r w:rsidR="00753F4A" w:rsidRPr="00753F4A">
      <w:rPr>
        <w:sz w:val="20"/>
        <w:szCs w:val="20"/>
      </w:rPr>
      <w:t>600-3 від 17.06.2021</w:t>
    </w:r>
  </w:p>
  <w:p w:rsidR="00274A21" w:rsidRPr="00753F4A" w:rsidRDefault="00C874D3" w:rsidP="00274A21">
    <w:pPr>
      <w:pStyle w:val="a5"/>
      <w:jc w:val="right"/>
      <w:rPr>
        <w:sz w:val="20"/>
        <w:szCs w:val="20"/>
      </w:rPr>
    </w:pPr>
    <w:r w:rsidRPr="00753F4A">
      <w:rPr>
        <w:sz w:val="20"/>
        <w:szCs w:val="20"/>
      </w:rPr>
      <w:t>Народн</w:t>
    </w:r>
    <w:r w:rsidR="00753F4A" w:rsidRPr="00753F4A">
      <w:rPr>
        <w:sz w:val="20"/>
        <w:szCs w:val="20"/>
      </w:rPr>
      <w:t>і</w:t>
    </w:r>
    <w:r w:rsidR="00ED38D0" w:rsidRPr="00753F4A">
      <w:rPr>
        <w:sz w:val="20"/>
        <w:szCs w:val="20"/>
      </w:rPr>
      <w:t xml:space="preserve"> депутат</w:t>
    </w:r>
    <w:r w:rsidR="00753F4A" w:rsidRPr="00753F4A">
      <w:rPr>
        <w:sz w:val="20"/>
        <w:szCs w:val="20"/>
      </w:rPr>
      <w:t>и</w:t>
    </w:r>
    <w:r w:rsidRPr="00753F4A">
      <w:rPr>
        <w:sz w:val="20"/>
        <w:szCs w:val="20"/>
      </w:rPr>
      <w:t xml:space="preserve"> України </w:t>
    </w:r>
  </w:p>
  <w:p w:rsidR="00274A21" w:rsidRPr="008B2099" w:rsidRDefault="00753F4A" w:rsidP="003E43BF">
    <w:pPr>
      <w:pStyle w:val="a5"/>
      <w:jc w:val="right"/>
      <w:rPr>
        <w:sz w:val="20"/>
        <w:szCs w:val="20"/>
      </w:rPr>
    </w:pPr>
    <w:r w:rsidRPr="00753F4A">
      <w:rPr>
        <w:sz w:val="20"/>
        <w:szCs w:val="20"/>
      </w:rPr>
      <w:t xml:space="preserve">М. </w:t>
    </w:r>
    <w:proofErr w:type="spellStart"/>
    <w:r w:rsidRPr="00753F4A">
      <w:rPr>
        <w:sz w:val="20"/>
        <w:szCs w:val="20"/>
      </w:rPr>
      <w:t>Магомедов</w:t>
    </w:r>
    <w:proofErr w:type="spellEnd"/>
    <w:r w:rsidRPr="00753F4A">
      <w:rPr>
        <w:sz w:val="20"/>
        <w:szCs w:val="20"/>
      </w:rPr>
      <w:t>, В. Гриб</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034AD"/>
    <w:multiLevelType w:val="hybridMultilevel"/>
    <w:tmpl w:val="123CD7BE"/>
    <w:lvl w:ilvl="0" w:tplc="399ECCF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10DD1E00"/>
    <w:multiLevelType w:val="hybridMultilevel"/>
    <w:tmpl w:val="7D50FEB4"/>
    <w:lvl w:ilvl="0" w:tplc="E2E87F50">
      <w:start w:val="1"/>
      <w:numFmt w:val="decimal"/>
      <w:lvlText w:val="%1."/>
      <w:lvlJc w:val="left"/>
      <w:pPr>
        <w:ind w:left="1189" w:hanging="480"/>
      </w:pPr>
      <w:rPr>
        <w:rFonts w:eastAsia="Calibri" w:hint="default"/>
        <w:b/>
        <w:color w:val="000000" w:themeColor="text1"/>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24AE5421"/>
    <w:multiLevelType w:val="hybridMultilevel"/>
    <w:tmpl w:val="4300B866"/>
    <w:lvl w:ilvl="0" w:tplc="BB846ACC">
      <w:start w:val="1"/>
      <w:numFmt w:val="decimal"/>
      <w:lvlText w:val="%1."/>
      <w:lvlJc w:val="left"/>
      <w:pPr>
        <w:ind w:left="1069" w:hanging="360"/>
      </w:pPr>
      <w:rPr>
        <w:rFonts w:ascii="Times New Roman" w:eastAsia="Times New Roman" w:hAnsi="Times New Roman" w:cs="Times New Roman"/>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279546D1"/>
    <w:multiLevelType w:val="hybridMultilevel"/>
    <w:tmpl w:val="52F88F28"/>
    <w:lvl w:ilvl="0" w:tplc="76E24BC6">
      <w:start w:val="1"/>
      <w:numFmt w:val="decimal"/>
      <w:lvlText w:val="%1."/>
      <w:lvlJc w:val="left"/>
      <w:pPr>
        <w:ind w:left="1069" w:hanging="360"/>
      </w:pPr>
      <w:rPr>
        <w:rFonts w:ascii="Times New Roman" w:eastAsia="Times New Roman" w:hAnsi="Times New Roman" w:cs="Times New Roman"/>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337559E5"/>
    <w:multiLevelType w:val="hybridMultilevel"/>
    <w:tmpl w:val="75747C3E"/>
    <w:lvl w:ilvl="0" w:tplc="89F63DA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0F66E02"/>
    <w:multiLevelType w:val="hybridMultilevel"/>
    <w:tmpl w:val="05920580"/>
    <w:lvl w:ilvl="0" w:tplc="62340030">
      <w:start w:val="1"/>
      <w:numFmt w:val="decimal"/>
      <w:lvlText w:val="%1."/>
      <w:lvlJc w:val="left"/>
      <w:pPr>
        <w:ind w:left="1069" w:hanging="360"/>
      </w:pPr>
      <w:rPr>
        <w:rFonts w:ascii="Arial" w:eastAsia="Times New Roman" w:hAnsi="Arial" w:cs="Arial"/>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4C5B11D1"/>
    <w:multiLevelType w:val="hybridMultilevel"/>
    <w:tmpl w:val="1BDE6EAE"/>
    <w:lvl w:ilvl="0" w:tplc="748CAE0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541A432A"/>
    <w:multiLevelType w:val="hybridMultilevel"/>
    <w:tmpl w:val="7102E34A"/>
    <w:numStyleLink w:val="8"/>
  </w:abstractNum>
  <w:abstractNum w:abstractNumId="8" w15:restartNumberingAfterBreak="0">
    <w:nsid w:val="679E774F"/>
    <w:multiLevelType w:val="hybridMultilevel"/>
    <w:tmpl w:val="5F36F174"/>
    <w:lvl w:ilvl="0" w:tplc="9A682330">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6C5E215A"/>
    <w:multiLevelType w:val="hybridMultilevel"/>
    <w:tmpl w:val="9E827786"/>
    <w:lvl w:ilvl="0" w:tplc="BFDE201E">
      <w:start w:val="1"/>
      <w:numFmt w:val="decimal"/>
      <w:lvlText w:val="%1."/>
      <w:lvlJc w:val="left"/>
      <w:pPr>
        <w:ind w:left="1069" w:hanging="360"/>
      </w:pPr>
      <w:rPr>
        <w:rFonts w:eastAsia="Calibri" w:hint="default"/>
        <w:b/>
        <w:color w:val="000000" w:themeColor="text1"/>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7AF314E1"/>
    <w:multiLevelType w:val="hybridMultilevel"/>
    <w:tmpl w:val="7102E34A"/>
    <w:styleLink w:val="8"/>
    <w:lvl w:ilvl="0" w:tplc="4414136E">
      <w:start w:val="1"/>
      <w:numFmt w:val="decimal"/>
      <w:suff w:val="nothing"/>
      <w:lvlText w:val="%1)"/>
      <w:lvlJc w:val="left"/>
      <w:pPr>
        <w:tabs>
          <w:tab w:val="left" w:pos="142"/>
          <w:tab w:val="left" w:pos="567"/>
        </w:tabs>
        <w:ind w:left="142" w:firstLine="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98985E">
      <w:start w:val="1"/>
      <w:numFmt w:val="lowerLetter"/>
      <w:lvlText w:val="%2."/>
      <w:lvlJc w:val="left"/>
      <w:pPr>
        <w:tabs>
          <w:tab w:val="left" w:pos="142"/>
          <w:tab w:val="left" w:pos="567"/>
        </w:tabs>
        <w:ind w:left="84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4CF72E">
      <w:start w:val="1"/>
      <w:numFmt w:val="lowerRoman"/>
      <w:lvlText w:val="%3."/>
      <w:lvlJc w:val="left"/>
      <w:pPr>
        <w:tabs>
          <w:tab w:val="left" w:pos="142"/>
          <w:tab w:val="left" w:pos="567"/>
        </w:tabs>
        <w:ind w:left="1440" w:hanging="2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328BFC0">
      <w:start w:val="1"/>
      <w:numFmt w:val="decimal"/>
      <w:lvlText w:val="%4."/>
      <w:lvlJc w:val="left"/>
      <w:pPr>
        <w:tabs>
          <w:tab w:val="left" w:pos="142"/>
          <w:tab w:val="left" w:pos="567"/>
        </w:tabs>
        <w:ind w:left="2160" w:hanging="25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15065D2">
      <w:start w:val="1"/>
      <w:numFmt w:val="lowerLetter"/>
      <w:lvlText w:val="%5."/>
      <w:lvlJc w:val="left"/>
      <w:pPr>
        <w:tabs>
          <w:tab w:val="left" w:pos="142"/>
          <w:tab w:val="left" w:pos="567"/>
        </w:tabs>
        <w:ind w:left="288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E746DE8">
      <w:start w:val="1"/>
      <w:numFmt w:val="lowerRoman"/>
      <w:lvlText w:val="%6."/>
      <w:lvlJc w:val="left"/>
      <w:pPr>
        <w:tabs>
          <w:tab w:val="left" w:pos="142"/>
          <w:tab w:val="left" w:pos="567"/>
          <w:tab w:val="num" w:pos="4167"/>
        </w:tabs>
        <w:ind w:left="3600"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6008AC4">
      <w:start w:val="1"/>
      <w:numFmt w:val="decimal"/>
      <w:lvlText w:val="%7."/>
      <w:lvlJc w:val="left"/>
      <w:pPr>
        <w:tabs>
          <w:tab w:val="left" w:pos="142"/>
          <w:tab w:val="left" w:pos="567"/>
          <w:tab w:val="num" w:pos="4887"/>
        </w:tabs>
        <w:ind w:left="4320" w:hanging="2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3B8FB14">
      <w:start w:val="1"/>
      <w:numFmt w:val="lowerLetter"/>
      <w:lvlText w:val="%8."/>
      <w:lvlJc w:val="left"/>
      <w:pPr>
        <w:tabs>
          <w:tab w:val="left" w:pos="142"/>
          <w:tab w:val="left" w:pos="567"/>
          <w:tab w:val="num" w:pos="5607"/>
        </w:tabs>
        <w:ind w:left="5040" w:hanging="2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5C977E">
      <w:start w:val="1"/>
      <w:numFmt w:val="lowerRoman"/>
      <w:lvlText w:val="%9."/>
      <w:lvlJc w:val="left"/>
      <w:pPr>
        <w:tabs>
          <w:tab w:val="left" w:pos="142"/>
          <w:tab w:val="left" w:pos="567"/>
          <w:tab w:val="num" w:pos="6327"/>
        </w:tabs>
        <w:ind w:left="5760" w:hanging="1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0"/>
  </w:num>
  <w:num w:numId="2">
    <w:abstractNumId w:val="7"/>
  </w:num>
  <w:num w:numId="3">
    <w:abstractNumId w:val="0"/>
  </w:num>
  <w:num w:numId="4">
    <w:abstractNumId w:val="1"/>
  </w:num>
  <w:num w:numId="5">
    <w:abstractNumId w:val="9"/>
  </w:num>
  <w:num w:numId="6">
    <w:abstractNumId w:val="4"/>
  </w:num>
  <w:num w:numId="7">
    <w:abstractNumId w:val="2"/>
  </w:num>
  <w:num w:numId="8">
    <w:abstractNumId w:val="3"/>
  </w:num>
  <w:num w:numId="9">
    <w:abstractNumId w:val="5"/>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ru-RU" w:vendorID="64" w:dllVersion="131078" w:nlCheck="1" w:checkStyle="0"/>
  <w:activeWritingStyle w:appName="MSWord" w:lang="en-US" w:vendorID="64" w:dllVersion="131078" w:nlCheck="1" w:checkStyle="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3BF"/>
    <w:rsid w:val="00006DB0"/>
    <w:rsid w:val="00011B6E"/>
    <w:rsid w:val="00012FE7"/>
    <w:rsid w:val="00014598"/>
    <w:rsid w:val="0002168D"/>
    <w:rsid w:val="00030C30"/>
    <w:rsid w:val="00037321"/>
    <w:rsid w:val="000410FD"/>
    <w:rsid w:val="0004762C"/>
    <w:rsid w:val="000504C1"/>
    <w:rsid w:val="00051467"/>
    <w:rsid w:val="0005190B"/>
    <w:rsid w:val="000652BD"/>
    <w:rsid w:val="000661D7"/>
    <w:rsid w:val="000743DB"/>
    <w:rsid w:val="00074DF7"/>
    <w:rsid w:val="00084BB1"/>
    <w:rsid w:val="0008503D"/>
    <w:rsid w:val="00091FDD"/>
    <w:rsid w:val="000A00DB"/>
    <w:rsid w:val="000A100B"/>
    <w:rsid w:val="000A762C"/>
    <w:rsid w:val="000B1135"/>
    <w:rsid w:val="000B69E1"/>
    <w:rsid w:val="000B7A8F"/>
    <w:rsid w:val="000C054B"/>
    <w:rsid w:val="000C3679"/>
    <w:rsid w:val="000D002E"/>
    <w:rsid w:val="000D4E11"/>
    <w:rsid w:val="000E56E0"/>
    <w:rsid w:val="000F5137"/>
    <w:rsid w:val="00107017"/>
    <w:rsid w:val="00112B11"/>
    <w:rsid w:val="00112C2E"/>
    <w:rsid w:val="00112D29"/>
    <w:rsid w:val="001149CB"/>
    <w:rsid w:val="001204DD"/>
    <w:rsid w:val="00122DF9"/>
    <w:rsid w:val="001270D1"/>
    <w:rsid w:val="001479A8"/>
    <w:rsid w:val="001512C6"/>
    <w:rsid w:val="0015667A"/>
    <w:rsid w:val="001633E6"/>
    <w:rsid w:val="00164E4E"/>
    <w:rsid w:val="00166221"/>
    <w:rsid w:val="00177ACD"/>
    <w:rsid w:val="00182F89"/>
    <w:rsid w:val="00186F7E"/>
    <w:rsid w:val="00187E6D"/>
    <w:rsid w:val="0019159A"/>
    <w:rsid w:val="001949E2"/>
    <w:rsid w:val="001A416D"/>
    <w:rsid w:val="001A5145"/>
    <w:rsid w:val="001C15AC"/>
    <w:rsid w:val="001C39E8"/>
    <w:rsid w:val="001C575D"/>
    <w:rsid w:val="001C7B1D"/>
    <w:rsid w:val="001D399C"/>
    <w:rsid w:val="001E0315"/>
    <w:rsid w:val="001E7477"/>
    <w:rsid w:val="001F2E71"/>
    <w:rsid w:val="001F50EE"/>
    <w:rsid w:val="00202612"/>
    <w:rsid w:val="00207760"/>
    <w:rsid w:val="002130CB"/>
    <w:rsid w:val="002162C5"/>
    <w:rsid w:val="002333C5"/>
    <w:rsid w:val="00235929"/>
    <w:rsid w:val="00236363"/>
    <w:rsid w:val="00243759"/>
    <w:rsid w:val="002444B4"/>
    <w:rsid w:val="00246F55"/>
    <w:rsid w:val="00264995"/>
    <w:rsid w:val="002708D9"/>
    <w:rsid w:val="002726EC"/>
    <w:rsid w:val="00274A21"/>
    <w:rsid w:val="00280235"/>
    <w:rsid w:val="00291CD6"/>
    <w:rsid w:val="0029584A"/>
    <w:rsid w:val="002B2A16"/>
    <w:rsid w:val="002B7766"/>
    <w:rsid w:val="002C0ACB"/>
    <w:rsid w:val="002C1980"/>
    <w:rsid w:val="002C59F4"/>
    <w:rsid w:val="002D2A89"/>
    <w:rsid w:val="002D59B3"/>
    <w:rsid w:val="002D614D"/>
    <w:rsid w:val="002D6E78"/>
    <w:rsid w:val="00307163"/>
    <w:rsid w:val="0030722C"/>
    <w:rsid w:val="003103DB"/>
    <w:rsid w:val="003104AE"/>
    <w:rsid w:val="00313352"/>
    <w:rsid w:val="003171B4"/>
    <w:rsid w:val="003300BF"/>
    <w:rsid w:val="003322E4"/>
    <w:rsid w:val="00336873"/>
    <w:rsid w:val="00340D2A"/>
    <w:rsid w:val="00346985"/>
    <w:rsid w:val="0035165F"/>
    <w:rsid w:val="00360183"/>
    <w:rsid w:val="00367F06"/>
    <w:rsid w:val="003709BE"/>
    <w:rsid w:val="00377B7B"/>
    <w:rsid w:val="00383103"/>
    <w:rsid w:val="003A07EC"/>
    <w:rsid w:val="003A2A4C"/>
    <w:rsid w:val="003A52E4"/>
    <w:rsid w:val="003A5588"/>
    <w:rsid w:val="003B72ED"/>
    <w:rsid w:val="003C0990"/>
    <w:rsid w:val="003C58C1"/>
    <w:rsid w:val="003C6265"/>
    <w:rsid w:val="003D5D4A"/>
    <w:rsid w:val="003D7CF7"/>
    <w:rsid w:val="003E43BF"/>
    <w:rsid w:val="003F007E"/>
    <w:rsid w:val="003F1179"/>
    <w:rsid w:val="003F6B35"/>
    <w:rsid w:val="00400359"/>
    <w:rsid w:val="004023EC"/>
    <w:rsid w:val="00404F87"/>
    <w:rsid w:val="004052BA"/>
    <w:rsid w:val="0040559B"/>
    <w:rsid w:val="0041166D"/>
    <w:rsid w:val="00415254"/>
    <w:rsid w:val="0041747C"/>
    <w:rsid w:val="00422373"/>
    <w:rsid w:val="004230B2"/>
    <w:rsid w:val="0042706F"/>
    <w:rsid w:val="004323A1"/>
    <w:rsid w:val="00444BCA"/>
    <w:rsid w:val="00445E88"/>
    <w:rsid w:val="00446DBB"/>
    <w:rsid w:val="00460893"/>
    <w:rsid w:val="0046418C"/>
    <w:rsid w:val="00490879"/>
    <w:rsid w:val="00492614"/>
    <w:rsid w:val="00496629"/>
    <w:rsid w:val="004A32A8"/>
    <w:rsid w:val="004B09F1"/>
    <w:rsid w:val="004B1C67"/>
    <w:rsid w:val="004E5758"/>
    <w:rsid w:val="004F3BCB"/>
    <w:rsid w:val="004F6A53"/>
    <w:rsid w:val="004F6F74"/>
    <w:rsid w:val="004F7554"/>
    <w:rsid w:val="005003B2"/>
    <w:rsid w:val="0050284B"/>
    <w:rsid w:val="00503FEE"/>
    <w:rsid w:val="00504F77"/>
    <w:rsid w:val="00512FFC"/>
    <w:rsid w:val="0053186D"/>
    <w:rsid w:val="00531A22"/>
    <w:rsid w:val="00536C88"/>
    <w:rsid w:val="00537135"/>
    <w:rsid w:val="0054292D"/>
    <w:rsid w:val="00542CDA"/>
    <w:rsid w:val="0055441C"/>
    <w:rsid w:val="00572288"/>
    <w:rsid w:val="0058642F"/>
    <w:rsid w:val="0059005C"/>
    <w:rsid w:val="005923D9"/>
    <w:rsid w:val="0059471C"/>
    <w:rsid w:val="005A330A"/>
    <w:rsid w:val="005A7F4A"/>
    <w:rsid w:val="005B2F8A"/>
    <w:rsid w:val="005B448B"/>
    <w:rsid w:val="005B741A"/>
    <w:rsid w:val="005B76BB"/>
    <w:rsid w:val="005D37F9"/>
    <w:rsid w:val="005D5D25"/>
    <w:rsid w:val="005E4ECD"/>
    <w:rsid w:val="005E65F8"/>
    <w:rsid w:val="005F1E89"/>
    <w:rsid w:val="005F2953"/>
    <w:rsid w:val="005F3E66"/>
    <w:rsid w:val="005F5CA2"/>
    <w:rsid w:val="005F762F"/>
    <w:rsid w:val="005F7FB2"/>
    <w:rsid w:val="006032E8"/>
    <w:rsid w:val="00611FFD"/>
    <w:rsid w:val="00614E83"/>
    <w:rsid w:val="00626900"/>
    <w:rsid w:val="00626F31"/>
    <w:rsid w:val="00637421"/>
    <w:rsid w:val="00641AE7"/>
    <w:rsid w:val="00645038"/>
    <w:rsid w:val="00664978"/>
    <w:rsid w:val="00673CB3"/>
    <w:rsid w:val="00690A9A"/>
    <w:rsid w:val="006941F5"/>
    <w:rsid w:val="006B56BC"/>
    <w:rsid w:val="006B61A5"/>
    <w:rsid w:val="006B700D"/>
    <w:rsid w:val="006C2E7F"/>
    <w:rsid w:val="006C4E3B"/>
    <w:rsid w:val="006C777A"/>
    <w:rsid w:val="006E2CBD"/>
    <w:rsid w:val="006E4487"/>
    <w:rsid w:val="006E6B6E"/>
    <w:rsid w:val="006E704C"/>
    <w:rsid w:val="006F5EC7"/>
    <w:rsid w:val="0070002E"/>
    <w:rsid w:val="00701F29"/>
    <w:rsid w:val="007033D8"/>
    <w:rsid w:val="00715CCA"/>
    <w:rsid w:val="00720B2F"/>
    <w:rsid w:val="00722982"/>
    <w:rsid w:val="00726A80"/>
    <w:rsid w:val="007313BB"/>
    <w:rsid w:val="00731A72"/>
    <w:rsid w:val="007341F4"/>
    <w:rsid w:val="00735E12"/>
    <w:rsid w:val="00741D8C"/>
    <w:rsid w:val="0074238B"/>
    <w:rsid w:val="007425FC"/>
    <w:rsid w:val="00746DAC"/>
    <w:rsid w:val="00752191"/>
    <w:rsid w:val="0075269A"/>
    <w:rsid w:val="00753F4A"/>
    <w:rsid w:val="00755D8C"/>
    <w:rsid w:val="0076355A"/>
    <w:rsid w:val="00772272"/>
    <w:rsid w:val="007731CF"/>
    <w:rsid w:val="00782FB0"/>
    <w:rsid w:val="00797A05"/>
    <w:rsid w:val="007A00D9"/>
    <w:rsid w:val="007A6A7B"/>
    <w:rsid w:val="007B3167"/>
    <w:rsid w:val="007B45FA"/>
    <w:rsid w:val="007B4893"/>
    <w:rsid w:val="007C076B"/>
    <w:rsid w:val="007C0B25"/>
    <w:rsid w:val="007D4B27"/>
    <w:rsid w:val="007F08F1"/>
    <w:rsid w:val="007F4F0B"/>
    <w:rsid w:val="007F62D0"/>
    <w:rsid w:val="00807EC6"/>
    <w:rsid w:val="008137A7"/>
    <w:rsid w:val="00815A57"/>
    <w:rsid w:val="0081618D"/>
    <w:rsid w:val="00821D70"/>
    <w:rsid w:val="00832428"/>
    <w:rsid w:val="00840CCA"/>
    <w:rsid w:val="008466C1"/>
    <w:rsid w:val="008826FB"/>
    <w:rsid w:val="00885625"/>
    <w:rsid w:val="0089732F"/>
    <w:rsid w:val="008B4BA9"/>
    <w:rsid w:val="008C5088"/>
    <w:rsid w:val="008D2C7E"/>
    <w:rsid w:val="008D3C73"/>
    <w:rsid w:val="008D6A9D"/>
    <w:rsid w:val="008E5F60"/>
    <w:rsid w:val="008E6200"/>
    <w:rsid w:val="008F5EF0"/>
    <w:rsid w:val="00900A3C"/>
    <w:rsid w:val="009035D2"/>
    <w:rsid w:val="00923CC5"/>
    <w:rsid w:val="00924901"/>
    <w:rsid w:val="00927289"/>
    <w:rsid w:val="00944CC0"/>
    <w:rsid w:val="0096280C"/>
    <w:rsid w:val="00963D13"/>
    <w:rsid w:val="0096462E"/>
    <w:rsid w:val="00975BD9"/>
    <w:rsid w:val="00981199"/>
    <w:rsid w:val="00994086"/>
    <w:rsid w:val="009A13B1"/>
    <w:rsid w:val="009A52AF"/>
    <w:rsid w:val="009B0687"/>
    <w:rsid w:val="009B07F6"/>
    <w:rsid w:val="009B33A5"/>
    <w:rsid w:val="009B5903"/>
    <w:rsid w:val="009B6CD9"/>
    <w:rsid w:val="009C205E"/>
    <w:rsid w:val="009C2B7C"/>
    <w:rsid w:val="009D4D60"/>
    <w:rsid w:val="009E35F4"/>
    <w:rsid w:val="009F3A23"/>
    <w:rsid w:val="00A03DE9"/>
    <w:rsid w:val="00A0567B"/>
    <w:rsid w:val="00A10ABD"/>
    <w:rsid w:val="00A15556"/>
    <w:rsid w:val="00A30018"/>
    <w:rsid w:val="00A312AB"/>
    <w:rsid w:val="00A31D4E"/>
    <w:rsid w:val="00A366D7"/>
    <w:rsid w:val="00A40106"/>
    <w:rsid w:val="00A44B1B"/>
    <w:rsid w:val="00A4500D"/>
    <w:rsid w:val="00A454D5"/>
    <w:rsid w:val="00A7089A"/>
    <w:rsid w:val="00A76BD3"/>
    <w:rsid w:val="00A8494F"/>
    <w:rsid w:val="00A850E8"/>
    <w:rsid w:val="00A9496E"/>
    <w:rsid w:val="00AA73A3"/>
    <w:rsid w:val="00AB1408"/>
    <w:rsid w:val="00AC1173"/>
    <w:rsid w:val="00AC4182"/>
    <w:rsid w:val="00AC696C"/>
    <w:rsid w:val="00AD65FB"/>
    <w:rsid w:val="00AE5062"/>
    <w:rsid w:val="00AF2751"/>
    <w:rsid w:val="00AF3BFA"/>
    <w:rsid w:val="00B12D50"/>
    <w:rsid w:val="00B153A7"/>
    <w:rsid w:val="00B16B1F"/>
    <w:rsid w:val="00B2385A"/>
    <w:rsid w:val="00B263A1"/>
    <w:rsid w:val="00B265E9"/>
    <w:rsid w:val="00B26865"/>
    <w:rsid w:val="00B30CDA"/>
    <w:rsid w:val="00B33A57"/>
    <w:rsid w:val="00B407BE"/>
    <w:rsid w:val="00B43B9F"/>
    <w:rsid w:val="00B45BF4"/>
    <w:rsid w:val="00B46D24"/>
    <w:rsid w:val="00B51572"/>
    <w:rsid w:val="00B52965"/>
    <w:rsid w:val="00B550C5"/>
    <w:rsid w:val="00B57250"/>
    <w:rsid w:val="00B7130A"/>
    <w:rsid w:val="00B75682"/>
    <w:rsid w:val="00B82CC0"/>
    <w:rsid w:val="00BA0580"/>
    <w:rsid w:val="00BA2DD3"/>
    <w:rsid w:val="00BA35DC"/>
    <w:rsid w:val="00BC58F4"/>
    <w:rsid w:val="00BD4D58"/>
    <w:rsid w:val="00BE5960"/>
    <w:rsid w:val="00BE5B88"/>
    <w:rsid w:val="00BE5F5F"/>
    <w:rsid w:val="00BF0AA9"/>
    <w:rsid w:val="00BF1408"/>
    <w:rsid w:val="00BF2202"/>
    <w:rsid w:val="00BF6568"/>
    <w:rsid w:val="00BF65F3"/>
    <w:rsid w:val="00C001AE"/>
    <w:rsid w:val="00C10C51"/>
    <w:rsid w:val="00C1479C"/>
    <w:rsid w:val="00C21F5E"/>
    <w:rsid w:val="00C23703"/>
    <w:rsid w:val="00C23ABE"/>
    <w:rsid w:val="00C31B04"/>
    <w:rsid w:val="00C356D6"/>
    <w:rsid w:val="00C40DBC"/>
    <w:rsid w:val="00C512B3"/>
    <w:rsid w:val="00C53C13"/>
    <w:rsid w:val="00C55BCB"/>
    <w:rsid w:val="00C56EE1"/>
    <w:rsid w:val="00C62DA7"/>
    <w:rsid w:val="00C67C3E"/>
    <w:rsid w:val="00C705CB"/>
    <w:rsid w:val="00C73F97"/>
    <w:rsid w:val="00C80AD5"/>
    <w:rsid w:val="00C82D46"/>
    <w:rsid w:val="00C874D3"/>
    <w:rsid w:val="00C907FC"/>
    <w:rsid w:val="00C91AE8"/>
    <w:rsid w:val="00C94764"/>
    <w:rsid w:val="00C9535F"/>
    <w:rsid w:val="00CA4BEA"/>
    <w:rsid w:val="00CB11B9"/>
    <w:rsid w:val="00CB44DA"/>
    <w:rsid w:val="00CB7F75"/>
    <w:rsid w:val="00CC2D96"/>
    <w:rsid w:val="00CC4129"/>
    <w:rsid w:val="00CD41A4"/>
    <w:rsid w:val="00CD5D82"/>
    <w:rsid w:val="00CE420F"/>
    <w:rsid w:val="00D034A9"/>
    <w:rsid w:val="00D1651D"/>
    <w:rsid w:val="00D23B23"/>
    <w:rsid w:val="00D2559B"/>
    <w:rsid w:val="00D267B0"/>
    <w:rsid w:val="00D315EB"/>
    <w:rsid w:val="00D333DB"/>
    <w:rsid w:val="00D3440C"/>
    <w:rsid w:val="00D443CF"/>
    <w:rsid w:val="00D44A80"/>
    <w:rsid w:val="00D477B4"/>
    <w:rsid w:val="00D47A80"/>
    <w:rsid w:val="00D503F4"/>
    <w:rsid w:val="00D50A12"/>
    <w:rsid w:val="00D50A2E"/>
    <w:rsid w:val="00D51ADD"/>
    <w:rsid w:val="00D52E2F"/>
    <w:rsid w:val="00D535A0"/>
    <w:rsid w:val="00D60CCD"/>
    <w:rsid w:val="00D7079E"/>
    <w:rsid w:val="00D735CE"/>
    <w:rsid w:val="00D737C8"/>
    <w:rsid w:val="00D74942"/>
    <w:rsid w:val="00D77AD9"/>
    <w:rsid w:val="00D8060E"/>
    <w:rsid w:val="00D80C66"/>
    <w:rsid w:val="00D82391"/>
    <w:rsid w:val="00D937D8"/>
    <w:rsid w:val="00D93F29"/>
    <w:rsid w:val="00D94F67"/>
    <w:rsid w:val="00DA73F9"/>
    <w:rsid w:val="00DC02DE"/>
    <w:rsid w:val="00DC4E69"/>
    <w:rsid w:val="00DC4F30"/>
    <w:rsid w:val="00DC62AC"/>
    <w:rsid w:val="00DC7203"/>
    <w:rsid w:val="00DF02AC"/>
    <w:rsid w:val="00DF1E78"/>
    <w:rsid w:val="00DF3616"/>
    <w:rsid w:val="00DF4880"/>
    <w:rsid w:val="00E05B67"/>
    <w:rsid w:val="00E10800"/>
    <w:rsid w:val="00E13025"/>
    <w:rsid w:val="00E21113"/>
    <w:rsid w:val="00E21692"/>
    <w:rsid w:val="00E22136"/>
    <w:rsid w:val="00E350CF"/>
    <w:rsid w:val="00E35798"/>
    <w:rsid w:val="00E53AED"/>
    <w:rsid w:val="00E57734"/>
    <w:rsid w:val="00E6048D"/>
    <w:rsid w:val="00E61F70"/>
    <w:rsid w:val="00E64259"/>
    <w:rsid w:val="00E67D82"/>
    <w:rsid w:val="00E71B18"/>
    <w:rsid w:val="00E741BB"/>
    <w:rsid w:val="00E7502B"/>
    <w:rsid w:val="00E7605C"/>
    <w:rsid w:val="00E76FDB"/>
    <w:rsid w:val="00E83F17"/>
    <w:rsid w:val="00E86906"/>
    <w:rsid w:val="00E90332"/>
    <w:rsid w:val="00E92F9A"/>
    <w:rsid w:val="00E93BFB"/>
    <w:rsid w:val="00EA253D"/>
    <w:rsid w:val="00EA2AC8"/>
    <w:rsid w:val="00EB0633"/>
    <w:rsid w:val="00EB2273"/>
    <w:rsid w:val="00EB3FCE"/>
    <w:rsid w:val="00EC16B5"/>
    <w:rsid w:val="00EC38FC"/>
    <w:rsid w:val="00ED027E"/>
    <w:rsid w:val="00ED1859"/>
    <w:rsid w:val="00ED27EC"/>
    <w:rsid w:val="00ED38D0"/>
    <w:rsid w:val="00ED770C"/>
    <w:rsid w:val="00EE7DA4"/>
    <w:rsid w:val="00EF334B"/>
    <w:rsid w:val="00EF4370"/>
    <w:rsid w:val="00F12B5A"/>
    <w:rsid w:val="00F1527C"/>
    <w:rsid w:val="00F23B96"/>
    <w:rsid w:val="00F34156"/>
    <w:rsid w:val="00F379E5"/>
    <w:rsid w:val="00F40FFB"/>
    <w:rsid w:val="00F47AE4"/>
    <w:rsid w:val="00F50DE9"/>
    <w:rsid w:val="00F632E7"/>
    <w:rsid w:val="00F633FD"/>
    <w:rsid w:val="00F80260"/>
    <w:rsid w:val="00F80F05"/>
    <w:rsid w:val="00F83389"/>
    <w:rsid w:val="00F8434F"/>
    <w:rsid w:val="00F958D9"/>
    <w:rsid w:val="00FB1E9E"/>
    <w:rsid w:val="00FD10E9"/>
    <w:rsid w:val="00FD4751"/>
    <w:rsid w:val="00FD6F24"/>
    <w:rsid w:val="00FD768C"/>
    <w:rsid w:val="00FE39C3"/>
    <w:rsid w:val="00FF44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90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43BF"/>
    <w:rPr>
      <w:rFonts w:ascii="Times New Roman" w:eastAsia="Calibri" w:hAnsi="Times New Roman" w:cs="Times New Roman"/>
      <w:sz w:val="28"/>
      <w:lang w:val="uk-UA"/>
    </w:rPr>
  </w:style>
  <w:style w:type="paragraph" w:styleId="2">
    <w:name w:val="heading 2"/>
    <w:basedOn w:val="a"/>
    <w:next w:val="a"/>
    <w:link w:val="20"/>
    <w:uiPriority w:val="9"/>
    <w:semiHidden/>
    <w:unhideWhenUsed/>
    <w:qFormat/>
    <w:rsid w:val="003E43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3E43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7">
    <w:name w:val="heading 7"/>
    <w:basedOn w:val="a"/>
    <w:next w:val="a"/>
    <w:link w:val="70"/>
    <w:qFormat/>
    <w:rsid w:val="003E43BF"/>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3E43BF"/>
    <w:rPr>
      <w:rFonts w:ascii="Arial" w:eastAsia="Times New Roman" w:hAnsi="Arial" w:cs="Arial"/>
      <w:b/>
      <w:bCs/>
      <w:sz w:val="28"/>
      <w:szCs w:val="28"/>
      <w:lang w:val="uk-UA" w:eastAsia="ru-RU"/>
    </w:rPr>
  </w:style>
  <w:style w:type="paragraph" w:styleId="a3">
    <w:name w:val="Body Text"/>
    <w:basedOn w:val="a"/>
    <w:link w:val="a4"/>
    <w:unhideWhenUsed/>
    <w:rsid w:val="003E43BF"/>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3E43BF"/>
    <w:rPr>
      <w:rFonts w:ascii="Arial" w:eastAsia="Times New Roman" w:hAnsi="Arial" w:cs="Arial"/>
      <w:sz w:val="28"/>
      <w:szCs w:val="28"/>
      <w:lang w:val="uk-UA" w:eastAsia="ru-RU"/>
    </w:rPr>
  </w:style>
  <w:style w:type="paragraph" w:styleId="a5">
    <w:name w:val="header"/>
    <w:basedOn w:val="a"/>
    <w:link w:val="a6"/>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3E43BF"/>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3E43BF"/>
    <w:rPr>
      <w:rFonts w:ascii="Times New Roman" w:eastAsia="SimSun" w:hAnsi="Times New Roman" w:cs="Times New Roman"/>
      <w:sz w:val="24"/>
      <w:szCs w:val="24"/>
      <w:lang w:val="uk-UA" w:eastAsia="zh-CN"/>
    </w:rPr>
  </w:style>
  <w:style w:type="character" w:styleId="a9">
    <w:name w:val="page number"/>
    <w:rsid w:val="003E43BF"/>
  </w:style>
  <w:style w:type="character" w:customStyle="1" w:styleId="20">
    <w:name w:val="Заголовок 2 Знак"/>
    <w:basedOn w:val="a0"/>
    <w:link w:val="2"/>
    <w:uiPriority w:val="9"/>
    <w:semiHidden/>
    <w:rsid w:val="003E43BF"/>
    <w:rPr>
      <w:rFonts w:asciiTheme="majorHAnsi" w:eastAsiaTheme="majorEastAsia" w:hAnsiTheme="majorHAnsi" w:cstheme="majorBidi"/>
      <w:color w:val="2F5496" w:themeColor="accent1" w:themeShade="BF"/>
      <w:sz w:val="26"/>
      <w:szCs w:val="26"/>
      <w:lang w:val="uk-UA"/>
    </w:rPr>
  </w:style>
  <w:style w:type="character" w:customStyle="1" w:styleId="30">
    <w:name w:val="Заголовок 3 Знак"/>
    <w:basedOn w:val="a0"/>
    <w:link w:val="3"/>
    <w:rsid w:val="003E43BF"/>
    <w:rPr>
      <w:rFonts w:asciiTheme="majorHAnsi" w:eastAsiaTheme="majorEastAsia" w:hAnsiTheme="majorHAnsi" w:cstheme="majorBidi"/>
      <w:color w:val="1F3763" w:themeColor="accent1" w:themeShade="7F"/>
      <w:sz w:val="24"/>
      <w:szCs w:val="24"/>
      <w:lang w:val="uk-UA"/>
    </w:rPr>
  </w:style>
  <w:style w:type="character" w:customStyle="1" w:styleId="rvts0">
    <w:name w:val="rvts0"/>
    <w:rsid w:val="003E43BF"/>
  </w:style>
  <w:style w:type="paragraph" w:styleId="HTML">
    <w:name w:val="HTML Preformatted"/>
    <w:basedOn w:val="a"/>
    <w:link w:val="HTML0"/>
    <w:uiPriority w:val="99"/>
    <w:rsid w:val="00336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val="ru-RU" w:eastAsia="ru-RU"/>
    </w:rPr>
  </w:style>
  <w:style w:type="character" w:customStyle="1" w:styleId="HTML0">
    <w:name w:val="Стандартний HTML Знак"/>
    <w:basedOn w:val="a0"/>
    <w:link w:val="HTML"/>
    <w:uiPriority w:val="99"/>
    <w:rsid w:val="00336873"/>
    <w:rPr>
      <w:rFonts w:ascii="Courier New" w:eastAsia="Times New Roman" w:hAnsi="Courier New" w:cs="Courier New"/>
      <w:color w:val="000000"/>
      <w:sz w:val="21"/>
      <w:szCs w:val="21"/>
      <w:lang w:val="ru-RU" w:eastAsia="ru-RU"/>
    </w:rPr>
  </w:style>
  <w:style w:type="paragraph" w:customStyle="1" w:styleId="Aa">
    <w:name w:val="Текстовый блок A"/>
    <w:rsid w:val="000A762C"/>
    <w:pPr>
      <w:pBdr>
        <w:top w:val="nil"/>
        <w:left w:val="nil"/>
        <w:bottom w:val="nil"/>
        <w:right w:val="nil"/>
        <w:between w:val="nil"/>
        <w:bar w:val="nil"/>
      </w:pBdr>
      <w:spacing w:after="200" w:line="276" w:lineRule="auto"/>
    </w:pPr>
    <w:rPr>
      <w:rFonts w:ascii="Helvetica" w:eastAsia="Arial Unicode MS" w:hAnsi="Helvetica" w:cs="Arial Unicode MS"/>
      <w:color w:val="000000"/>
      <w:u w:color="000000"/>
      <w:bdr w:val="nil"/>
      <w:lang w:val="ru-RU" w:eastAsia="uk-UA"/>
    </w:rPr>
  </w:style>
  <w:style w:type="numbering" w:customStyle="1" w:styleId="8">
    <w:name w:val="Импортированный стиль 8"/>
    <w:rsid w:val="007A6A7B"/>
    <w:pPr>
      <w:numPr>
        <w:numId w:val="1"/>
      </w:numPr>
    </w:pPr>
  </w:style>
  <w:style w:type="paragraph" w:styleId="ab">
    <w:name w:val="List Paragraph"/>
    <w:basedOn w:val="a"/>
    <w:uiPriority w:val="34"/>
    <w:qFormat/>
    <w:rsid w:val="007A6A7B"/>
    <w:pPr>
      <w:ind w:left="720"/>
      <w:contextualSpacing/>
    </w:pPr>
  </w:style>
  <w:style w:type="character" w:styleId="ac">
    <w:name w:val="Hyperlink"/>
    <w:basedOn w:val="a0"/>
    <w:uiPriority w:val="99"/>
    <w:unhideWhenUsed/>
    <w:rsid w:val="00981199"/>
    <w:rPr>
      <w:color w:val="0000FF"/>
      <w:u w:val="single"/>
    </w:rPr>
  </w:style>
  <w:style w:type="paragraph" w:customStyle="1" w:styleId="rvps2">
    <w:name w:val="rvps2"/>
    <w:basedOn w:val="a"/>
    <w:rsid w:val="00E7605C"/>
    <w:pPr>
      <w:spacing w:before="100" w:beforeAutospacing="1" w:after="100" w:afterAutospacing="1" w:line="240" w:lineRule="auto"/>
    </w:pPr>
    <w:rPr>
      <w:rFonts w:eastAsia="Times New Roman"/>
      <w:sz w:val="24"/>
      <w:szCs w:val="24"/>
      <w:lang w:val="ru-RU" w:eastAsia="ru-RU"/>
    </w:rPr>
  </w:style>
  <w:style w:type="paragraph" w:styleId="ad">
    <w:name w:val="Normal (Web)"/>
    <w:basedOn w:val="a"/>
    <w:uiPriority w:val="99"/>
    <w:unhideWhenUsed/>
    <w:rsid w:val="00A31D4E"/>
    <w:pPr>
      <w:spacing w:before="100" w:beforeAutospacing="1" w:after="100" w:afterAutospacing="1" w:line="240" w:lineRule="auto"/>
    </w:pPr>
    <w:rPr>
      <w:rFonts w:eastAsia="Times New Roman"/>
      <w:sz w:val="24"/>
      <w:szCs w:val="24"/>
      <w:lang w:val="en-US"/>
    </w:rPr>
  </w:style>
  <w:style w:type="character" w:customStyle="1" w:styleId="rvts9">
    <w:name w:val="rvts9"/>
    <w:basedOn w:val="a0"/>
    <w:rsid w:val="00A31D4E"/>
  </w:style>
  <w:style w:type="character" w:customStyle="1" w:styleId="rvts23">
    <w:name w:val="rvts23"/>
    <w:basedOn w:val="a0"/>
    <w:rsid w:val="005F1E89"/>
  </w:style>
  <w:style w:type="character" w:customStyle="1" w:styleId="rvts15">
    <w:name w:val="rvts15"/>
    <w:basedOn w:val="a0"/>
    <w:rsid w:val="00D74942"/>
  </w:style>
  <w:style w:type="character" w:styleId="ae">
    <w:name w:val="Emphasis"/>
    <w:basedOn w:val="a0"/>
    <w:uiPriority w:val="20"/>
    <w:qFormat/>
    <w:rsid w:val="00A9496E"/>
    <w:rPr>
      <w:i/>
      <w:iCs/>
    </w:rPr>
  </w:style>
  <w:style w:type="character" w:customStyle="1" w:styleId="rvts46">
    <w:name w:val="rvts46"/>
    <w:basedOn w:val="a0"/>
    <w:rsid w:val="00A9496E"/>
  </w:style>
  <w:style w:type="paragraph" w:styleId="af">
    <w:name w:val="Balloon Text"/>
    <w:basedOn w:val="a"/>
    <w:link w:val="af0"/>
    <w:uiPriority w:val="99"/>
    <w:semiHidden/>
    <w:unhideWhenUsed/>
    <w:rsid w:val="0019159A"/>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19159A"/>
    <w:rPr>
      <w:rFonts w:ascii="Segoe UI" w:eastAsia="Calibri" w:hAnsi="Segoe UI" w:cs="Segoe UI"/>
      <w:sz w:val="18"/>
      <w:szCs w:val="18"/>
      <w:lang w:val="uk-UA"/>
    </w:rPr>
  </w:style>
  <w:style w:type="character" w:customStyle="1" w:styleId="s39">
    <w:name w:val="s39"/>
    <w:basedOn w:val="a0"/>
    <w:rsid w:val="0008503D"/>
  </w:style>
  <w:style w:type="character" w:customStyle="1" w:styleId="s55">
    <w:name w:val="s55"/>
    <w:basedOn w:val="a0"/>
    <w:rsid w:val="0008503D"/>
  </w:style>
  <w:style w:type="character" w:customStyle="1" w:styleId="s58">
    <w:name w:val="s58"/>
    <w:basedOn w:val="a0"/>
    <w:rsid w:val="00D503F4"/>
  </w:style>
  <w:style w:type="paragraph" w:styleId="af1">
    <w:name w:val="footnote text"/>
    <w:basedOn w:val="a"/>
    <w:link w:val="af2"/>
    <w:uiPriority w:val="99"/>
    <w:semiHidden/>
    <w:unhideWhenUsed/>
    <w:rsid w:val="009035D2"/>
    <w:pPr>
      <w:spacing w:after="0" w:line="240" w:lineRule="auto"/>
    </w:pPr>
    <w:rPr>
      <w:sz w:val="20"/>
      <w:szCs w:val="20"/>
    </w:rPr>
  </w:style>
  <w:style w:type="character" w:customStyle="1" w:styleId="af2">
    <w:name w:val="Текст виноски Знак"/>
    <w:basedOn w:val="a0"/>
    <w:link w:val="af1"/>
    <w:uiPriority w:val="99"/>
    <w:semiHidden/>
    <w:rsid w:val="009035D2"/>
    <w:rPr>
      <w:rFonts w:ascii="Times New Roman" w:eastAsia="Calibri" w:hAnsi="Times New Roman" w:cs="Times New Roman"/>
      <w:sz w:val="20"/>
      <w:szCs w:val="20"/>
      <w:lang w:val="uk-UA"/>
    </w:rPr>
  </w:style>
  <w:style w:type="character" w:styleId="af3">
    <w:name w:val="footnote reference"/>
    <w:basedOn w:val="a0"/>
    <w:uiPriority w:val="99"/>
    <w:semiHidden/>
    <w:unhideWhenUsed/>
    <w:rsid w:val="009035D2"/>
    <w:rPr>
      <w:vertAlign w:val="superscript"/>
    </w:rPr>
  </w:style>
  <w:style w:type="paragraph" w:styleId="21">
    <w:name w:val="Body Text 2"/>
    <w:basedOn w:val="a"/>
    <w:link w:val="22"/>
    <w:uiPriority w:val="99"/>
    <w:semiHidden/>
    <w:unhideWhenUsed/>
    <w:rsid w:val="00BE5F5F"/>
    <w:pPr>
      <w:spacing w:after="120" w:line="480" w:lineRule="auto"/>
    </w:pPr>
  </w:style>
  <w:style w:type="character" w:customStyle="1" w:styleId="22">
    <w:name w:val="Основний текст 2 Знак"/>
    <w:basedOn w:val="a0"/>
    <w:link w:val="21"/>
    <w:uiPriority w:val="99"/>
    <w:semiHidden/>
    <w:rsid w:val="00BE5F5F"/>
    <w:rPr>
      <w:rFonts w:ascii="Times New Roman" w:eastAsia="Calibri" w:hAnsi="Times New Roman" w:cs="Times New Roman"/>
      <w:sz w:val="28"/>
      <w:lang w:val="uk-UA"/>
    </w:rPr>
  </w:style>
  <w:style w:type="character" w:styleId="af4">
    <w:name w:val="FollowedHyperlink"/>
    <w:basedOn w:val="a0"/>
    <w:uiPriority w:val="99"/>
    <w:semiHidden/>
    <w:unhideWhenUsed/>
    <w:rsid w:val="0041166D"/>
    <w:rPr>
      <w:color w:val="954F72" w:themeColor="followedHyperlink"/>
      <w:u w:val="single"/>
    </w:rPr>
  </w:style>
  <w:style w:type="character" w:customStyle="1" w:styleId="rvts37">
    <w:name w:val="rvts37"/>
    <w:basedOn w:val="a0"/>
    <w:rsid w:val="00B2385A"/>
  </w:style>
  <w:style w:type="paragraph" w:customStyle="1" w:styleId="1">
    <w:name w:val="Обычный1"/>
    <w:rsid w:val="00D60CCD"/>
    <w:pPr>
      <w:spacing w:after="0" w:line="276" w:lineRule="auto"/>
    </w:pPr>
    <w:rPr>
      <w:rFonts w:ascii="Arial" w:eastAsia="Arial" w:hAnsi="Arial" w:cs="Arial"/>
      <w:lang w:val="uk-UA" w:eastAsia="uk-UA"/>
    </w:rPr>
  </w:style>
  <w:style w:type="character" w:customStyle="1" w:styleId="10">
    <w:name w:val="Верхний колонтитул Знак1"/>
    <w:basedOn w:val="a0"/>
    <w:uiPriority w:val="99"/>
    <w:semiHidden/>
    <w:rsid w:val="005F7FB2"/>
  </w:style>
  <w:style w:type="character" w:customStyle="1" w:styleId="af5">
    <w:name w:val="Назва Знак"/>
    <w:basedOn w:val="a0"/>
    <w:link w:val="af6"/>
    <w:uiPriority w:val="99"/>
    <w:rsid w:val="0053186D"/>
    <w:rPr>
      <w:rFonts w:ascii="Times New Roman" w:eastAsia="Times New Roman" w:hAnsi="Times New Roman" w:cs="Times New Roman"/>
      <w:sz w:val="28"/>
      <w:szCs w:val="28"/>
      <w:lang w:val="uk-UA" w:eastAsia="ru-RU"/>
    </w:rPr>
  </w:style>
  <w:style w:type="paragraph" w:styleId="af6">
    <w:name w:val="Title"/>
    <w:basedOn w:val="a"/>
    <w:link w:val="af5"/>
    <w:uiPriority w:val="99"/>
    <w:qFormat/>
    <w:rsid w:val="0053186D"/>
    <w:pPr>
      <w:autoSpaceDE w:val="0"/>
      <w:autoSpaceDN w:val="0"/>
      <w:spacing w:after="0" w:line="240" w:lineRule="auto"/>
      <w:ind w:firstLine="709"/>
      <w:jc w:val="center"/>
    </w:pPr>
    <w:rPr>
      <w:rFonts w:eastAsia="Times New Roman"/>
      <w:szCs w:val="28"/>
      <w:lang w:eastAsia="ru-RU"/>
    </w:rPr>
  </w:style>
  <w:style w:type="character" w:customStyle="1" w:styleId="11">
    <w:name w:val="Заголовок Знак1"/>
    <w:basedOn w:val="a0"/>
    <w:uiPriority w:val="10"/>
    <w:rsid w:val="0053186D"/>
    <w:rPr>
      <w:rFonts w:asciiTheme="majorHAnsi" w:eastAsiaTheme="majorEastAsia" w:hAnsiTheme="majorHAnsi" w:cstheme="majorBidi"/>
      <w:spacing w:val="-10"/>
      <w:kern w:val="28"/>
      <w:sz w:val="56"/>
      <w:szCs w:val="5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666897">
      <w:bodyDiv w:val="1"/>
      <w:marLeft w:val="0"/>
      <w:marRight w:val="0"/>
      <w:marTop w:val="0"/>
      <w:marBottom w:val="0"/>
      <w:divBdr>
        <w:top w:val="none" w:sz="0" w:space="0" w:color="auto"/>
        <w:left w:val="none" w:sz="0" w:space="0" w:color="auto"/>
        <w:bottom w:val="none" w:sz="0" w:space="0" w:color="auto"/>
        <w:right w:val="none" w:sz="0" w:space="0" w:color="auto"/>
      </w:divBdr>
    </w:div>
    <w:div w:id="220292357">
      <w:bodyDiv w:val="1"/>
      <w:marLeft w:val="0"/>
      <w:marRight w:val="0"/>
      <w:marTop w:val="0"/>
      <w:marBottom w:val="0"/>
      <w:divBdr>
        <w:top w:val="none" w:sz="0" w:space="0" w:color="auto"/>
        <w:left w:val="none" w:sz="0" w:space="0" w:color="auto"/>
        <w:bottom w:val="none" w:sz="0" w:space="0" w:color="auto"/>
        <w:right w:val="none" w:sz="0" w:space="0" w:color="auto"/>
      </w:divBdr>
    </w:div>
    <w:div w:id="308675486">
      <w:bodyDiv w:val="1"/>
      <w:marLeft w:val="0"/>
      <w:marRight w:val="0"/>
      <w:marTop w:val="0"/>
      <w:marBottom w:val="0"/>
      <w:divBdr>
        <w:top w:val="none" w:sz="0" w:space="0" w:color="auto"/>
        <w:left w:val="none" w:sz="0" w:space="0" w:color="auto"/>
        <w:bottom w:val="none" w:sz="0" w:space="0" w:color="auto"/>
        <w:right w:val="none" w:sz="0" w:space="0" w:color="auto"/>
      </w:divBdr>
    </w:div>
    <w:div w:id="309671651">
      <w:bodyDiv w:val="1"/>
      <w:marLeft w:val="0"/>
      <w:marRight w:val="0"/>
      <w:marTop w:val="0"/>
      <w:marBottom w:val="0"/>
      <w:divBdr>
        <w:top w:val="none" w:sz="0" w:space="0" w:color="auto"/>
        <w:left w:val="none" w:sz="0" w:space="0" w:color="auto"/>
        <w:bottom w:val="none" w:sz="0" w:space="0" w:color="auto"/>
        <w:right w:val="none" w:sz="0" w:space="0" w:color="auto"/>
      </w:divBdr>
    </w:div>
    <w:div w:id="347484819">
      <w:bodyDiv w:val="1"/>
      <w:marLeft w:val="0"/>
      <w:marRight w:val="0"/>
      <w:marTop w:val="0"/>
      <w:marBottom w:val="0"/>
      <w:divBdr>
        <w:top w:val="none" w:sz="0" w:space="0" w:color="auto"/>
        <w:left w:val="none" w:sz="0" w:space="0" w:color="auto"/>
        <w:bottom w:val="none" w:sz="0" w:space="0" w:color="auto"/>
        <w:right w:val="none" w:sz="0" w:space="0" w:color="auto"/>
      </w:divBdr>
    </w:div>
    <w:div w:id="463620338">
      <w:bodyDiv w:val="1"/>
      <w:marLeft w:val="0"/>
      <w:marRight w:val="0"/>
      <w:marTop w:val="0"/>
      <w:marBottom w:val="0"/>
      <w:divBdr>
        <w:top w:val="none" w:sz="0" w:space="0" w:color="auto"/>
        <w:left w:val="none" w:sz="0" w:space="0" w:color="auto"/>
        <w:bottom w:val="none" w:sz="0" w:space="0" w:color="auto"/>
        <w:right w:val="none" w:sz="0" w:space="0" w:color="auto"/>
      </w:divBdr>
    </w:div>
    <w:div w:id="471943676">
      <w:bodyDiv w:val="1"/>
      <w:marLeft w:val="0"/>
      <w:marRight w:val="0"/>
      <w:marTop w:val="0"/>
      <w:marBottom w:val="0"/>
      <w:divBdr>
        <w:top w:val="none" w:sz="0" w:space="0" w:color="auto"/>
        <w:left w:val="none" w:sz="0" w:space="0" w:color="auto"/>
        <w:bottom w:val="none" w:sz="0" w:space="0" w:color="auto"/>
        <w:right w:val="none" w:sz="0" w:space="0" w:color="auto"/>
      </w:divBdr>
    </w:div>
    <w:div w:id="584151532">
      <w:bodyDiv w:val="1"/>
      <w:marLeft w:val="0"/>
      <w:marRight w:val="0"/>
      <w:marTop w:val="0"/>
      <w:marBottom w:val="0"/>
      <w:divBdr>
        <w:top w:val="none" w:sz="0" w:space="0" w:color="auto"/>
        <w:left w:val="none" w:sz="0" w:space="0" w:color="auto"/>
        <w:bottom w:val="none" w:sz="0" w:space="0" w:color="auto"/>
        <w:right w:val="none" w:sz="0" w:space="0" w:color="auto"/>
      </w:divBdr>
    </w:div>
    <w:div w:id="620185928">
      <w:bodyDiv w:val="1"/>
      <w:marLeft w:val="0"/>
      <w:marRight w:val="0"/>
      <w:marTop w:val="0"/>
      <w:marBottom w:val="0"/>
      <w:divBdr>
        <w:top w:val="none" w:sz="0" w:space="0" w:color="auto"/>
        <w:left w:val="none" w:sz="0" w:space="0" w:color="auto"/>
        <w:bottom w:val="none" w:sz="0" w:space="0" w:color="auto"/>
        <w:right w:val="none" w:sz="0" w:space="0" w:color="auto"/>
      </w:divBdr>
    </w:div>
    <w:div w:id="634213833">
      <w:bodyDiv w:val="1"/>
      <w:marLeft w:val="0"/>
      <w:marRight w:val="0"/>
      <w:marTop w:val="0"/>
      <w:marBottom w:val="0"/>
      <w:divBdr>
        <w:top w:val="none" w:sz="0" w:space="0" w:color="auto"/>
        <w:left w:val="none" w:sz="0" w:space="0" w:color="auto"/>
        <w:bottom w:val="none" w:sz="0" w:space="0" w:color="auto"/>
        <w:right w:val="none" w:sz="0" w:space="0" w:color="auto"/>
      </w:divBdr>
    </w:div>
    <w:div w:id="687755284">
      <w:bodyDiv w:val="1"/>
      <w:marLeft w:val="0"/>
      <w:marRight w:val="0"/>
      <w:marTop w:val="0"/>
      <w:marBottom w:val="0"/>
      <w:divBdr>
        <w:top w:val="none" w:sz="0" w:space="0" w:color="auto"/>
        <w:left w:val="none" w:sz="0" w:space="0" w:color="auto"/>
        <w:bottom w:val="none" w:sz="0" w:space="0" w:color="auto"/>
        <w:right w:val="none" w:sz="0" w:space="0" w:color="auto"/>
      </w:divBdr>
    </w:div>
    <w:div w:id="699401851">
      <w:bodyDiv w:val="1"/>
      <w:marLeft w:val="0"/>
      <w:marRight w:val="0"/>
      <w:marTop w:val="0"/>
      <w:marBottom w:val="0"/>
      <w:divBdr>
        <w:top w:val="none" w:sz="0" w:space="0" w:color="auto"/>
        <w:left w:val="none" w:sz="0" w:space="0" w:color="auto"/>
        <w:bottom w:val="none" w:sz="0" w:space="0" w:color="auto"/>
        <w:right w:val="none" w:sz="0" w:space="0" w:color="auto"/>
      </w:divBdr>
    </w:div>
    <w:div w:id="809519828">
      <w:bodyDiv w:val="1"/>
      <w:marLeft w:val="0"/>
      <w:marRight w:val="0"/>
      <w:marTop w:val="0"/>
      <w:marBottom w:val="0"/>
      <w:divBdr>
        <w:top w:val="none" w:sz="0" w:space="0" w:color="auto"/>
        <w:left w:val="none" w:sz="0" w:space="0" w:color="auto"/>
        <w:bottom w:val="none" w:sz="0" w:space="0" w:color="auto"/>
        <w:right w:val="none" w:sz="0" w:space="0" w:color="auto"/>
      </w:divBdr>
    </w:div>
    <w:div w:id="827984389">
      <w:bodyDiv w:val="1"/>
      <w:marLeft w:val="0"/>
      <w:marRight w:val="0"/>
      <w:marTop w:val="0"/>
      <w:marBottom w:val="0"/>
      <w:divBdr>
        <w:top w:val="none" w:sz="0" w:space="0" w:color="auto"/>
        <w:left w:val="none" w:sz="0" w:space="0" w:color="auto"/>
        <w:bottom w:val="none" w:sz="0" w:space="0" w:color="auto"/>
        <w:right w:val="none" w:sz="0" w:space="0" w:color="auto"/>
      </w:divBdr>
    </w:div>
    <w:div w:id="886337288">
      <w:bodyDiv w:val="1"/>
      <w:marLeft w:val="0"/>
      <w:marRight w:val="0"/>
      <w:marTop w:val="0"/>
      <w:marBottom w:val="0"/>
      <w:divBdr>
        <w:top w:val="none" w:sz="0" w:space="0" w:color="auto"/>
        <w:left w:val="none" w:sz="0" w:space="0" w:color="auto"/>
        <w:bottom w:val="none" w:sz="0" w:space="0" w:color="auto"/>
        <w:right w:val="none" w:sz="0" w:space="0" w:color="auto"/>
      </w:divBdr>
    </w:div>
    <w:div w:id="928928665">
      <w:bodyDiv w:val="1"/>
      <w:marLeft w:val="0"/>
      <w:marRight w:val="0"/>
      <w:marTop w:val="0"/>
      <w:marBottom w:val="0"/>
      <w:divBdr>
        <w:top w:val="none" w:sz="0" w:space="0" w:color="auto"/>
        <w:left w:val="none" w:sz="0" w:space="0" w:color="auto"/>
        <w:bottom w:val="none" w:sz="0" w:space="0" w:color="auto"/>
        <w:right w:val="none" w:sz="0" w:space="0" w:color="auto"/>
      </w:divBdr>
    </w:div>
    <w:div w:id="944924835">
      <w:bodyDiv w:val="1"/>
      <w:marLeft w:val="0"/>
      <w:marRight w:val="0"/>
      <w:marTop w:val="0"/>
      <w:marBottom w:val="0"/>
      <w:divBdr>
        <w:top w:val="none" w:sz="0" w:space="0" w:color="auto"/>
        <w:left w:val="none" w:sz="0" w:space="0" w:color="auto"/>
        <w:bottom w:val="none" w:sz="0" w:space="0" w:color="auto"/>
        <w:right w:val="none" w:sz="0" w:space="0" w:color="auto"/>
      </w:divBdr>
    </w:div>
    <w:div w:id="1102914180">
      <w:bodyDiv w:val="1"/>
      <w:marLeft w:val="0"/>
      <w:marRight w:val="0"/>
      <w:marTop w:val="0"/>
      <w:marBottom w:val="0"/>
      <w:divBdr>
        <w:top w:val="none" w:sz="0" w:space="0" w:color="auto"/>
        <w:left w:val="none" w:sz="0" w:space="0" w:color="auto"/>
        <w:bottom w:val="none" w:sz="0" w:space="0" w:color="auto"/>
        <w:right w:val="none" w:sz="0" w:space="0" w:color="auto"/>
      </w:divBdr>
    </w:div>
    <w:div w:id="1146509713">
      <w:bodyDiv w:val="1"/>
      <w:marLeft w:val="0"/>
      <w:marRight w:val="0"/>
      <w:marTop w:val="0"/>
      <w:marBottom w:val="0"/>
      <w:divBdr>
        <w:top w:val="none" w:sz="0" w:space="0" w:color="auto"/>
        <w:left w:val="none" w:sz="0" w:space="0" w:color="auto"/>
        <w:bottom w:val="none" w:sz="0" w:space="0" w:color="auto"/>
        <w:right w:val="none" w:sz="0" w:space="0" w:color="auto"/>
      </w:divBdr>
    </w:div>
    <w:div w:id="1150057192">
      <w:bodyDiv w:val="1"/>
      <w:marLeft w:val="0"/>
      <w:marRight w:val="0"/>
      <w:marTop w:val="0"/>
      <w:marBottom w:val="0"/>
      <w:divBdr>
        <w:top w:val="none" w:sz="0" w:space="0" w:color="auto"/>
        <w:left w:val="none" w:sz="0" w:space="0" w:color="auto"/>
        <w:bottom w:val="none" w:sz="0" w:space="0" w:color="auto"/>
        <w:right w:val="none" w:sz="0" w:space="0" w:color="auto"/>
      </w:divBdr>
    </w:div>
    <w:div w:id="1175607203">
      <w:bodyDiv w:val="1"/>
      <w:marLeft w:val="0"/>
      <w:marRight w:val="0"/>
      <w:marTop w:val="0"/>
      <w:marBottom w:val="0"/>
      <w:divBdr>
        <w:top w:val="none" w:sz="0" w:space="0" w:color="auto"/>
        <w:left w:val="none" w:sz="0" w:space="0" w:color="auto"/>
        <w:bottom w:val="none" w:sz="0" w:space="0" w:color="auto"/>
        <w:right w:val="none" w:sz="0" w:space="0" w:color="auto"/>
      </w:divBdr>
    </w:div>
    <w:div w:id="1179539497">
      <w:bodyDiv w:val="1"/>
      <w:marLeft w:val="0"/>
      <w:marRight w:val="0"/>
      <w:marTop w:val="0"/>
      <w:marBottom w:val="0"/>
      <w:divBdr>
        <w:top w:val="none" w:sz="0" w:space="0" w:color="auto"/>
        <w:left w:val="none" w:sz="0" w:space="0" w:color="auto"/>
        <w:bottom w:val="none" w:sz="0" w:space="0" w:color="auto"/>
        <w:right w:val="none" w:sz="0" w:space="0" w:color="auto"/>
      </w:divBdr>
    </w:div>
    <w:div w:id="1181581306">
      <w:bodyDiv w:val="1"/>
      <w:marLeft w:val="0"/>
      <w:marRight w:val="0"/>
      <w:marTop w:val="0"/>
      <w:marBottom w:val="0"/>
      <w:divBdr>
        <w:top w:val="none" w:sz="0" w:space="0" w:color="auto"/>
        <w:left w:val="none" w:sz="0" w:space="0" w:color="auto"/>
        <w:bottom w:val="none" w:sz="0" w:space="0" w:color="auto"/>
        <w:right w:val="none" w:sz="0" w:space="0" w:color="auto"/>
      </w:divBdr>
    </w:div>
    <w:div w:id="1198355091">
      <w:bodyDiv w:val="1"/>
      <w:marLeft w:val="0"/>
      <w:marRight w:val="0"/>
      <w:marTop w:val="0"/>
      <w:marBottom w:val="0"/>
      <w:divBdr>
        <w:top w:val="none" w:sz="0" w:space="0" w:color="auto"/>
        <w:left w:val="none" w:sz="0" w:space="0" w:color="auto"/>
        <w:bottom w:val="none" w:sz="0" w:space="0" w:color="auto"/>
        <w:right w:val="none" w:sz="0" w:space="0" w:color="auto"/>
      </w:divBdr>
    </w:div>
    <w:div w:id="1289431394">
      <w:bodyDiv w:val="1"/>
      <w:marLeft w:val="0"/>
      <w:marRight w:val="0"/>
      <w:marTop w:val="0"/>
      <w:marBottom w:val="0"/>
      <w:divBdr>
        <w:top w:val="none" w:sz="0" w:space="0" w:color="auto"/>
        <w:left w:val="none" w:sz="0" w:space="0" w:color="auto"/>
        <w:bottom w:val="none" w:sz="0" w:space="0" w:color="auto"/>
        <w:right w:val="none" w:sz="0" w:space="0" w:color="auto"/>
      </w:divBdr>
      <w:divsChild>
        <w:div w:id="912012475">
          <w:marLeft w:val="0"/>
          <w:marRight w:val="0"/>
          <w:marTop w:val="0"/>
          <w:marBottom w:val="0"/>
          <w:divBdr>
            <w:top w:val="none" w:sz="0" w:space="0" w:color="auto"/>
            <w:left w:val="none" w:sz="0" w:space="0" w:color="auto"/>
            <w:bottom w:val="none" w:sz="0" w:space="0" w:color="auto"/>
            <w:right w:val="none" w:sz="0" w:space="0" w:color="auto"/>
          </w:divBdr>
        </w:div>
        <w:div w:id="1930307282">
          <w:marLeft w:val="0"/>
          <w:marRight w:val="0"/>
          <w:marTop w:val="0"/>
          <w:marBottom w:val="0"/>
          <w:divBdr>
            <w:top w:val="none" w:sz="0" w:space="0" w:color="auto"/>
            <w:left w:val="none" w:sz="0" w:space="0" w:color="auto"/>
            <w:bottom w:val="none" w:sz="0" w:space="0" w:color="auto"/>
            <w:right w:val="none" w:sz="0" w:space="0" w:color="auto"/>
          </w:divBdr>
        </w:div>
      </w:divsChild>
    </w:div>
    <w:div w:id="1312640304">
      <w:bodyDiv w:val="1"/>
      <w:marLeft w:val="0"/>
      <w:marRight w:val="0"/>
      <w:marTop w:val="0"/>
      <w:marBottom w:val="0"/>
      <w:divBdr>
        <w:top w:val="none" w:sz="0" w:space="0" w:color="auto"/>
        <w:left w:val="none" w:sz="0" w:space="0" w:color="auto"/>
        <w:bottom w:val="none" w:sz="0" w:space="0" w:color="auto"/>
        <w:right w:val="none" w:sz="0" w:space="0" w:color="auto"/>
      </w:divBdr>
    </w:div>
    <w:div w:id="1321688123">
      <w:bodyDiv w:val="1"/>
      <w:marLeft w:val="0"/>
      <w:marRight w:val="0"/>
      <w:marTop w:val="0"/>
      <w:marBottom w:val="0"/>
      <w:divBdr>
        <w:top w:val="none" w:sz="0" w:space="0" w:color="auto"/>
        <w:left w:val="none" w:sz="0" w:space="0" w:color="auto"/>
        <w:bottom w:val="none" w:sz="0" w:space="0" w:color="auto"/>
        <w:right w:val="none" w:sz="0" w:space="0" w:color="auto"/>
      </w:divBdr>
    </w:div>
    <w:div w:id="1330986755">
      <w:bodyDiv w:val="1"/>
      <w:marLeft w:val="0"/>
      <w:marRight w:val="0"/>
      <w:marTop w:val="0"/>
      <w:marBottom w:val="0"/>
      <w:divBdr>
        <w:top w:val="none" w:sz="0" w:space="0" w:color="auto"/>
        <w:left w:val="none" w:sz="0" w:space="0" w:color="auto"/>
        <w:bottom w:val="none" w:sz="0" w:space="0" w:color="auto"/>
        <w:right w:val="none" w:sz="0" w:space="0" w:color="auto"/>
      </w:divBdr>
    </w:div>
    <w:div w:id="1353608402">
      <w:bodyDiv w:val="1"/>
      <w:marLeft w:val="0"/>
      <w:marRight w:val="0"/>
      <w:marTop w:val="0"/>
      <w:marBottom w:val="0"/>
      <w:divBdr>
        <w:top w:val="none" w:sz="0" w:space="0" w:color="auto"/>
        <w:left w:val="none" w:sz="0" w:space="0" w:color="auto"/>
        <w:bottom w:val="none" w:sz="0" w:space="0" w:color="auto"/>
        <w:right w:val="none" w:sz="0" w:space="0" w:color="auto"/>
      </w:divBdr>
    </w:div>
    <w:div w:id="1368525175">
      <w:bodyDiv w:val="1"/>
      <w:marLeft w:val="0"/>
      <w:marRight w:val="0"/>
      <w:marTop w:val="0"/>
      <w:marBottom w:val="0"/>
      <w:divBdr>
        <w:top w:val="none" w:sz="0" w:space="0" w:color="auto"/>
        <w:left w:val="none" w:sz="0" w:space="0" w:color="auto"/>
        <w:bottom w:val="none" w:sz="0" w:space="0" w:color="auto"/>
        <w:right w:val="none" w:sz="0" w:space="0" w:color="auto"/>
      </w:divBdr>
    </w:div>
    <w:div w:id="1399590901">
      <w:bodyDiv w:val="1"/>
      <w:marLeft w:val="0"/>
      <w:marRight w:val="0"/>
      <w:marTop w:val="0"/>
      <w:marBottom w:val="0"/>
      <w:divBdr>
        <w:top w:val="none" w:sz="0" w:space="0" w:color="auto"/>
        <w:left w:val="none" w:sz="0" w:space="0" w:color="auto"/>
        <w:bottom w:val="none" w:sz="0" w:space="0" w:color="auto"/>
        <w:right w:val="none" w:sz="0" w:space="0" w:color="auto"/>
      </w:divBdr>
    </w:div>
    <w:div w:id="1466040817">
      <w:bodyDiv w:val="1"/>
      <w:marLeft w:val="0"/>
      <w:marRight w:val="0"/>
      <w:marTop w:val="0"/>
      <w:marBottom w:val="0"/>
      <w:divBdr>
        <w:top w:val="none" w:sz="0" w:space="0" w:color="auto"/>
        <w:left w:val="none" w:sz="0" w:space="0" w:color="auto"/>
        <w:bottom w:val="none" w:sz="0" w:space="0" w:color="auto"/>
        <w:right w:val="none" w:sz="0" w:space="0" w:color="auto"/>
      </w:divBdr>
    </w:div>
    <w:div w:id="1514759456">
      <w:bodyDiv w:val="1"/>
      <w:marLeft w:val="0"/>
      <w:marRight w:val="0"/>
      <w:marTop w:val="0"/>
      <w:marBottom w:val="0"/>
      <w:divBdr>
        <w:top w:val="none" w:sz="0" w:space="0" w:color="auto"/>
        <w:left w:val="none" w:sz="0" w:space="0" w:color="auto"/>
        <w:bottom w:val="none" w:sz="0" w:space="0" w:color="auto"/>
        <w:right w:val="none" w:sz="0" w:space="0" w:color="auto"/>
      </w:divBdr>
    </w:div>
    <w:div w:id="1522664136">
      <w:bodyDiv w:val="1"/>
      <w:marLeft w:val="0"/>
      <w:marRight w:val="0"/>
      <w:marTop w:val="0"/>
      <w:marBottom w:val="0"/>
      <w:divBdr>
        <w:top w:val="none" w:sz="0" w:space="0" w:color="auto"/>
        <w:left w:val="none" w:sz="0" w:space="0" w:color="auto"/>
        <w:bottom w:val="none" w:sz="0" w:space="0" w:color="auto"/>
        <w:right w:val="none" w:sz="0" w:space="0" w:color="auto"/>
      </w:divBdr>
    </w:div>
    <w:div w:id="1525093986">
      <w:bodyDiv w:val="1"/>
      <w:marLeft w:val="0"/>
      <w:marRight w:val="0"/>
      <w:marTop w:val="0"/>
      <w:marBottom w:val="0"/>
      <w:divBdr>
        <w:top w:val="none" w:sz="0" w:space="0" w:color="auto"/>
        <w:left w:val="none" w:sz="0" w:space="0" w:color="auto"/>
        <w:bottom w:val="none" w:sz="0" w:space="0" w:color="auto"/>
        <w:right w:val="none" w:sz="0" w:space="0" w:color="auto"/>
      </w:divBdr>
    </w:div>
    <w:div w:id="1531144082">
      <w:bodyDiv w:val="1"/>
      <w:marLeft w:val="0"/>
      <w:marRight w:val="0"/>
      <w:marTop w:val="0"/>
      <w:marBottom w:val="0"/>
      <w:divBdr>
        <w:top w:val="none" w:sz="0" w:space="0" w:color="auto"/>
        <w:left w:val="none" w:sz="0" w:space="0" w:color="auto"/>
        <w:bottom w:val="none" w:sz="0" w:space="0" w:color="auto"/>
        <w:right w:val="none" w:sz="0" w:space="0" w:color="auto"/>
      </w:divBdr>
    </w:div>
    <w:div w:id="1535456473">
      <w:bodyDiv w:val="1"/>
      <w:marLeft w:val="0"/>
      <w:marRight w:val="0"/>
      <w:marTop w:val="0"/>
      <w:marBottom w:val="0"/>
      <w:divBdr>
        <w:top w:val="none" w:sz="0" w:space="0" w:color="auto"/>
        <w:left w:val="none" w:sz="0" w:space="0" w:color="auto"/>
        <w:bottom w:val="none" w:sz="0" w:space="0" w:color="auto"/>
        <w:right w:val="none" w:sz="0" w:space="0" w:color="auto"/>
      </w:divBdr>
    </w:div>
    <w:div w:id="1536383899">
      <w:bodyDiv w:val="1"/>
      <w:marLeft w:val="0"/>
      <w:marRight w:val="0"/>
      <w:marTop w:val="0"/>
      <w:marBottom w:val="0"/>
      <w:divBdr>
        <w:top w:val="none" w:sz="0" w:space="0" w:color="auto"/>
        <w:left w:val="none" w:sz="0" w:space="0" w:color="auto"/>
        <w:bottom w:val="none" w:sz="0" w:space="0" w:color="auto"/>
        <w:right w:val="none" w:sz="0" w:space="0" w:color="auto"/>
      </w:divBdr>
    </w:div>
    <w:div w:id="1560822151">
      <w:bodyDiv w:val="1"/>
      <w:marLeft w:val="0"/>
      <w:marRight w:val="0"/>
      <w:marTop w:val="0"/>
      <w:marBottom w:val="0"/>
      <w:divBdr>
        <w:top w:val="none" w:sz="0" w:space="0" w:color="auto"/>
        <w:left w:val="none" w:sz="0" w:space="0" w:color="auto"/>
        <w:bottom w:val="none" w:sz="0" w:space="0" w:color="auto"/>
        <w:right w:val="none" w:sz="0" w:space="0" w:color="auto"/>
      </w:divBdr>
    </w:div>
    <w:div w:id="1591312335">
      <w:bodyDiv w:val="1"/>
      <w:marLeft w:val="0"/>
      <w:marRight w:val="0"/>
      <w:marTop w:val="0"/>
      <w:marBottom w:val="0"/>
      <w:divBdr>
        <w:top w:val="none" w:sz="0" w:space="0" w:color="auto"/>
        <w:left w:val="none" w:sz="0" w:space="0" w:color="auto"/>
        <w:bottom w:val="none" w:sz="0" w:space="0" w:color="auto"/>
        <w:right w:val="none" w:sz="0" w:space="0" w:color="auto"/>
      </w:divBdr>
    </w:div>
    <w:div w:id="1645961295">
      <w:bodyDiv w:val="1"/>
      <w:marLeft w:val="0"/>
      <w:marRight w:val="0"/>
      <w:marTop w:val="0"/>
      <w:marBottom w:val="0"/>
      <w:divBdr>
        <w:top w:val="none" w:sz="0" w:space="0" w:color="auto"/>
        <w:left w:val="none" w:sz="0" w:space="0" w:color="auto"/>
        <w:bottom w:val="none" w:sz="0" w:space="0" w:color="auto"/>
        <w:right w:val="none" w:sz="0" w:space="0" w:color="auto"/>
      </w:divBdr>
    </w:div>
    <w:div w:id="1665008503">
      <w:bodyDiv w:val="1"/>
      <w:marLeft w:val="0"/>
      <w:marRight w:val="0"/>
      <w:marTop w:val="0"/>
      <w:marBottom w:val="0"/>
      <w:divBdr>
        <w:top w:val="none" w:sz="0" w:space="0" w:color="auto"/>
        <w:left w:val="none" w:sz="0" w:space="0" w:color="auto"/>
        <w:bottom w:val="none" w:sz="0" w:space="0" w:color="auto"/>
        <w:right w:val="none" w:sz="0" w:space="0" w:color="auto"/>
      </w:divBdr>
    </w:div>
    <w:div w:id="1678002844">
      <w:bodyDiv w:val="1"/>
      <w:marLeft w:val="0"/>
      <w:marRight w:val="0"/>
      <w:marTop w:val="0"/>
      <w:marBottom w:val="0"/>
      <w:divBdr>
        <w:top w:val="none" w:sz="0" w:space="0" w:color="auto"/>
        <w:left w:val="none" w:sz="0" w:space="0" w:color="auto"/>
        <w:bottom w:val="none" w:sz="0" w:space="0" w:color="auto"/>
        <w:right w:val="none" w:sz="0" w:space="0" w:color="auto"/>
      </w:divBdr>
    </w:div>
    <w:div w:id="1722248588">
      <w:bodyDiv w:val="1"/>
      <w:marLeft w:val="0"/>
      <w:marRight w:val="0"/>
      <w:marTop w:val="0"/>
      <w:marBottom w:val="0"/>
      <w:divBdr>
        <w:top w:val="none" w:sz="0" w:space="0" w:color="auto"/>
        <w:left w:val="none" w:sz="0" w:space="0" w:color="auto"/>
        <w:bottom w:val="none" w:sz="0" w:space="0" w:color="auto"/>
        <w:right w:val="none" w:sz="0" w:space="0" w:color="auto"/>
      </w:divBdr>
    </w:div>
    <w:div w:id="1722365467">
      <w:bodyDiv w:val="1"/>
      <w:marLeft w:val="0"/>
      <w:marRight w:val="0"/>
      <w:marTop w:val="0"/>
      <w:marBottom w:val="0"/>
      <w:divBdr>
        <w:top w:val="none" w:sz="0" w:space="0" w:color="auto"/>
        <w:left w:val="none" w:sz="0" w:space="0" w:color="auto"/>
        <w:bottom w:val="none" w:sz="0" w:space="0" w:color="auto"/>
        <w:right w:val="none" w:sz="0" w:space="0" w:color="auto"/>
      </w:divBdr>
    </w:div>
    <w:div w:id="1727948160">
      <w:bodyDiv w:val="1"/>
      <w:marLeft w:val="0"/>
      <w:marRight w:val="0"/>
      <w:marTop w:val="0"/>
      <w:marBottom w:val="0"/>
      <w:divBdr>
        <w:top w:val="none" w:sz="0" w:space="0" w:color="auto"/>
        <w:left w:val="none" w:sz="0" w:space="0" w:color="auto"/>
        <w:bottom w:val="none" w:sz="0" w:space="0" w:color="auto"/>
        <w:right w:val="none" w:sz="0" w:space="0" w:color="auto"/>
      </w:divBdr>
    </w:div>
    <w:div w:id="1728920015">
      <w:bodyDiv w:val="1"/>
      <w:marLeft w:val="0"/>
      <w:marRight w:val="0"/>
      <w:marTop w:val="0"/>
      <w:marBottom w:val="0"/>
      <w:divBdr>
        <w:top w:val="none" w:sz="0" w:space="0" w:color="auto"/>
        <w:left w:val="none" w:sz="0" w:space="0" w:color="auto"/>
        <w:bottom w:val="none" w:sz="0" w:space="0" w:color="auto"/>
        <w:right w:val="none" w:sz="0" w:space="0" w:color="auto"/>
      </w:divBdr>
    </w:div>
    <w:div w:id="1738554957">
      <w:bodyDiv w:val="1"/>
      <w:marLeft w:val="0"/>
      <w:marRight w:val="0"/>
      <w:marTop w:val="0"/>
      <w:marBottom w:val="0"/>
      <w:divBdr>
        <w:top w:val="none" w:sz="0" w:space="0" w:color="auto"/>
        <w:left w:val="none" w:sz="0" w:space="0" w:color="auto"/>
        <w:bottom w:val="none" w:sz="0" w:space="0" w:color="auto"/>
        <w:right w:val="none" w:sz="0" w:space="0" w:color="auto"/>
      </w:divBdr>
    </w:div>
    <w:div w:id="1742603521">
      <w:bodyDiv w:val="1"/>
      <w:marLeft w:val="0"/>
      <w:marRight w:val="0"/>
      <w:marTop w:val="0"/>
      <w:marBottom w:val="0"/>
      <w:divBdr>
        <w:top w:val="none" w:sz="0" w:space="0" w:color="auto"/>
        <w:left w:val="none" w:sz="0" w:space="0" w:color="auto"/>
        <w:bottom w:val="none" w:sz="0" w:space="0" w:color="auto"/>
        <w:right w:val="none" w:sz="0" w:space="0" w:color="auto"/>
      </w:divBdr>
    </w:div>
    <w:div w:id="1749300826">
      <w:bodyDiv w:val="1"/>
      <w:marLeft w:val="0"/>
      <w:marRight w:val="0"/>
      <w:marTop w:val="0"/>
      <w:marBottom w:val="0"/>
      <w:divBdr>
        <w:top w:val="none" w:sz="0" w:space="0" w:color="auto"/>
        <w:left w:val="none" w:sz="0" w:space="0" w:color="auto"/>
        <w:bottom w:val="none" w:sz="0" w:space="0" w:color="auto"/>
        <w:right w:val="none" w:sz="0" w:space="0" w:color="auto"/>
      </w:divBdr>
    </w:div>
    <w:div w:id="1801339781">
      <w:bodyDiv w:val="1"/>
      <w:marLeft w:val="0"/>
      <w:marRight w:val="0"/>
      <w:marTop w:val="0"/>
      <w:marBottom w:val="0"/>
      <w:divBdr>
        <w:top w:val="none" w:sz="0" w:space="0" w:color="auto"/>
        <w:left w:val="none" w:sz="0" w:space="0" w:color="auto"/>
        <w:bottom w:val="none" w:sz="0" w:space="0" w:color="auto"/>
        <w:right w:val="none" w:sz="0" w:space="0" w:color="auto"/>
      </w:divBdr>
    </w:div>
    <w:div w:id="1838879305">
      <w:bodyDiv w:val="1"/>
      <w:marLeft w:val="0"/>
      <w:marRight w:val="0"/>
      <w:marTop w:val="0"/>
      <w:marBottom w:val="0"/>
      <w:divBdr>
        <w:top w:val="none" w:sz="0" w:space="0" w:color="auto"/>
        <w:left w:val="none" w:sz="0" w:space="0" w:color="auto"/>
        <w:bottom w:val="none" w:sz="0" w:space="0" w:color="auto"/>
        <w:right w:val="none" w:sz="0" w:space="0" w:color="auto"/>
      </w:divBdr>
    </w:div>
    <w:div w:id="1940285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70CBE5-DF24-4187-BC81-4E86AE223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10720</Words>
  <Characters>6111</Characters>
  <Application>Microsoft Office Word</Application>
  <DocSecurity>0</DocSecurity>
  <Lines>50</Lines>
  <Paragraphs>33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2021-06-23T14:16:00Z</dcterms:created>
  <dcterms:modified xsi:type="dcterms:W3CDTF">2021-06-23T14:17:00Z</dcterms:modified>
</cp:coreProperties>
</file>