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F3044" w:rsidRDefault="00BF3044">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p>
    <w:p w14:paraId="00000003" w14:textId="77777777" w:rsidR="00BF3044" w:rsidRDefault="00E333AF">
      <w:pPr>
        <w:shd w:val="clear" w:color="auto" w:fill="FFFFFF"/>
        <w:spacing w:after="0" w:line="240" w:lineRule="auto"/>
        <w:jc w:val="center"/>
        <w:rPr>
          <w:rFonts w:ascii="Times New Roman" w:eastAsia="Times New Roman" w:hAnsi="Times New Roman" w:cs="Times New Roman"/>
          <w:b/>
          <w:sz w:val="28"/>
          <w:szCs w:val="28"/>
        </w:rPr>
      </w:pPr>
      <w:bookmarkStart w:id="1" w:name="_gjdgxs" w:colFirst="0" w:colLast="0"/>
      <w:bookmarkEnd w:id="1"/>
      <w:r>
        <w:rPr>
          <w:rFonts w:ascii="Times New Roman" w:eastAsia="Times New Roman" w:hAnsi="Times New Roman" w:cs="Times New Roman"/>
          <w:b/>
          <w:sz w:val="28"/>
          <w:szCs w:val="28"/>
        </w:rPr>
        <w:t>ПОЯСНЮВАЛЬНА ЗАПИСКА</w:t>
      </w:r>
    </w:p>
    <w:p w14:paraId="00000004" w14:textId="77777777" w:rsidR="00BF3044" w:rsidRDefault="00E333AF">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sz w:val="28"/>
          <w:szCs w:val="28"/>
        </w:rPr>
        <w:t>до проекту Закону України «Про внесення змін до Податкового кодексу України та деяких законодавчих актів України щодо забезпечення збалансованості бюджетних надходжень»</w:t>
      </w:r>
    </w:p>
    <w:p w14:paraId="00000005" w14:textId="77777777" w:rsidR="00BF3044" w:rsidRDefault="00BF3044">
      <w:pPr>
        <w:spacing w:after="0" w:line="240" w:lineRule="auto"/>
        <w:ind w:firstLine="567"/>
        <w:jc w:val="both"/>
        <w:rPr>
          <w:rFonts w:ascii="Times New Roman" w:eastAsia="Times New Roman" w:hAnsi="Times New Roman" w:cs="Times New Roman"/>
          <w:sz w:val="28"/>
          <w:szCs w:val="28"/>
        </w:rPr>
      </w:pPr>
    </w:p>
    <w:p w14:paraId="00000006" w14:textId="77777777" w:rsidR="00BF3044" w:rsidRDefault="00E333AF">
      <w:pPr>
        <w:shd w:val="clear" w:color="auto" w:fill="FFFFFF"/>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Обґрунтування необхідності прийняття акта</w:t>
      </w:r>
    </w:p>
    <w:p w14:paraId="00000007" w14:textId="77777777" w:rsidR="00BF3044" w:rsidRDefault="00E333A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2019 року ставки податків не переглядалися, а ставки акцизного податку на алкогольні напої не переглядалися з 2017 року. </w:t>
      </w:r>
      <w:r>
        <w:rPr>
          <w:rFonts w:ascii="Times New Roman" w:eastAsia="Times New Roman" w:hAnsi="Times New Roman" w:cs="Times New Roman"/>
          <w:sz w:val="28"/>
          <w:szCs w:val="28"/>
        </w:rPr>
        <w:t xml:space="preserve">Також необхідним є перегляд ставок оподаткування, визначених в абсолютних значеннях, з урахуванням індексів споживчих цін, індексів цін виробників промислової продукції з акцизного податку, екологічного податку та рентної плати. </w:t>
      </w:r>
    </w:p>
    <w:p w14:paraId="00000008" w14:textId="77777777" w:rsidR="00BF3044" w:rsidRDefault="00E333A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Окрім того, поточна економічна ситуація вимагає перегляду підходів до справляння окремих податків, як будуть направлені на:</w:t>
      </w:r>
    </w:p>
    <w:p w14:paraId="00000009" w14:textId="77777777" w:rsidR="00BF3044" w:rsidRDefault="00E333A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створення більш ефективних механізмів справляння цих податків;</w:t>
      </w:r>
    </w:p>
    <w:p w14:paraId="0000000A" w14:textId="77777777" w:rsidR="00BF3044" w:rsidRDefault="00E333A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недопущення безпідставного користування податковими пільгами;</w:t>
      </w:r>
    </w:p>
    <w:p w14:paraId="0000000B" w14:textId="77777777" w:rsidR="00BF3044" w:rsidRDefault="00E333A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сприяння підвищенню добровільності сплати податків;</w:t>
      </w:r>
    </w:p>
    <w:p w14:paraId="0000000C" w14:textId="77777777" w:rsidR="00BF3044" w:rsidRDefault="00E333A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створення справедливих умов оподаткування для всіх платників податків;</w:t>
      </w:r>
    </w:p>
    <w:p w14:paraId="0000000D" w14:textId="77777777" w:rsidR="00BF3044" w:rsidRDefault="00E333AF">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забезпечення мобілізації фінансових ресурсів до бюджетів різних рівнів у достатньому обсязі.</w:t>
      </w:r>
    </w:p>
    <w:p w14:paraId="0000000E" w14:textId="53F015BB"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 необхідним є вирішення проблеми тіньової оренди земель та тіньового ринку с/г продукції. Відповідні земельні ділянки здаються в оренду за готівковий розрахунок, при цьому договор</w:t>
      </w:r>
      <w:r w:rsidR="00952C88">
        <w:rPr>
          <w:rFonts w:ascii="Times New Roman" w:eastAsia="Times New Roman" w:hAnsi="Times New Roman" w:cs="Times New Roman"/>
          <w:sz w:val="28"/>
          <w:szCs w:val="28"/>
          <w:lang w:val="en-US"/>
        </w:rPr>
        <w:t>и</w:t>
      </w:r>
      <w:r>
        <w:rPr>
          <w:rFonts w:ascii="Times New Roman" w:eastAsia="Times New Roman" w:hAnsi="Times New Roman" w:cs="Times New Roman"/>
          <w:sz w:val="28"/>
          <w:szCs w:val="28"/>
        </w:rPr>
        <w:t xml:space="preserve"> оренди не оформляються, а відповідні доходи власників ділянки ніде не враховуються, що дозволяє їм претендувати на отримання субсидій та інших видів соціальної допомоги. Більш того, сама обробка землі та оплата праці зайнятих на ній працівників також здійснюється за готівковий розрахунок без сплати податку на доходи фізичних осіб (ПДФО), єдиного соціального внеску (ЄСВ), єдиного податку четвертої групи спрощеної системи оподаткування (або податку на прибуток підприємств), а у випадку, якщо відповідні земельні ділянки належать пільговим категоріям осіб – також без сплати земельного податку. Таким чином і орендодавець, і орендар виявляються не зацікавленими в легальному оформленні своїх правовідносин і легальному веденні сільськогосподарського виробництва. </w:t>
      </w:r>
    </w:p>
    <w:p w14:paraId="0000000F" w14:textId="12935085"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результаті, бюджети всіх рівнів недоотримують податкові надходження, працівники не заробляють стаж, який необхідний для отримання трудової пенсії, страждає соціальна сфера села, а офіційно працюючі сільгоспвиробники втрачають свою конкурентоспроможність на ринку прав оренди по відношенню до "тіньовиків", що веде до розквіту корупції, а також подальшого зростання частки землі, що знаходиться в тіньовий обробці. </w:t>
      </w:r>
    </w:p>
    <w:p w14:paraId="00000010" w14:textId="77777777" w:rsidR="00BF3044" w:rsidRDefault="00BF3044">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color w:val="000000"/>
          <w:sz w:val="28"/>
          <w:szCs w:val="28"/>
        </w:rPr>
      </w:pPr>
    </w:p>
    <w:p w14:paraId="00000011" w14:textId="77777777" w:rsidR="00BF3044" w:rsidRDefault="00E333AF">
      <w:pPr>
        <w:spacing w:after="0" w:line="240" w:lineRule="auto"/>
        <w:ind w:firstLine="567"/>
        <w:rPr>
          <w:rFonts w:ascii="Times New Roman" w:eastAsia="Times New Roman" w:hAnsi="Times New Roman" w:cs="Times New Roman"/>
          <w:b/>
          <w:color w:val="2A2928"/>
          <w:sz w:val="28"/>
          <w:szCs w:val="28"/>
          <w:highlight w:val="white"/>
        </w:rPr>
      </w:pPr>
      <w:r>
        <w:rPr>
          <w:rFonts w:ascii="Times New Roman" w:eastAsia="Times New Roman" w:hAnsi="Times New Roman" w:cs="Times New Roman"/>
          <w:b/>
          <w:color w:val="2A2928"/>
          <w:sz w:val="28"/>
          <w:szCs w:val="28"/>
          <w:highlight w:val="white"/>
        </w:rPr>
        <w:t>2. Цілі та завдання прийняття проекту Закону</w:t>
      </w:r>
    </w:p>
    <w:p w14:paraId="00000012" w14:textId="77777777" w:rsidR="00BF3044" w:rsidRDefault="00E333AF">
      <w:pPr>
        <w:spacing w:after="0" w:line="240" w:lineRule="auto"/>
        <w:ind w:firstLine="720"/>
        <w:jc w:val="both"/>
        <w:rPr>
          <w:rFonts w:ascii="Times New Roman" w:eastAsia="Times New Roman" w:hAnsi="Times New Roman" w:cs="Times New Roman"/>
          <w:color w:val="2A2928"/>
          <w:sz w:val="28"/>
          <w:szCs w:val="28"/>
          <w:highlight w:val="white"/>
        </w:rPr>
      </w:pPr>
      <w:r>
        <w:rPr>
          <w:rFonts w:ascii="Times New Roman" w:eastAsia="Times New Roman" w:hAnsi="Times New Roman" w:cs="Times New Roman"/>
          <w:color w:val="2A2928"/>
          <w:sz w:val="28"/>
          <w:szCs w:val="28"/>
          <w:highlight w:val="white"/>
        </w:rPr>
        <w:lastRenderedPageBreak/>
        <w:t>Метою проекту є забезпечення збалансованості бюджетних надходжень шляхом підвищення ефективності використання економічних ресурсів країни, а також усунення прогалин чинного законодавства, унеможливлення ухилення від сплати податків і встановлення податкового навантаження на справедливому, економічно обґрунтованому рівні.</w:t>
      </w:r>
    </w:p>
    <w:p w14:paraId="00000013" w14:textId="77777777" w:rsidR="00BF3044" w:rsidRDefault="00BF3044">
      <w:pPr>
        <w:spacing w:after="0" w:line="240" w:lineRule="auto"/>
        <w:ind w:firstLine="567"/>
        <w:jc w:val="both"/>
        <w:rPr>
          <w:rFonts w:ascii="Times New Roman" w:eastAsia="Times New Roman" w:hAnsi="Times New Roman" w:cs="Times New Roman"/>
          <w:color w:val="000000"/>
          <w:sz w:val="28"/>
          <w:szCs w:val="28"/>
        </w:rPr>
      </w:pPr>
    </w:p>
    <w:p w14:paraId="00000014" w14:textId="77777777" w:rsidR="00BF3044" w:rsidRDefault="00E333AF">
      <w:pPr>
        <w:shd w:val="clear" w:color="auto" w:fill="FFFFFF"/>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 Загальна характеристика і основні положення проекту Закону</w:t>
      </w:r>
    </w:p>
    <w:p w14:paraId="00000015"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Законопроектом вносяться зміни до Податкового кодексу України та інших законодавчих актів, якими пропонується:</w:t>
      </w:r>
    </w:p>
    <w:p w14:paraId="00000016"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в частині індексації ставок податків;</w:t>
      </w:r>
    </w:p>
    <w:p w14:paraId="00000017" w14:textId="77777777" w:rsidR="00BF3044" w:rsidRDefault="00E333AF">
      <w:pPr>
        <w:numPr>
          <w:ilvl w:val="0"/>
          <w:numId w:val="2"/>
        </w:numPr>
        <w:pBdr>
          <w:top w:val="nil"/>
          <w:left w:val="nil"/>
          <w:bottom w:val="nil"/>
          <w:right w:val="nil"/>
          <w:between w:val="nil"/>
        </w:pBdr>
        <w:spacing w:after="0" w:line="240" w:lineRule="auto"/>
        <w:ind w:left="0" w:firstLine="567"/>
        <w:jc w:val="both"/>
        <w:rPr>
          <w:color w:val="000000"/>
          <w:sz w:val="28"/>
          <w:szCs w:val="28"/>
        </w:rPr>
      </w:pPr>
      <w:r>
        <w:rPr>
          <w:rFonts w:ascii="Times New Roman" w:eastAsia="Times New Roman" w:hAnsi="Times New Roman" w:cs="Times New Roman"/>
          <w:color w:val="000000"/>
          <w:sz w:val="28"/>
          <w:szCs w:val="28"/>
        </w:rPr>
        <w:t>ставки акцизного податку на алкогольні напої, екологічного податку (крім ставок за викиди двоокису вуглецю в атмосферне повітря стаціонарними джерелами забруднення, за скиди забруднюючих речовин у водні об’єкти) та рентної плати за користування радіочастотним ресурсом України з урахуванням індексу споживчих цін за 2020 рік збільшити на 5 %;</w:t>
      </w:r>
    </w:p>
    <w:p w14:paraId="00000018" w14:textId="77777777" w:rsidR="00BF3044" w:rsidRDefault="00E333AF">
      <w:pPr>
        <w:numPr>
          <w:ilvl w:val="0"/>
          <w:numId w:val="2"/>
        </w:numPr>
        <w:pBdr>
          <w:top w:val="nil"/>
          <w:left w:val="nil"/>
          <w:bottom w:val="nil"/>
          <w:right w:val="nil"/>
          <w:between w:val="nil"/>
        </w:pBdr>
        <w:spacing w:after="0" w:line="240" w:lineRule="auto"/>
        <w:ind w:left="0" w:firstLine="567"/>
        <w:jc w:val="both"/>
        <w:rPr>
          <w:color w:val="000000"/>
          <w:sz w:val="28"/>
          <w:szCs w:val="28"/>
        </w:rPr>
      </w:pPr>
      <w:r>
        <w:rPr>
          <w:rFonts w:ascii="Times New Roman" w:eastAsia="Times New Roman" w:hAnsi="Times New Roman" w:cs="Times New Roman"/>
          <w:color w:val="000000"/>
          <w:sz w:val="28"/>
          <w:szCs w:val="28"/>
        </w:rPr>
        <w:t>ставки рентної плати за користування надрами в цілях, не пов'язаних з видобуванням корисних копалин, рентної плати за спеціальне використання води та рентної плати за спеціальне використання лісових ресурсів з урахуванням індексу цін виробників промислової продукції за 2020 рік збільшити на 14,5%.</w:t>
      </w:r>
    </w:p>
    <w:p w14:paraId="00000019"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Індекси споживчих цін (105 %) та цін виробників промислової продукції (114,5 %) за 2020 рік надіслано Міністерством розвитку економіки, торгівлі та сільського господарства України листом від 15.04.2021 № 3011-02/22956-03;     </w:t>
      </w:r>
    </w:p>
    <w:p w14:paraId="0000001A"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Крім того, відповідно до міжнародних зобов’язань України, проектом пропонується змінити підходи до визначення одиниці виміру ставки акцизного податку на пиво. Так, згідно додатку ХХVIII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зобов’язана привести норми власного законодавства у відповідність до Директиви Ради 92/83/ЄЕС від 19.10.1992 щодо гармонізації структур акцизних зборів на спирт та алкогольні напої. Статтею 3 вказаної Директиви встановлено, що акцизний податок, що справляється з пива, встановлюються в залежності від фактичної міцності готової продукції. При цьому, в Україні ставка акцизу на пиво визначена за 1 л готової продукції.  Приведення правил оподаткування пива у відповідність до Угоди про асоціацію між Україною та ЄС, також передбачено пунктом 118 Плану законопроектної роботи Верховної Ради України на 2021 рік, затвердженого постановою Верховної Ради України від 02.02.2021 № 1165.</w:t>
      </w:r>
    </w:p>
    <w:p w14:paraId="0000001B"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Тому, у законопроекті пропонується діючу ставку акцизу за 1 л пива, замінити на ставку за 1 л 100-відсоткового спирту, виходячи з середньозваженої міцності пива за 2019-2020 роки 4,88 відсотка об’ємних одиниць та індексу споживчих цін за 2020 рік  5%;</w:t>
      </w:r>
    </w:p>
    <w:p w14:paraId="0000001C"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lastRenderedPageBreak/>
        <w:t>в частині мінімального податкового зобов'язання</w:t>
      </w:r>
    </w:p>
    <w:p w14:paraId="0000001D" w14:textId="77777777" w:rsidR="00BF3044" w:rsidRDefault="00E333AF">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пропонується запровадити справедливий механізм оподаткування доходів всіх власників та користувачів земельних ділянок сільськогосподарського призначення шляхом встановлення мінімального податкового навантаження на доходи, що отримуються такими особами з 1 га. такої землі (мінімальне податкове зобов'язання). Мінімальне податкове зобов’язання  не є додатковим податком чи збором. Це лише розрахункова сума (зобов’язання), з якою порівнюються сплачені податки. Ця розрахункова сума в повному обсязі сплачується лише у разі, якщо такі податки взагалі не сплачено, тобто, якщо земля орендується незаконно за різноманітними тіньовими схемами і відповідно не сплачуються податки, ані із заробітних плат, ані з реалізованої с/г продукції.</w:t>
      </w:r>
    </w:p>
    <w:p w14:paraId="0000001E"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в частині податку на доходи фізичних осіб:</w:t>
      </w:r>
    </w:p>
    <w:p w14:paraId="0000001F" w14:textId="77777777" w:rsidR="00BF3044" w:rsidRDefault="00E333AF">
      <w:pPr>
        <w:numPr>
          <w:ilvl w:val="0"/>
          <w:numId w:val="1"/>
        </w:numPr>
        <w:spacing w:after="0" w:line="240" w:lineRule="auto"/>
        <w:ind w:left="0" w:firstLine="567"/>
        <w:jc w:val="both"/>
        <w:rPr>
          <w:sz w:val="28"/>
          <w:szCs w:val="28"/>
        </w:rPr>
      </w:pPr>
      <w:r>
        <w:rPr>
          <w:rFonts w:ascii="Times New Roman" w:eastAsia="Times New Roman" w:hAnsi="Times New Roman" w:cs="Times New Roman"/>
          <w:sz w:val="28"/>
          <w:szCs w:val="28"/>
        </w:rPr>
        <w:t xml:space="preserve">запровадити оподаткування ПДФО за ставкою 18% доходів, отриманих від продажу протягом звітного податкового року більш як одного з об’єктів нерухомості, передбачивши при цьому можливість зниження суми до оподаткування </w:t>
      </w:r>
      <w:r>
        <w:rPr>
          <w:rFonts w:ascii="Times New Roman" w:eastAsia="Times New Roman" w:hAnsi="Times New Roman" w:cs="Times New Roman"/>
          <w:sz w:val="28"/>
          <w:szCs w:val="28"/>
          <w:highlight w:val="white"/>
        </w:rPr>
        <w:t xml:space="preserve">на документально підтверджені витрати  на придбання (будівництво) об'єктів нерухомості, розташованих на території України, та інші витрати, пов’язані із отриманням у власність таких об’єктів. </w:t>
      </w:r>
    </w:p>
    <w:p w14:paraId="00000020" w14:textId="77777777" w:rsidR="00BF3044" w:rsidRDefault="00E333AF">
      <w:pPr>
        <w:numPr>
          <w:ilvl w:val="0"/>
          <w:numId w:val="1"/>
        </w:numPr>
        <w:spacing w:after="0" w:line="240" w:lineRule="auto"/>
        <w:ind w:left="0" w:firstLine="567"/>
        <w:jc w:val="both"/>
        <w:rPr>
          <w:sz w:val="28"/>
          <w:szCs w:val="28"/>
        </w:rPr>
      </w:pPr>
      <w:r>
        <w:rPr>
          <w:rFonts w:ascii="Times New Roman" w:eastAsia="Times New Roman" w:hAnsi="Times New Roman" w:cs="Times New Roman"/>
          <w:sz w:val="28"/>
          <w:szCs w:val="28"/>
        </w:rPr>
        <w:t>звільнити від оподаткування податком на доходи фізичних осіб доходи, отримані платником податку у вигляді часткової або повної компенсації відсоткових (процентних) ставок, яка виплачується в рамках бюджетної 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14:paraId="00000021"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в частині податку на прибуток підприємств</w:t>
      </w:r>
    </w:p>
    <w:p w14:paraId="00000022" w14:textId="77777777" w:rsidR="00BF3044" w:rsidRDefault="00E333AF">
      <w:pPr>
        <w:numPr>
          <w:ilvl w:val="0"/>
          <w:numId w:val="1"/>
        </w:numPr>
        <w:spacing w:after="0" w:line="240" w:lineRule="auto"/>
        <w:ind w:left="0" w:firstLine="567"/>
        <w:jc w:val="both"/>
        <w:rPr>
          <w:sz w:val="28"/>
          <w:szCs w:val="28"/>
        </w:rPr>
      </w:pPr>
      <w:r>
        <w:rPr>
          <w:rFonts w:ascii="Times New Roman" w:eastAsia="Times New Roman" w:hAnsi="Times New Roman" w:cs="Times New Roman"/>
          <w:sz w:val="28"/>
          <w:szCs w:val="28"/>
        </w:rPr>
        <w:t>встановити обмеження для великих платників податків на перенесення від’ємного значення об’єкта оподаткування минулих звітних (податкових) років десятьма попередніми податковими періодами. При цьому таке перенесення може застосовуватись лише до податкових періодів, починаючи з 2014 року. Також законопроектом встановлюється, що для великих платників податків сума від'ємного значення об'єкта оподаткування, що виникла у період з 1 січня 2014 року до 1 січня 2022 року, непогашена станом на перше січня 2022 року позитивним значенням об’єкта оподаткування, вважається такою, що виникла станом на 1 січня 2022 року;</w:t>
      </w:r>
    </w:p>
    <w:p w14:paraId="00000023" w14:textId="77777777" w:rsidR="00BF3044" w:rsidRDefault="00E333AF">
      <w:pPr>
        <w:numPr>
          <w:ilvl w:val="0"/>
          <w:numId w:val="1"/>
        </w:numPr>
        <w:spacing w:after="0" w:line="240" w:lineRule="auto"/>
        <w:ind w:left="0" w:firstLine="567"/>
        <w:jc w:val="both"/>
        <w:rPr>
          <w:sz w:val="28"/>
          <w:szCs w:val="28"/>
        </w:rPr>
      </w:pPr>
      <w:r>
        <w:rPr>
          <w:rFonts w:ascii="Times New Roman" w:eastAsia="Times New Roman" w:hAnsi="Times New Roman" w:cs="Times New Roman"/>
          <w:sz w:val="28"/>
          <w:szCs w:val="28"/>
        </w:rPr>
        <w:t xml:space="preserve">запровадити заборону для державних унітарних підприємств та господарських товариств, у статутному капіталі яких більше 50 відсотків акцій (часток) належить державі, зменшувати фінансовий результат до оподаткування відповідно до положень підпункту 139.2.2. пункту 139.2 статті 139 Кодексу у разі, якщо визначення методів обчислення  величини резерву </w:t>
      </w:r>
      <w:r>
        <w:rPr>
          <w:rFonts w:ascii="Times New Roman" w:eastAsia="Times New Roman" w:hAnsi="Times New Roman" w:cs="Times New Roman"/>
          <w:sz w:val="28"/>
          <w:szCs w:val="28"/>
        </w:rPr>
        <w:lastRenderedPageBreak/>
        <w:t>сумнівних боргів (резерву очікуваних кредитних збитків) та способу визначення коефіцієнта сумнівності не погоджена з власником (власниками) або уповноваженим ним органом (посадовою особою) відповідно до законодавства;</w:t>
      </w:r>
    </w:p>
    <w:p w14:paraId="00000024" w14:textId="77777777" w:rsidR="00BF3044" w:rsidRDefault="00E333AF">
      <w:pPr>
        <w:numPr>
          <w:ilvl w:val="0"/>
          <w:numId w:val="1"/>
        </w:numPr>
        <w:spacing w:after="0" w:line="240" w:lineRule="auto"/>
        <w:ind w:left="0" w:firstLine="567"/>
        <w:jc w:val="both"/>
        <w:rPr>
          <w:sz w:val="28"/>
          <w:szCs w:val="28"/>
        </w:rPr>
      </w:pPr>
      <w:r>
        <w:rPr>
          <w:rFonts w:ascii="Times New Roman" w:eastAsia="Times New Roman" w:hAnsi="Times New Roman" w:cs="Times New Roman"/>
          <w:b/>
          <w:i/>
          <w:sz w:val="28"/>
          <w:szCs w:val="28"/>
          <w:u w:val="single"/>
        </w:rPr>
        <w:t>в частині податку на додану вартість:</w:t>
      </w:r>
    </w:p>
    <w:p w14:paraId="00000025" w14:textId="77777777" w:rsidR="00BF3044" w:rsidRDefault="00E333AF">
      <w:pPr>
        <w:numPr>
          <w:ilvl w:val="0"/>
          <w:numId w:val="1"/>
        </w:numPr>
        <w:pBdr>
          <w:top w:val="nil"/>
          <w:left w:val="nil"/>
          <w:bottom w:val="nil"/>
          <w:right w:val="nil"/>
          <w:between w:val="nil"/>
        </w:pBdr>
        <w:spacing w:after="0" w:line="240" w:lineRule="auto"/>
        <w:ind w:left="0" w:firstLine="567"/>
        <w:jc w:val="both"/>
        <w:rPr>
          <w:color w:val="000000"/>
          <w:sz w:val="28"/>
          <w:szCs w:val="28"/>
        </w:rPr>
      </w:pPr>
      <w:r>
        <w:rPr>
          <w:rFonts w:ascii="Times New Roman" w:eastAsia="Times New Roman" w:hAnsi="Times New Roman" w:cs="Times New Roman"/>
          <w:sz w:val="28"/>
          <w:szCs w:val="28"/>
        </w:rPr>
        <w:t>звільнення від оподаткування постачання житла (об'єктів житлової нерухомості), спеціальних майнових прав на таке житло, майбутнього об’єкта житлової нерухомості, в тому числі при зміні в Державному реєстрі речових прав на нерухоме майно типу об’єкта нерухомого майна з об’єкта незавершеного будівництва або майбутнього об’єкта нерухомості на об’єкт житлової нерухомості;</w:t>
      </w:r>
    </w:p>
    <w:p w14:paraId="00000026" w14:textId="77777777" w:rsidR="00BF3044" w:rsidRDefault="00E333AF">
      <w:pPr>
        <w:numPr>
          <w:ilvl w:val="0"/>
          <w:numId w:val="1"/>
        </w:numPr>
        <w:pBdr>
          <w:top w:val="nil"/>
          <w:left w:val="nil"/>
          <w:bottom w:val="nil"/>
          <w:right w:val="nil"/>
          <w:between w:val="nil"/>
        </w:pBdr>
        <w:spacing w:after="0" w:line="240" w:lineRule="auto"/>
        <w:ind w:left="0" w:firstLine="567"/>
        <w:jc w:val="both"/>
        <w:rPr>
          <w:color w:val="000000"/>
          <w:sz w:val="28"/>
          <w:szCs w:val="28"/>
        </w:rPr>
      </w:pPr>
      <w:r>
        <w:rPr>
          <w:rFonts w:ascii="Times New Roman" w:eastAsia="Times New Roman" w:hAnsi="Times New Roman" w:cs="Times New Roman"/>
          <w:color w:val="000000"/>
          <w:sz w:val="28"/>
          <w:szCs w:val="28"/>
        </w:rPr>
        <w:t>запровадження оподаткування ПДВ операцій з реалізації Національним банком України дорогоцінних металів (крім інвестиційного золота) фізичним та юридичним особам;</w:t>
      </w:r>
    </w:p>
    <w:p w14:paraId="00000027"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в частині акцизного податку:</w:t>
      </w:r>
    </w:p>
    <w:p w14:paraId="00000028" w14:textId="77777777" w:rsidR="00BF3044" w:rsidRDefault="00E333AF">
      <w:pPr>
        <w:pBdr>
          <w:top w:val="nil"/>
          <w:left w:val="nil"/>
          <w:bottom w:val="nil"/>
          <w:right w:val="nil"/>
          <w:between w:val="nil"/>
        </w:pBdr>
        <w:tabs>
          <w:tab w:val="left" w:pos="0"/>
        </w:tabs>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скасувати процедури призупинення ліцензій на виробництво та обіг підакцизних товарів, одночасно уніфікувавши та доповнивши підстави для анулювання ліцензій;</w:t>
      </w:r>
    </w:p>
    <w:p w14:paraId="00000029" w14:textId="77777777" w:rsidR="00BF3044" w:rsidRDefault="00E333AF">
      <w:pPr>
        <w:pBdr>
          <w:top w:val="nil"/>
          <w:left w:val="nil"/>
          <w:bottom w:val="nil"/>
          <w:right w:val="nil"/>
          <w:between w:val="nil"/>
        </w:pBdr>
        <w:tabs>
          <w:tab w:val="left" w:pos="0"/>
        </w:tabs>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обмежити накопичення запасів тютюнових виробів перед підвищенням ставок акцизного податку, а саме встановити сплату акцизного податку із застосуванням коефіцієнта 1,5 за реалізацію на внутрішній ринок та/або ввезення на митну територію України тютюнових виробів у розмірі, що перевищує 115 відсотків середньомісячного обсягу реалізації на внутрішньому ринку такої продукції або її ввезення таким підприємством-виробником та/або імпортером за попередні дев’ять місяців;</w:t>
      </w:r>
    </w:p>
    <w:p w14:paraId="0000002A" w14:textId="77777777" w:rsidR="00BF3044" w:rsidRDefault="00E333AF">
      <w:pPr>
        <w:pBdr>
          <w:top w:val="nil"/>
          <w:left w:val="nil"/>
          <w:bottom w:val="nil"/>
          <w:right w:val="nil"/>
          <w:between w:val="nil"/>
        </w:pBdr>
        <w:tabs>
          <w:tab w:val="left" w:pos="0"/>
        </w:tabs>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запровадити звітування тютюново-ферментаційними заводами про обсяги імпорту, виробництва та обігу тютюнової сировини та прирівняти  таке звітування до податкової декларації;</w:t>
      </w:r>
    </w:p>
    <w:p w14:paraId="0000002B" w14:textId="77777777" w:rsidR="00BF3044" w:rsidRDefault="00E333AF">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перенести на виробників та імпортерів обов’язок сплати 5-відсоткового акцизного податку з роздрібного продажу тютюнових виробів, який на сьогодні сплачують суб’єкти роздрібної торгівлі;</w:t>
      </w:r>
    </w:p>
    <w:p w14:paraId="0000002C" w14:textId="77777777" w:rsidR="00BF3044" w:rsidRDefault="00E333AF">
      <w:pPr>
        <w:pBdr>
          <w:top w:val="nil"/>
          <w:left w:val="nil"/>
          <w:bottom w:val="nil"/>
          <w:right w:val="nil"/>
          <w:between w:val="nil"/>
        </w:pBdr>
        <w:tabs>
          <w:tab w:val="left" w:pos="0"/>
        </w:tabs>
        <w:spacing w:before="120" w:after="0"/>
        <w:ind w:firstLine="567"/>
        <w:jc w:val="both"/>
        <w:rPr>
          <w:color w:val="404040"/>
          <w:sz w:val="28"/>
          <w:szCs w:val="28"/>
        </w:rPr>
      </w:pPr>
      <w:r>
        <w:rPr>
          <w:rFonts w:ascii="Times New Roman" w:eastAsia="Times New Roman" w:hAnsi="Times New Roman" w:cs="Times New Roman"/>
          <w:b/>
          <w:i/>
          <w:color w:val="000000"/>
          <w:sz w:val="28"/>
          <w:szCs w:val="28"/>
          <w:u w:val="single"/>
        </w:rPr>
        <w:t>в частині екологічного податку</w:t>
      </w:r>
    </w:p>
    <w:p w14:paraId="0000002D"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ставки екологічного податку за скиди забруднюючих речовин у водні об’єкти збільшити в 1,6 рази та передбачити їх підвищення у 8 разів у 2029 році (поступово);</w:t>
      </w:r>
    </w:p>
    <w:p w14:paraId="0000002E" w14:textId="77777777" w:rsidR="00BF3044" w:rsidRDefault="00E333AF">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color w:val="000000"/>
          <w:sz w:val="28"/>
          <w:szCs w:val="28"/>
        </w:rPr>
        <w:t>підвищити ставки екологічного податку за викиди двоокису вуглецю (СО2) з 10 грн/т до 30 грн/тонну;</w:t>
      </w:r>
    </w:p>
    <w:p w14:paraId="0000002F" w14:textId="77777777" w:rsidR="00BF3044" w:rsidRDefault="00E333AF">
      <w:pPr>
        <w:spacing w:before="120"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u w:val="single"/>
        </w:rPr>
        <w:t>в частині рентної плати за користування надрами для видобування корисних копалин</w:t>
      </w:r>
    </w:p>
    <w:p w14:paraId="00000030"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розширити базу оподаткування за рахунок забезпечення єдиного </w:t>
      </w:r>
      <w:r>
        <w:rPr>
          <w:rFonts w:ascii="Times New Roman" w:eastAsia="Times New Roman" w:hAnsi="Times New Roman" w:cs="Times New Roman"/>
          <w:sz w:val="28"/>
          <w:szCs w:val="28"/>
        </w:rPr>
        <w:t xml:space="preserve">підходу до визначення об’єкта оподаткування шляхом класифікації видобутої </w:t>
      </w:r>
      <w:r>
        <w:rPr>
          <w:rFonts w:ascii="Times New Roman" w:eastAsia="Times New Roman" w:hAnsi="Times New Roman" w:cs="Times New Roman"/>
          <w:sz w:val="28"/>
          <w:szCs w:val="28"/>
        </w:rPr>
        <w:lastRenderedPageBreak/>
        <w:t>мінеральної сировини згідно з галузевими вимогами з метою усунення можливості платника суб’єктивно визначати вартість корисної копалини;</w:t>
      </w:r>
    </w:p>
    <w:p w14:paraId="00000031" w14:textId="77777777" w:rsidR="00BF3044" w:rsidRDefault="00E333A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запровадити диференціацію ставок оподаткування руд заліза в залежності від розміру середньої </w:t>
      </w:r>
      <w:r>
        <w:rPr>
          <w:rFonts w:ascii="Times New Roman" w:eastAsia="Times New Roman" w:hAnsi="Times New Roman" w:cs="Times New Roman"/>
          <w:sz w:val="28"/>
          <w:szCs w:val="28"/>
        </w:rPr>
        <w:t>вартості руд заліза за індексом IODEX 62 % FE CFR China</w:t>
      </w:r>
      <w:r>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sz w:val="28"/>
          <w:szCs w:val="28"/>
        </w:rPr>
        <w:t>та ввести наступну формулу для розрахунків:</w:t>
      </w:r>
    </w:p>
    <w:p w14:paraId="00000032" w14:textId="77777777" w:rsidR="00BF3044" w:rsidRDefault="00E333A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Вкк = Bplatts – Platts PC13 – Ввл</w:t>
      </w:r>
    </w:p>
    <w:p w14:paraId="00000033" w14:textId="77777777" w:rsidR="00BF3044" w:rsidRDefault="00E333A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 Bplatts – вартість однієї тонни руд заліза за індексом IODEX 62% FE CFR China,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14:paraId="00000034" w14:textId="77777777" w:rsidR="00BF3044" w:rsidRDefault="00E333A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Platts PC13 – ставка фрахту Route PC13 (Yuzhniy Ukraine; Qingdao North China)  однієї тонни руд заліза, офіційно визначена світовим інформаційним агентством Platts,  що визначається як середній показник відповідного податкового (звітного) періоду, перерахований у гривні за середнім курсом Національного банку України, який склався за податковий (звітний) період;</w:t>
      </w:r>
    </w:p>
    <w:p w14:paraId="00000035" w14:textId="77777777" w:rsidR="00BF3044" w:rsidRDefault="00E333A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567"/>
        <w:jc w:val="both"/>
        <w:rPr>
          <w:rFonts w:ascii="Times New Roman" w:eastAsia="Times New Roman" w:hAnsi="Times New Roman" w:cs="Times New Roman"/>
          <w:sz w:val="29"/>
          <w:szCs w:val="29"/>
        </w:rPr>
      </w:pPr>
      <w:r>
        <w:rPr>
          <w:rFonts w:ascii="Times New Roman" w:eastAsia="Times New Roman" w:hAnsi="Times New Roman" w:cs="Times New Roman"/>
          <w:color w:val="000000"/>
          <w:sz w:val="28"/>
          <w:szCs w:val="28"/>
        </w:rPr>
        <w:t xml:space="preserve">Ввл – показник витрат на внутрішню логістику однієї тонни руд заліза, який включає витрати на доставку (перевезення, транспортування) товарної продукції гірничого підприємства – видобутої корисної копалини (мінеральної сировини) всередині України, що дорівнює 15 доларів США що перераховується у гривні за середнім курсом Національного банку України, який склався за податковий (звітний) період. </w:t>
      </w:r>
    </w:p>
    <w:p w14:paraId="00000036" w14:textId="77777777" w:rsidR="00BF3044" w:rsidRDefault="00E333AF">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встановити коригування бази оподаткування руд заліза на коефіцієнт сухої ваги товарної продукції (0,9);</w:t>
      </w:r>
    </w:p>
    <w:p w14:paraId="00000037"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в частині рентної плати за спеціальне використання води</w:t>
      </w:r>
    </w:p>
    <w:p w14:paraId="00000038" w14:textId="77777777" w:rsidR="00BF3044" w:rsidRDefault="00E333AF">
      <w:pPr>
        <w:numPr>
          <w:ilvl w:val="0"/>
          <w:numId w:val="1"/>
        </w:numPr>
        <w:spacing w:after="0" w:line="240" w:lineRule="auto"/>
        <w:ind w:left="0" w:firstLine="567"/>
        <w:jc w:val="both"/>
        <w:rPr>
          <w:sz w:val="28"/>
          <w:szCs w:val="28"/>
        </w:rPr>
      </w:pPr>
      <w:r>
        <w:rPr>
          <w:rFonts w:ascii="Times New Roman" w:eastAsia="Times New Roman" w:hAnsi="Times New Roman" w:cs="Times New Roman"/>
          <w:sz w:val="28"/>
          <w:szCs w:val="28"/>
        </w:rPr>
        <w:t>встановити диференціацію ставок рентної плати за спеціальне використання поверхневих вод в залежності від 9 районів річкових басейнів замість 14 басейнів річок;</w:t>
      </w:r>
    </w:p>
    <w:p w14:paraId="00000039"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в частині плати за землю:</w:t>
      </w:r>
    </w:p>
    <w:p w14:paraId="0000003A"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скасувати пільги з плати за землю за земельні ділянки, надані закладам науки, які повністю утримуються за рахунок коштів державного або місцевих бюджетів (у разі нецільового використання земельних ділянок);</w:t>
      </w:r>
    </w:p>
    <w:p w14:paraId="0000003B" w14:textId="77777777" w:rsidR="00BF3044" w:rsidRDefault="00E333AF">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 скасувати мораторій на індексацію нормативної грошової оцінки для всіх земель, крім  сільськогосподарських угідь,</w:t>
      </w:r>
      <w:r>
        <w:rPr>
          <w:rFonts w:ascii="Times New Roman" w:eastAsia="Times New Roman" w:hAnsi="Times New Roman" w:cs="Times New Roman"/>
          <w:i/>
          <w:sz w:val="28"/>
          <w:szCs w:val="28"/>
        </w:rPr>
        <w:t xml:space="preserve"> </w:t>
      </w:r>
      <w:r>
        <w:rPr>
          <w:rFonts w:ascii="Times New Roman" w:eastAsia="Times New Roman" w:hAnsi="Times New Roman" w:cs="Times New Roman"/>
          <w:sz w:val="28"/>
          <w:szCs w:val="28"/>
        </w:rPr>
        <w:t>яка використовується для цілей оподаткування платою за землю</w:t>
      </w:r>
      <w:r>
        <w:rPr>
          <w:rFonts w:ascii="Times New Roman" w:eastAsia="Times New Roman" w:hAnsi="Times New Roman" w:cs="Times New Roman"/>
          <w:i/>
          <w:sz w:val="28"/>
          <w:szCs w:val="28"/>
        </w:rPr>
        <w:t xml:space="preserve"> (земель водного фонду (внутрішніх водойм, озер, ставків, водосховищ), земель населених пунктів, інших земель несільськогосподарського призначення); </w:t>
      </w:r>
    </w:p>
    <w:p w14:paraId="0000003C" w14:textId="77777777" w:rsidR="00BF3044" w:rsidRDefault="00E333AF">
      <w:pPr>
        <w:spacing w:before="120" w:after="0" w:line="240" w:lineRule="auto"/>
        <w:ind w:firstLine="567"/>
        <w:jc w:val="both"/>
        <w:rPr>
          <w:rFonts w:ascii="Times New Roman" w:eastAsia="Times New Roman" w:hAnsi="Times New Roman" w:cs="Times New Roman"/>
          <w:b/>
          <w:i/>
          <w:sz w:val="28"/>
          <w:szCs w:val="28"/>
          <w:u w:val="single"/>
        </w:rPr>
      </w:pPr>
      <w:r>
        <w:rPr>
          <w:rFonts w:ascii="Times New Roman" w:eastAsia="Times New Roman" w:hAnsi="Times New Roman" w:cs="Times New Roman"/>
          <w:b/>
          <w:i/>
          <w:sz w:val="28"/>
          <w:szCs w:val="28"/>
          <w:u w:val="single"/>
        </w:rPr>
        <w:t>в частині єдиного податку:</w:t>
      </w:r>
    </w:p>
    <w:p w14:paraId="0000003D"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виключити з платників єдиного податку 4 групи платників, основним видом діяльності яких є розведення свійської птиці, страусів та перепелів;</w:t>
      </w:r>
    </w:p>
    <w:p w14:paraId="0000003E"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не включати до складу доходу платників єдиного податку першої – третьої групи доходи, отримані у вигляді часткової або повної компенсації відсоткових (процентних) ставок, яка виплачується в рамках бюджетної програми «Забезпечення функціонування Фонду розвитку підприємництва» та державної програми впровадження фінансово-кредитних механізмів забезпечення громадян житлом на умовах, визначених Кабінетом Міністрів України, а також суми коштів, отриманих платником податку на безповоротній основі від Фонду розвитку інновацій;</w:t>
      </w:r>
    </w:p>
    <w:p w14:paraId="0000003F" w14:textId="77777777" w:rsidR="00BF3044" w:rsidRDefault="00E333AF">
      <w:pPr>
        <w:spacing w:before="120" w:after="0" w:line="240" w:lineRule="auto"/>
        <w:ind w:firstLine="567"/>
        <w:jc w:val="both"/>
        <w:rPr>
          <w:rFonts w:ascii="Times New Roman" w:eastAsia="Times New Roman" w:hAnsi="Times New Roman" w:cs="Times New Roman"/>
          <w:strike/>
          <w:sz w:val="28"/>
          <w:szCs w:val="28"/>
        </w:rPr>
      </w:pPr>
      <w:r>
        <w:rPr>
          <w:rFonts w:ascii="Times New Roman" w:eastAsia="Times New Roman" w:hAnsi="Times New Roman" w:cs="Times New Roman"/>
          <w:b/>
          <w:i/>
          <w:sz w:val="28"/>
          <w:szCs w:val="28"/>
          <w:u w:val="single"/>
        </w:rPr>
        <w:t>в частині військового збору:</w:t>
      </w:r>
    </w:p>
    <w:p w14:paraId="00000040" w14:textId="77777777" w:rsidR="00BF3044" w:rsidRDefault="00E333AF">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звільнити від оподаткування військовим збором доходи, отримані платником податку у вигляді часткової або повної компенсації відсоткових (процентних) ставок, яка виплачується в рамках бюджетної програми «Забезпечення функціонування Фонду розвитку підприємництва».</w:t>
      </w:r>
    </w:p>
    <w:p w14:paraId="00000041" w14:textId="77777777" w:rsidR="00BF3044" w:rsidRDefault="00BF3044">
      <w:pPr>
        <w:shd w:val="clear" w:color="auto" w:fill="FFFFFF"/>
        <w:spacing w:after="0" w:line="240" w:lineRule="auto"/>
        <w:ind w:firstLine="567"/>
        <w:jc w:val="both"/>
        <w:rPr>
          <w:rFonts w:ascii="Times New Roman" w:eastAsia="Times New Roman" w:hAnsi="Times New Roman" w:cs="Times New Roman"/>
          <w:b/>
          <w:sz w:val="28"/>
          <w:szCs w:val="28"/>
        </w:rPr>
      </w:pPr>
    </w:p>
    <w:p w14:paraId="00000042" w14:textId="77777777" w:rsidR="00BF3044" w:rsidRDefault="00E333AF">
      <w:pPr>
        <w:spacing w:after="0" w:line="240" w:lineRule="auto"/>
        <w:ind w:firstLine="709"/>
        <w:jc w:val="both"/>
        <w:rPr>
          <w:rFonts w:ascii="Times New Roman" w:eastAsia="Times New Roman" w:hAnsi="Times New Roman" w:cs="Times New Roman"/>
          <w:b/>
          <w:color w:val="2A2928"/>
          <w:sz w:val="28"/>
          <w:szCs w:val="28"/>
          <w:highlight w:val="white"/>
        </w:rPr>
      </w:pPr>
      <w:r>
        <w:rPr>
          <w:rFonts w:ascii="Times New Roman" w:eastAsia="Times New Roman" w:hAnsi="Times New Roman" w:cs="Times New Roman"/>
          <w:b/>
          <w:color w:val="2A2928"/>
          <w:sz w:val="28"/>
          <w:szCs w:val="28"/>
          <w:highlight w:val="white"/>
        </w:rPr>
        <w:t>4. Стан нормативно-правової бази у даній сфері правового регулювання</w:t>
      </w:r>
    </w:p>
    <w:p w14:paraId="00000043" w14:textId="77777777" w:rsidR="00BF3044" w:rsidRDefault="00E333A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Податковий кодекс України;</w:t>
      </w:r>
    </w:p>
    <w:p w14:paraId="00000044" w14:textId="77777777" w:rsidR="00BF3044" w:rsidRDefault="00E333A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Закон України «Про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p w14:paraId="00000045" w14:textId="77777777" w:rsidR="00BF3044" w:rsidRDefault="00E333A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Закон України «Про застосування реєстраторів розрахункових операцій у сфері торгівлі, громадського харчування та послуг»;</w:t>
      </w:r>
    </w:p>
    <w:p w14:paraId="00000046" w14:textId="77777777" w:rsidR="00BF3044" w:rsidRDefault="00E333A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Закон України «Про ліцензування видів господарської діяльності».</w:t>
      </w:r>
    </w:p>
    <w:p w14:paraId="00000047" w14:textId="77777777" w:rsidR="00BF3044" w:rsidRDefault="00BF3044">
      <w:pPr>
        <w:spacing w:after="0" w:line="240" w:lineRule="auto"/>
        <w:ind w:firstLine="709"/>
        <w:jc w:val="both"/>
        <w:rPr>
          <w:rFonts w:ascii="Times New Roman" w:eastAsia="Times New Roman" w:hAnsi="Times New Roman" w:cs="Times New Roman"/>
          <w:sz w:val="28"/>
          <w:szCs w:val="28"/>
        </w:rPr>
      </w:pPr>
    </w:p>
    <w:p w14:paraId="00000048" w14:textId="77777777" w:rsidR="00BF3044" w:rsidRDefault="00E333AF">
      <w:pPr>
        <w:shd w:val="clear" w:color="auto" w:fill="FFFFFF"/>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5. Фінансово-економічне обґрунтування</w:t>
      </w:r>
    </w:p>
    <w:p w14:paraId="00000049" w14:textId="77777777" w:rsidR="00BF3044" w:rsidRDefault="00E333AF">
      <w:pPr>
        <w:spacing w:after="0" w:line="240" w:lineRule="auto"/>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цього Закону не потребує збільшення видатків Державного бюджету України. В той же час, прийняття законопроекту дозволить отримати додаткові надходження до зведеного бюджету близько 50 млрд гривень в розрахунку на рік.</w:t>
      </w:r>
    </w:p>
    <w:p w14:paraId="0000004A" w14:textId="77777777" w:rsidR="00BF3044" w:rsidRDefault="00E333AF">
      <w:pPr>
        <w:spacing w:after="0" w:line="240" w:lineRule="auto"/>
        <w:ind w:firstLine="567"/>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Зокрема, згідно з даними Земельного кадастру обсяг земель сільгосппризначення  становить 41,5 млн. га, з них за даними Держстату  в обробці - 28 млн. га, з яких - 19,6 млн. га в офіційному обробітку (оренді). Відповідно 8,4 млн. га  «обробляється самостійно», тобто використовуються у різних тіньових схемах. Таким чином, додатковий дохід бюджетів всіх рівнів лише від запровадження мінімального податкового зобов’язання  складатиме мінімум 9,4 млрд. грн. в рік (за розрахунком: 8,4 млн. га х 1120 грн. МПЗ / 1 га).</w:t>
      </w:r>
    </w:p>
    <w:p w14:paraId="0000004B" w14:textId="77777777" w:rsidR="00BF3044" w:rsidRDefault="00BF3044">
      <w:pPr>
        <w:shd w:val="clear" w:color="auto" w:fill="FFFFFF"/>
        <w:spacing w:after="0" w:line="240" w:lineRule="auto"/>
        <w:ind w:firstLine="567"/>
        <w:jc w:val="both"/>
        <w:rPr>
          <w:rFonts w:ascii="Times New Roman" w:eastAsia="Times New Roman" w:hAnsi="Times New Roman" w:cs="Times New Roman"/>
          <w:b/>
          <w:sz w:val="28"/>
          <w:szCs w:val="28"/>
        </w:rPr>
      </w:pPr>
    </w:p>
    <w:p w14:paraId="0000004C" w14:textId="77777777" w:rsidR="00BF3044" w:rsidRDefault="00E333AF">
      <w:pPr>
        <w:shd w:val="clear" w:color="auto" w:fill="FFFFFF"/>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проекту Закону</w:t>
      </w:r>
    </w:p>
    <w:p w14:paraId="0000004D" w14:textId="77777777" w:rsidR="00BF3044" w:rsidRDefault="00E333AF">
      <w:pPr>
        <w:shd w:val="clear" w:color="auto" w:fill="FFFFFF"/>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Законопроект забезпечить: </w:t>
      </w:r>
    </w:p>
    <w:p w14:paraId="0000004E" w14:textId="77777777" w:rsidR="00BF3044" w:rsidRDefault="00E333AF">
      <w:pPr>
        <w:numPr>
          <w:ilvl w:val="0"/>
          <w:numId w:val="2"/>
        </w:numPr>
        <w:pBdr>
          <w:top w:val="nil"/>
          <w:left w:val="nil"/>
          <w:bottom w:val="nil"/>
          <w:right w:val="nil"/>
          <w:between w:val="nil"/>
        </w:pBdr>
        <w:shd w:val="clear" w:color="auto" w:fill="FFFFFF"/>
        <w:spacing w:after="0" w:line="240" w:lineRule="auto"/>
        <w:ind w:left="0" w:firstLine="567"/>
        <w:jc w:val="both"/>
        <w:rPr>
          <w:color w:val="000000"/>
          <w:sz w:val="28"/>
          <w:szCs w:val="28"/>
        </w:rPr>
      </w:pPr>
      <w:r>
        <w:rPr>
          <w:rFonts w:ascii="Times New Roman" w:eastAsia="Times New Roman" w:hAnsi="Times New Roman" w:cs="Times New Roman"/>
          <w:color w:val="000000"/>
          <w:sz w:val="28"/>
          <w:szCs w:val="28"/>
        </w:rPr>
        <w:t>приведення розмірів ставок податків у відповідність до інфляційних процесів в економіці;</w:t>
      </w:r>
    </w:p>
    <w:p w14:paraId="0000004F" w14:textId="77777777" w:rsidR="00BF3044" w:rsidRDefault="00E333AF">
      <w:pPr>
        <w:numPr>
          <w:ilvl w:val="0"/>
          <w:numId w:val="2"/>
        </w:numPr>
        <w:pBdr>
          <w:top w:val="nil"/>
          <w:left w:val="nil"/>
          <w:bottom w:val="nil"/>
          <w:right w:val="nil"/>
          <w:between w:val="nil"/>
        </w:pBdr>
        <w:shd w:val="clear" w:color="auto" w:fill="FFFFFF"/>
        <w:spacing w:after="0" w:line="240" w:lineRule="auto"/>
        <w:ind w:left="0" w:firstLine="567"/>
        <w:jc w:val="both"/>
        <w:rPr>
          <w:color w:val="000000"/>
          <w:sz w:val="28"/>
          <w:szCs w:val="28"/>
        </w:rPr>
      </w:pPr>
      <w:r>
        <w:rPr>
          <w:rFonts w:ascii="Times New Roman" w:eastAsia="Times New Roman" w:hAnsi="Times New Roman" w:cs="Times New Roman"/>
          <w:color w:val="000000"/>
          <w:sz w:val="28"/>
          <w:szCs w:val="28"/>
        </w:rPr>
        <w:lastRenderedPageBreak/>
        <w:t xml:space="preserve">підвищення ефективності справляння окремих податків, зокрема </w:t>
      </w:r>
      <w:r>
        <w:rPr>
          <w:rFonts w:ascii="Times New Roman" w:eastAsia="Times New Roman" w:hAnsi="Times New Roman" w:cs="Times New Roman"/>
          <w:sz w:val="28"/>
          <w:szCs w:val="28"/>
        </w:rPr>
        <w:t>встановлення справедливого та прозорого оподаткування власників і користувачів земельних ділянок сільськогосподарського призначення сприятиме покращенню інвестиційного клімату в країні та підвищенню рівня України в світових рейтингах щодо ведення бізнесу</w:t>
      </w:r>
      <w:r>
        <w:rPr>
          <w:rFonts w:ascii="Times New Roman" w:eastAsia="Times New Roman" w:hAnsi="Times New Roman" w:cs="Times New Roman"/>
          <w:color w:val="000000"/>
          <w:sz w:val="28"/>
          <w:szCs w:val="28"/>
        </w:rPr>
        <w:t>.</w:t>
      </w:r>
    </w:p>
    <w:p w14:paraId="00000050" w14:textId="77777777" w:rsidR="00BF3044" w:rsidRDefault="00BF3044">
      <w:pPr>
        <w:spacing w:after="0" w:line="240" w:lineRule="auto"/>
        <w:ind w:firstLine="567"/>
        <w:jc w:val="both"/>
        <w:rPr>
          <w:rFonts w:ascii="Times New Roman" w:eastAsia="Times New Roman" w:hAnsi="Times New Roman" w:cs="Times New Roman"/>
          <w:sz w:val="28"/>
          <w:szCs w:val="28"/>
        </w:rPr>
      </w:pPr>
    </w:p>
    <w:p w14:paraId="00000051" w14:textId="77777777" w:rsidR="00BF3044" w:rsidRDefault="00BF3044">
      <w:pPr>
        <w:spacing w:after="0" w:line="240" w:lineRule="auto"/>
        <w:jc w:val="both"/>
        <w:rPr>
          <w:rFonts w:ascii="Times New Roman" w:eastAsia="Times New Roman" w:hAnsi="Times New Roman" w:cs="Times New Roman"/>
          <w:b/>
          <w:sz w:val="28"/>
          <w:szCs w:val="28"/>
        </w:rPr>
      </w:pPr>
    </w:p>
    <w:p w14:paraId="00000052" w14:textId="77777777" w:rsidR="00BF3044" w:rsidRDefault="00E333AF">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p>
    <w:p w14:paraId="00000053" w14:textId="77777777" w:rsidR="00BF3044" w:rsidRDefault="00BF3044">
      <w:pPr>
        <w:spacing w:after="0" w:line="240" w:lineRule="auto"/>
        <w:jc w:val="both"/>
        <w:rPr>
          <w:rFonts w:ascii="Times New Roman" w:eastAsia="Times New Roman" w:hAnsi="Times New Roman" w:cs="Times New Roman"/>
          <w:b/>
          <w:sz w:val="28"/>
          <w:szCs w:val="28"/>
        </w:rPr>
      </w:pPr>
    </w:p>
    <w:p w14:paraId="00000054" w14:textId="77777777" w:rsidR="00BF3044" w:rsidRDefault="00E333AF">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«____»</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_______________2021 р.</w:t>
      </w:r>
    </w:p>
    <w:sectPr w:rsidR="00BF3044">
      <w:headerReference w:type="default" r:id="rId10"/>
      <w:pgSz w:w="11906" w:h="16838"/>
      <w:pgMar w:top="851" w:right="851" w:bottom="1701" w:left="170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FB832" w14:textId="77777777" w:rsidR="00D80D3E" w:rsidRDefault="00D80D3E">
      <w:pPr>
        <w:spacing w:after="0" w:line="240" w:lineRule="auto"/>
      </w:pPr>
      <w:r>
        <w:separator/>
      </w:r>
    </w:p>
  </w:endnote>
  <w:endnote w:type="continuationSeparator" w:id="0">
    <w:p w14:paraId="50C0BACE" w14:textId="77777777" w:rsidR="00D80D3E" w:rsidRDefault="00D80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36032" w14:textId="77777777" w:rsidR="00D80D3E" w:rsidRDefault="00D80D3E">
      <w:pPr>
        <w:spacing w:after="0" w:line="240" w:lineRule="auto"/>
      </w:pPr>
      <w:r>
        <w:separator/>
      </w:r>
    </w:p>
  </w:footnote>
  <w:footnote w:type="continuationSeparator" w:id="0">
    <w:p w14:paraId="0FE010C2" w14:textId="77777777" w:rsidR="00D80D3E" w:rsidRDefault="00D80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5" w14:textId="592950B6" w:rsidR="00BF3044" w:rsidRDefault="00E333AF">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DA309D">
      <w:rPr>
        <w:rFonts w:ascii="Times New Roman" w:eastAsia="Times New Roman" w:hAnsi="Times New Roman" w:cs="Times New Roman"/>
        <w:noProof/>
        <w:color w:val="000000"/>
        <w:sz w:val="28"/>
        <w:szCs w:val="28"/>
      </w:rPr>
      <w:t>2</w:t>
    </w:r>
    <w:r>
      <w:rPr>
        <w:rFonts w:ascii="Times New Roman" w:eastAsia="Times New Roman" w:hAnsi="Times New Roman" w:cs="Times New Roman"/>
        <w:color w:val="000000"/>
        <w:sz w:val="28"/>
        <w:szCs w:val="28"/>
      </w:rPr>
      <w:fldChar w:fldCharType="end"/>
    </w:r>
  </w:p>
  <w:p w14:paraId="00000056" w14:textId="77777777" w:rsidR="00BF3044" w:rsidRDefault="00BF3044">
    <w:pPr>
      <w:pBdr>
        <w:top w:val="nil"/>
        <w:left w:val="nil"/>
        <w:bottom w:val="nil"/>
        <w:right w:val="nil"/>
        <w:between w:val="nil"/>
      </w:pBdr>
      <w:tabs>
        <w:tab w:val="center" w:pos="4819"/>
        <w:tab w:val="right" w:pos="9639"/>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A38A8"/>
    <w:multiLevelType w:val="multilevel"/>
    <w:tmpl w:val="9B8CC82E"/>
    <w:lvl w:ilvl="0">
      <w:start w:val="1"/>
      <w:numFmt w:val="bullet"/>
      <w:lvlText w:val="-"/>
      <w:lvlJc w:val="left"/>
      <w:pPr>
        <w:ind w:left="1070"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 w15:restartNumberingAfterBreak="0">
    <w:nsid w:val="5D5D0FE8"/>
    <w:multiLevelType w:val="multilevel"/>
    <w:tmpl w:val="E466B8A8"/>
    <w:lvl w:ilvl="0">
      <w:start w:val="8"/>
      <w:numFmt w:val="bullet"/>
      <w:lvlText w:val="-"/>
      <w:lvlJc w:val="left"/>
      <w:pPr>
        <w:ind w:left="1070"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3044"/>
    <w:rsid w:val="00110BA3"/>
    <w:rsid w:val="00952C88"/>
    <w:rsid w:val="00BF3044"/>
    <w:rsid w:val="00C96128"/>
    <w:rsid w:val="00D27A68"/>
    <w:rsid w:val="00D80D3E"/>
    <w:rsid w:val="00DA309D"/>
    <w:rsid w:val="00E333A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6BB5A"/>
  <w15:docId w15:val="{8BE5C8B6-AEE2-324C-BA94-2B5219699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spacing w:line="240" w:lineRule="auto"/>
      <w:outlineLvl w:val="0"/>
    </w:pPr>
    <w:rPr>
      <w:rFonts w:ascii="Times New Roman" w:eastAsia="Times New Roman" w:hAnsi="Times New Roman" w:cs="Times New Roman"/>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530561-27F8-4C98-A7A8-A34626130524}">
  <ds:schemaRefs>
    <ds:schemaRef ds:uri="http://schemas.microsoft.com/sharepoint/v3/contenttype/forms"/>
  </ds:schemaRefs>
</ds:datastoreItem>
</file>

<file path=customXml/itemProps2.xml><?xml version="1.0" encoding="utf-8"?>
<ds:datastoreItem xmlns:ds="http://schemas.openxmlformats.org/officeDocument/2006/customXml" ds:itemID="{50835B0D-473A-41C0-AE42-467C0886C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860D9E-C3CD-4C81-8F4E-67CC91AF42E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9851</Words>
  <Characters>5616</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2021-06-18T08:34:00Z</dcterms:created>
  <dcterms:modified xsi:type="dcterms:W3CDTF">2021-06-18T08:34:00Z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