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F5C" w:rsidRDefault="00256F5C" w:rsidP="008E47AE">
      <w:pPr>
        <w:spacing w:after="0" w:line="240" w:lineRule="auto"/>
        <w:ind w:firstLine="709"/>
        <w:jc w:val="both"/>
        <w:rPr>
          <w:rFonts w:ascii="Times New Roman" w:hAnsi="Times New Roman"/>
          <w:b/>
          <w:sz w:val="28"/>
          <w:szCs w:val="28"/>
          <w:lang w:val="en-US"/>
        </w:rPr>
      </w:pPr>
    </w:p>
    <w:p w:rsidR="003D4669" w:rsidRDefault="003D4669" w:rsidP="008E47AE">
      <w:pPr>
        <w:spacing w:after="0" w:line="240" w:lineRule="auto"/>
        <w:ind w:firstLine="709"/>
        <w:jc w:val="both"/>
        <w:rPr>
          <w:rFonts w:ascii="Times New Roman" w:hAnsi="Times New Roman"/>
          <w:b/>
          <w:sz w:val="28"/>
          <w:szCs w:val="28"/>
          <w:lang w:val="en-US"/>
        </w:rPr>
      </w:pPr>
    </w:p>
    <w:p w:rsidR="003D4669" w:rsidRPr="003D4669" w:rsidRDefault="003D4669" w:rsidP="003D4669">
      <w:pPr>
        <w:spacing w:after="0" w:line="240" w:lineRule="auto"/>
        <w:ind w:firstLine="709"/>
        <w:jc w:val="right"/>
        <w:rPr>
          <w:rFonts w:ascii="Times New Roman" w:eastAsia="Times New Roman" w:hAnsi="Times New Roman"/>
          <w:sz w:val="24"/>
          <w:szCs w:val="24"/>
        </w:rPr>
      </w:pPr>
    </w:p>
    <w:p w:rsidR="003D4669" w:rsidRPr="003D4669" w:rsidRDefault="003D4669" w:rsidP="003D4669">
      <w:pPr>
        <w:spacing w:after="0" w:line="240" w:lineRule="auto"/>
        <w:ind w:firstLine="709"/>
        <w:jc w:val="right"/>
        <w:rPr>
          <w:rFonts w:ascii="Times New Roman" w:eastAsia="Times New Roman" w:hAnsi="Times New Roman"/>
          <w:sz w:val="24"/>
          <w:szCs w:val="24"/>
        </w:rPr>
      </w:pPr>
    </w:p>
    <w:p w:rsidR="003D4669" w:rsidRPr="003D4669" w:rsidRDefault="003D4669" w:rsidP="003D4669">
      <w:pPr>
        <w:spacing w:after="0" w:line="240" w:lineRule="auto"/>
        <w:ind w:firstLine="709"/>
        <w:jc w:val="right"/>
        <w:rPr>
          <w:rFonts w:ascii="Times New Roman" w:eastAsia="Times New Roman" w:hAnsi="Times New Roman"/>
          <w:sz w:val="24"/>
          <w:szCs w:val="24"/>
        </w:rPr>
      </w:pPr>
    </w:p>
    <w:p w:rsidR="003D4669" w:rsidRPr="003D4669" w:rsidRDefault="003D4669" w:rsidP="003D4669">
      <w:pPr>
        <w:spacing w:after="0" w:line="240" w:lineRule="auto"/>
        <w:ind w:firstLine="709"/>
        <w:jc w:val="right"/>
        <w:rPr>
          <w:rFonts w:ascii="Times New Roman" w:eastAsia="Times New Roman" w:hAnsi="Times New Roman"/>
          <w:sz w:val="24"/>
          <w:szCs w:val="24"/>
        </w:rPr>
      </w:pPr>
    </w:p>
    <w:p w:rsidR="003D4669" w:rsidRPr="003D4669" w:rsidRDefault="003D4669" w:rsidP="003D4669">
      <w:pPr>
        <w:spacing w:after="0" w:line="240" w:lineRule="auto"/>
        <w:ind w:firstLine="709"/>
        <w:jc w:val="right"/>
        <w:rPr>
          <w:rFonts w:ascii="Times New Roman" w:eastAsia="Times New Roman" w:hAnsi="Times New Roman"/>
          <w:sz w:val="24"/>
          <w:szCs w:val="24"/>
        </w:rPr>
      </w:pPr>
    </w:p>
    <w:p w:rsidR="003D4669" w:rsidRPr="003D4669" w:rsidRDefault="003D4669" w:rsidP="003D4669">
      <w:pPr>
        <w:spacing w:after="0" w:line="240" w:lineRule="auto"/>
        <w:ind w:firstLine="709"/>
        <w:jc w:val="center"/>
        <w:rPr>
          <w:rFonts w:ascii="Times New Roman" w:eastAsia="Times New Roman" w:hAnsi="Times New Roman"/>
          <w:b/>
          <w:sz w:val="28"/>
          <w:szCs w:val="28"/>
        </w:rPr>
      </w:pPr>
    </w:p>
    <w:p w:rsidR="003D4669" w:rsidRPr="003D4669" w:rsidRDefault="003D4669" w:rsidP="003D4669">
      <w:pPr>
        <w:spacing w:after="0" w:line="240" w:lineRule="auto"/>
        <w:ind w:firstLine="709"/>
        <w:jc w:val="center"/>
        <w:rPr>
          <w:rFonts w:ascii="Times New Roman" w:eastAsia="Times New Roman" w:hAnsi="Times New Roman"/>
          <w:b/>
          <w:sz w:val="28"/>
          <w:szCs w:val="28"/>
        </w:rPr>
      </w:pPr>
    </w:p>
    <w:p w:rsidR="003D4669" w:rsidRPr="003D4669" w:rsidRDefault="003D4669" w:rsidP="003D4669">
      <w:pPr>
        <w:spacing w:after="0" w:line="240" w:lineRule="auto"/>
        <w:ind w:firstLine="709"/>
        <w:jc w:val="center"/>
        <w:rPr>
          <w:rFonts w:ascii="Times New Roman" w:eastAsia="Times New Roman" w:hAnsi="Times New Roman"/>
          <w:b/>
          <w:sz w:val="28"/>
          <w:szCs w:val="28"/>
        </w:rPr>
      </w:pPr>
    </w:p>
    <w:p w:rsidR="003D4669" w:rsidRPr="003D4669" w:rsidRDefault="003D4669" w:rsidP="003D4669">
      <w:pPr>
        <w:spacing w:after="0" w:line="240" w:lineRule="auto"/>
        <w:jc w:val="center"/>
        <w:rPr>
          <w:rFonts w:ascii="Times New Roman" w:eastAsia="Times New Roman" w:hAnsi="Times New Roman"/>
          <w:b/>
          <w:sz w:val="28"/>
          <w:szCs w:val="28"/>
        </w:rPr>
      </w:pPr>
      <w:bookmarkStart w:id="0" w:name="_GoBack"/>
      <w:r w:rsidRPr="003D4669">
        <w:rPr>
          <w:rFonts w:ascii="Times New Roman" w:eastAsia="Times New Roman" w:hAnsi="Times New Roman"/>
          <w:b/>
          <w:sz w:val="28"/>
          <w:szCs w:val="28"/>
        </w:rPr>
        <w:t>ВИСНОВОК</w:t>
      </w:r>
    </w:p>
    <w:p w:rsidR="003D4669" w:rsidRPr="003D4669" w:rsidRDefault="003D4669" w:rsidP="003D4669">
      <w:pPr>
        <w:spacing w:after="0" w:line="240" w:lineRule="auto"/>
        <w:ind w:right="502"/>
        <w:jc w:val="center"/>
        <w:textAlignment w:val="baseline"/>
        <w:rPr>
          <w:rFonts w:ascii="Times New Roman" w:eastAsia="Times New Roman" w:hAnsi="Times New Roman"/>
          <w:b/>
          <w:bCs/>
          <w:sz w:val="28"/>
          <w:szCs w:val="28"/>
        </w:rPr>
      </w:pPr>
      <w:r w:rsidRPr="003D4669">
        <w:rPr>
          <w:rFonts w:ascii="Times New Roman" w:eastAsia="Times New Roman" w:hAnsi="Times New Roman"/>
          <w:b/>
          <w:bCs/>
          <w:sz w:val="28"/>
          <w:szCs w:val="28"/>
        </w:rPr>
        <w:t>на проект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w:t>
      </w:r>
    </w:p>
    <w:p w:rsidR="003D4669" w:rsidRPr="003D4669" w:rsidRDefault="003D4669" w:rsidP="003D4669">
      <w:pPr>
        <w:spacing w:after="0" w:line="240" w:lineRule="auto"/>
        <w:ind w:right="502" w:firstLine="709"/>
        <w:jc w:val="center"/>
        <w:textAlignment w:val="baseline"/>
        <w:rPr>
          <w:rFonts w:ascii="Times New Roman" w:eastAsia="Times New Roman" w:hAnsi="Times New Roman"/>
          <w:b/>
          <w:bCs/>
          <w:sz w:val="28"/>
          <w:szCs w:val="28"/>
        </w:rPr>
      </w:pPr>
    </w:p>
    <w:p w:rsidR="003D4669" w:rsidRPr="003D4669" w:rsidRDefault="003D4669" w:rsidP="003D4669">
      <w:pPr>
        <w:spacing w:after="0" w:line="240" w:lineRule="auto"/>
        <w:ind w:firstLine="709"/>
        <w:jc w:val="both"/>
        <w:rPr>
          <w:rFonts w:ascii="Times New Roman" w:eastAsia="Times New Roman" w:hAnsi="Times New Roman"/>
          <w:bCs/>
          <w:sz w:val="28"/>
          <w:szCs w:val="28"/>
          <w:lang w:eastAsia="uk-UA"/>
        </w:rPr>
      </w:pPr>
      <w:r w:rsidRPr="003D4669">
        <w:rPr>
          <w:rFonts w:ascii="Times New Roman" w:eastAsia="Times New Roman" w:hAnsi="Times New Roman"/>
          <w:sz w:val="28"/>
          <w:szCs w:val="28"/>
        </w:rPr>
        <w:t xml:space="preserve">У проекті пропонується удосконалити деякі положення Податкового кодексу України (далі – ПК) у частині, що стосується, зокрема, загальних питань адміністрування податків, податків на прибуток підприємств, доходи фізичних осіб, додану вартість, акцизного та екологічного податків, рентної плати, плати за землю, умов перебування на спрощеній системі оподаткування  тощо. Також, у зв’язку із змінами до ПК, пропонується внести зміни до законів України «Про державну підтримку сільського господарства України» та </w:t>
      </w:r>
      <w:r w:rsidRPr="003D4669">
        <w:rPr>
          <w:rFonts w:ascii="Times New Roman" w:eastAsia="Times New Roman" w:hAnsi="Times New Roman"/>
          <w:sz w:val="28"/>
          <w:szCs w:val="28"/>
        </w:rPr>
        <w:br/>
        <w:t>«</w:t>
      </w:r>
      <w:r w:rsidRPr="003D4669">
        <w:rPr>
          <w:rFonts w:ascii="Times New Roman" w:eastAsia="Times New Roman" w:hAnsi="Times New Roman"/>
          <w:bCs/>
          <w:sz w:val="28"/>
          <w:szCs w:val="28"/>
          <w:lang w:eastAsia="uk-UA"/>
        </w:rPr>
        <w:t xml:space="preserve">Про місцеве самоврядування в Україні». </w:t>
      </w:r>
    </w:p>
    <w:p w:rsidR="003D4669" w:rsidRPr="003D4669" w:rsidRDefault="003D4669" w:rsidP="003D4669">
      <w:pPr>
        <w:spacing w:after="0" w:line="240" w:lineRule="auto"/>
        <w:ind w:firstLine="709"/>
        <w:jc w:val="both"/>
        <w:rPr>
          <w:rFonts w:ascii="Times New Roman" w:eastAsia="Times New Roman" w:hAnsi="Times New Roman"/>
          <w:sz w:val="28"/>
          <w:szCs w:val="28"/>
        </w:rPr>
      </w:pPr>
      <w:r w:rsidRPr="003D4669">
        <w:rPr>
          <w:rFonts w:ascii="Times New Roman" w:eastAsia="Times New Roman" w:hAnsi="Times New Roman"/>
          <w:sz w:val="28"/>
          <w:szCs w:val="28"/>
        </w:rPr>
        <w:t>Метою проекту згідно із пояснювальною запискою до нього є «забезпечення збалансованості бюджетних надходжень шляхом індексації деяких ставок податків та введення нових підходів до їх розрахунку».</w:t>
      </w:r>
    </w:p>
    <w:p w:rsidR="003D4669" w:rsidRPr="003D4669" w:rsidRDefault="003D4669" w:rsidP="003D4669">
      <w:pPr>
        <w:spacing w:after="0" w:line="240" w:lineRule="auto"/>
        <w:ind w:firstLine="709"/>
        <w:jc w:val="both"/>
        <w:rPr>
          <w:rFonts w:ascii="Times New Roman" w:eastAsia="Times New Roman" w:hAnsi="Times New Roman"/>
          <w:bCs/>
          <w:sz w:val="28"/>
          <w:szCs w:val="28"/>
          <w:lang w:eastAsia="uk-UA"/>
        </w:rPr>
      </w:pPr>
      <w:r w:rsidRPr="003D4669">
        <w:rPr>
          <w:rFonts w:ascii="Times New Roman" w:eastAsia="Times New Roman" w:hAnsi="Times New Roman"/>
          <w:bCs/>
          <w:sz w:val="28"/>
          <w:szCs w:val="28"/>
          <w:lang w:eastAsia="uk-UA"/>
        </w:rPr>
        <w:t xml:space="preserve">Проект визначений альтернативним до проекту реєстр. № 5600 від 02.06.2021 та, до певної міри, дублює його положення, зокрема, у частині механізму оподаткування доходів фізичних та юридичних осіб,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індексації ставок акцизного та екологічного податків; оподаткування самовільно зайнятих, без оформлення правовстановлюючих документів земельних ділянок; оподаткування доходу фізичної особи, отриманого від продажу протягом звітного податкового року третього та наступних об’єктів нерухомості тощо. </w:t>
      </w:r>
    </w:p>
    <w:p w:rsidR="003D4669" w:rsidRPr="003D4669" w:rsidRDefault="003D4669" w:rsidP="003D4669">
      <w:pPr>
        <w:spacing w:after="0" w:line="240" w:lineRule="auto"/>
        <w:ind w:firstLine="709"/>
        <w:jc w:val="both"/>
        <w:rPr>
          <w:rFonts w:ascii="Times New Roman" w:eastAsia="Times New Roman" w:hAnsi="Times New Roman"/>
          <w:sz w:val="28"/>
          <w:szCs w:val="28"/>
        </w:rPr>
      </w:pPr>
      <w:r w:rsidRPr="003D4669">
        <w:rPr>
          <w:rFonts w:ascii="Times New Roman" w:eastAsia="Times New Roman" w:hAnsi="Times New Roman"/>
          <w:sz w:val="28"/>
          <w:szCs w:val="28"/>
        </w:rPr>
        <w:t>Серед ключових особливостей проекту слід відмітити, зокрема, пропозиції щодо:</w:t>
      </w:r>
    </w:p>
    <w:p w:rsidR="003D4669" w:rsidRPr="003D4669" w:rsidRDefault="003D4669" w:rsidP="003D4669">
      <w:pPr>
        <w:spacing w:after="0" w:line="240" w:lineRule="auto"/>
        <w:ind w:firstLine="709"/>
        <w:jc w:val="both"/>
        <w:rPr>
          <w:rFonts w:ascii="Times New Roman" w:eastAsia="Times New Roman" w:hAnsi="Times New Roman"/>
          <w:sz w:val="28"/>
          <w:szCs w:val="28"/>
        </w:rPr>
      </w:pPr>
      <w:r w:rsidRPr="003D4669">
        <w:rPr>
          <w:rFonts w:ascii="Times New Roman" w:eastAsia="Times New Roman" w:hAnsi="Times New Roman"/>
          <w:sz w:val="28"/>
          <w:szCs w:val="28"/>
        </w:rPr>
        <w:t>спрямування частини екологічного податку на заходи, що призводять до скорочення викидів двоокису вуглецю;</w:t>
      </w:r>
    </w:p>
    <w:p w:rsidR="003D4669" w:rsidRPr="003D4669" w:rsidRDefault="003D4669" w:rsidP="003D4669">
      <w:pPr>
        <w:spacing w:after="0" w:line="240" w:lineRule="auto"/>
        <w:ind w:firstLine="709"/>
        <w:jc w:val="both"/>
        <w:rPr>
          <w:rFonts w:ascii="Times New Roman" w:eastAsia="Times New Roman" w:hAnsi="Times New Roman"/>
          <w:sz w:val="28"/>
          <w:szCs w:val="28"/>
        </w:rPr>
      </w:pPr>
      <w:r w:rsidRPr="003D4669">
        <w:rPr>
          <w:rFonts w:ascii="Times New Roman" w:eastAsia="Times New Roman" w:hAnsi="Times New Roman"/>
          <w:sz w:val="28"/>
          <w:szCs w:val="28"/>
        </w:rPr>
        <w:t>обмеження строку перенесення збитків минулих періодів для платників податків на прибуток підприємств;</w:t>
      </w:r>
    </w:p>
    <w:p w:rsidR="003D4669" w:rsidRPr="003D4669" w:rsidRDefault="003D4669" w:rsidP="003D4669">
      <w:pPr>
        <w:tabs>
          <w:tab w:val="left" w:pos="1134"/>
        </w:tabs>
        <w:spacing w:after="0" w:line="240" w:lineRule="auto"/>
        <w:ind w:firstLine="709"/>
        <w:jc w:val="both"/>
        <w:rPr>
          <w:rFonts w:ascii="Times New Roman" w:eastAsia="Times New Roman" w:hAnsi="Times New Roman"/>
          <w:sz w:val="28"/>
          <w:szCs w:val="28"/>
        </w:rPr>
      </w:pPr>
      <w:r w:rsidRPr="003D4669">
        <w:rPr>
          <w:rFonts w:ascii="Times New Roman" w:eastAsia="Times New Roman" w:hAnsi="Times New Roman"/>
          <w:sz w:val="28"/>
          <w:szCs w:val="28"/>
        </w:rPr>
        <w:t xml:space="preserve">зменшення для цілей оподаткування доходів, отриманих від продажу власної сільськогосподарської продукції, сукупного розміру земельних ділянок, </w:t>
      </w:r>
      <w:r w:rsidRPr="003D4669">
        <w:rPr>
          <w:rFonts w:ascii="Times New Roman" w:eastAsia="Times New Roman" w:hAnsi="Times New Roman"/>
          <w:sz w:val="28"/>
          <w:szCs w:val="28"/>
        </w:rPr>
        <w:lastRenderedPageBreak/>
        <w:t>наданих для ведення особистого селянського господарства, та/або земельних часток (паїв), виділених в натурі (на місцевості), з 2 до 1 гектара;</w:t>
      </w:r>
    </w:p>
    <w:p w:rsidR="003D4669" w:rsidRPr="003D4669" w:rsidRDefault="003D4669" w:rsidP="003D4669">
      <w:pPr>
        <w:tabs>
          <w:tab w:val="left" w:pos="1134"/>
        </w:tabs>
        <w:spacing w:after="0" w:line="240" w:lineRule="auto"/>
        <w:ind w:firstLine="709"/>
        <w:jc w:val="both"/>
        <w:rPr>
          <w:rFonts w:ascii="Times New Roman" w:eastAsia="Times New Roman" w:hAnsi="Times New Roman"/>
          <w:sz w:val="28"/>
          <w:szCs w:val="28"/>
        </w:rPr>
      </w:pPr>
      <w:r w:rsidRPr="003D4669">
        <w:rPr>
          <w:rFonts w:ascii="Times New Roman" w:eastAsia="Times New Roman" w:hAnsi="Times New Roman"/>
          <w:sz w:val="28"/>
          <w:szCs w:val="28"/>
        </w:rPr>
        <w:t>скасування ставки податку на додану вартість у розмірі 14% по операціях з постачання на митній території України та ввезення на митну територію України деякої сільськогосподарської продукції;</w:t>
      </w:r>
    </w:p>
    <w:p w:rsidR="003D4669" w:rsidRPr="003D4669" w:rsidRDefault="003D4669" w:rsidP="003D4669">
      <w:pPr>
        <w:tabs>
          <w:tab w:val="left" w:pos="1134"/>
        </w:tabs>
        <w:spacing w:after="0" w:line="240" w:lineRule="auto"/>
        <w:ind w:firstLine="709"/>
        <w:jc w:val="both"/>
        <w:rPr>
          <w:rFonts w:ascii="Times New Roman" w:eastAsia="Times New Roman" w:hAnsi="Times New Roman"/>
          <w:sz w:val="28"/>
          <w:szCs w:val="28"/>
        </w:rPr>
      </w:pPr>
      <w:r w:rsidRPr="003D4669">
        <w:rPr>
          <w:rFonts w:ascii="Times New Roman" w:eastAsia="Times New Roman" w:hAnsi="Times New Roman"/>
          <w:sz w:val="28"/>
          <w:szCs w:val="28"/>
        </w:rPr>
        <w:t>зміни підходу до оподаткування рентною платою та, як наслідок, ставок рентної плати для руд заліза та марганцевих руд;</w:t>
      </w:r>
    </w:p>
    <w:p w:rsidR="003D4669" w:rsidRPr="003D4669" w:rsidRDefault="003D4669" w:rsidP="003D4669">
      <w:pPr>
        <w:tabs>
          <w:tab w:val="left" w:pos="1134"/>
        </w:tabs>
        <w:spacing w:after="0" w:line="240" w:lineRule="auto"/>
        <w:ind w:firstLine="709"/>
        <w:jc w:val="both"/>
        <w:rPr>
          <w:rFonts w:ascii="Times New Roman" w:eastAsia="Times New Roman" w:hAnsi="Times New Roman"/>
          <w:sz w:val="28"/>
          <w:szCs w:val="28"/>
        </w:rPr>
      </w:pPr>
      <w:r w:rsidRPr="003D4669">
        <w:rPr>
          <w:rFonts w:ascii="Times New Roman" w:eastAsia="Times New Roman" w:hAnsi="Times New Roman"/>
          <w:sz w:val="28"/>
          <w:szCs w:val="28"/>
        </w:rPr>
        <w:t>встановлення пільг із земельного податку для земель залізничного транспорту;</w:t>
      </w:r>
    </w:p>
    <w:p w:rsidR="003D4669" w:rsidRPr="003D4669" w:rsidRDefault="003D4669" w:rsidP="003D4669">
      <w:pPr>
        <w:tabs>
          <w:tab w:val="left" w:pos="1134"/>
        </w:tabs>
        <w:spacing w:after="0" w:line="240" w:lineRule="auto"/>
        <w:ind w:firstLine="709"/>
        <w:jc w:val="both"/>
        <w:rPr>
          <w:rFonts w:ascii="Times New Roman" w:eastAsia="Times New Roman" w:hAnsi="Times New Roman"/>
          <w:sz w:val="28"/>
          <w:szCs w:val="28"/>
        </w:rPr>
      </w:pPr>
      <w:r w:rsidRPr="003D4669">
        <w:rPr>
          <w:rFonts w:ascii="Times New Roman" w:eastAsia="Times New Roman" w:hAnsi="Times New Roman"/>
          <w:sz w:val="28"/>
          <w:szCs w:val="28"/>
        </w:rPr>
        <w:t>невіднесення до платників єдиного податку 4 групи суб’єктів господарювання, які провадять діяльність з переробки насіння та плодів олійних культур (арахісу, сої, соняшнику, кользи, рапсу, рижію тощо) та діяльність з виробництва олій з вказаних насінь та плодів олійних культур;</w:t>
      </w:r>
    </w:p>
    <w:p w:rsidR="003D4669" w:rsidRPr="003D4669" w:rsidRDefault="003D4669" w:rsidP="003D4669">
      <w:pPr>
        <w:tabs>
          <w:tab w:val="left" w:pos="1134"/>
        </w:tabs>
        <w:spacing w:after="0" w:line="240" w:lineRule="auto"/>
        <w:ind w:firstLine="709"/>
        <w:jc w:val="both"/>
        <w:rPr>
          <w:rFonts w:ascii="Times New Roman" w:eastAsia="Times New Roman" w:hAnsi="Times New Roman"/>
          <w:sz w:val="28"/>
          <w:szCs w:val="28"/>
        </w:rPr>
      </w:pPr>
      <w:r w:rsidRPr="003D4669">
        <w:rPr>
          <w:rFonts w:ascii="Times New Roman" w:eastAsia="Times New Roman" w:hAnsi="Times New Roman"/>
          <w:sz w:val="28"/>
          <w:szCs w:val="28"/>
        </w:rPr>
        <w:t>встановлення максимального обсягу державної допомоги на одного виробника сільськогосподарської продукції – не більш, ніж 30 млн. грн. (згідно із чинною нормою – «не більше ніж 10 тисяч розмірів мінімальної заробітної плати, встановленої на 1 січня відповідного року» (60 млн. грн., виходячи із мінімальної заробітної плати станом на 1 січня 2021 року).</w:t>
      </w:r>
    </w:p>
    <w:p w:rsidR="003D4669" w:rsidRPr="003D4669" w:rsidRDefault="003D4669" w:rsidP="003D4669">
      <w:pPr>
        <w:spacing w:after="0" w:line="240" w:lineRule="auto"/>
        <w:ind w:firstLine="709"/>
        <w:jc w:val="both"/>
        <w:rPr>
          <w:rFonts w:ascii="Times New Roman" w:eastAsia="Times New Roman" w:hAnsi="Times New Roman"/>
          <w:sz w:val="28"/>
          <w:szCs w:val="28"/>
          <w:lang w:eastAsia="uk-UA"/>
        </w:rPr>
      </w:pPr>
      <w:r w:rsidRPr="003D4669">
        <w:rPr>
          <w:rFonts w:ascii="Times New Roman" w:eastAsia="Times New Roman" w:hAnsi="Times New Roman"/>
          <w:sz w:val="28"/>
          <w:szCs w:val="28"/>
        </w:rPr>
        <w:t>Проект на момент підготовки висновку у Плані законопроектної роботи Верховної Ради України на 2021 рік, затвердженому постановою Верховної Ради України від 02.02.2021 № 1165-IX, відсутній.</w:t>
      </w:r>
    </w:p>
    <w:p w:rsidR="003D4669" w:rsidRPr="003D4669" w:rsidRDefault="003D4669" w:rsidP="003D4669">
      <w:pPr>
        <w:spacing w:after="0" w:line="240" w:lineRule="auto"/>
        <w:ind w:firstLine="709"/>
        <w:jc w:val="both"/>
        <w:rPr>
          <w:rFonts w:ascii="Times New Roman" w:eastAsia="Times New Roman" w:hAnsi="Times New Roman"/>
          <w:sz w:val="28"/>
          <w:szCs w:val="28"/>
        </w:rPr>
      </w:pPr>
      <w:bookmarkStart w:id="1" w:name="_gjdgxs"/>
      <w:bookmarkEnd w:id="1"/>
      <w:r w:rsidRPr="003D4669">
        <w:rPr>
          <w:rFonts w:ascii="Times New Roman" w:eastAsia="Times New Roman" w:hAnsi="Times New Roman"/>
          <w:sz w:val="28"/>
          <w:szCs w:val="28"/>
        </w:rPr>
        <w:t xml:space="preserve">Головне управління, розглянувши проект у вкрай стислий термін, вважає за доцільне зауважити наступне. </w:t>
      </w:r>
    </w:p>
    <w:p w:rsidR="003D4669" w:rsidRPr="003D4669" w:rsidRDefault="003D4669" w:rsidP="003D4669">
      <w:pPr>
        <w:tabs>
          <w:tab w:val="left" w:pos="1134"/>
        </w:tabs>
        <w:spacing w:after="0" w:line="240" w:lineRule="auto"/>
        <w:ind w:firstLine="709"/>
        <w:jc w:val="both"/>
        <w:rPr>
          <w:rFonts w:ascii="Times New Roman" w:eastAsia="Times New Roman" w:hAnsi="Times New Roman"/>
          <w:sz w:val="28"/>
          <w:szCs w:val="28"/>
          <w:lang w:eastAsia="uk-UA"/>
        </w:rPr>
      </w:pPr>
      <w:r w:rsidRPr="003D4669">
        <w:rPr>
          <w:rFonts w:ascii="Times New Roman" w:eastAsia="Times New Roman" w:hAnsi="Times New Roman"/>
          <w:b/>
          <w:sz w:val="28"/>
          <w:szCs w:val="28"/>
        </w:rPr>
        <w:t>1.</w:t>
      </w:r>
      <w:r w:rsidRPr="003D4669">
        <w:rPr>
          <w:rFonts w:ascii="Times New Roman" w:eastAsia="Times New Roman" w:hAnsi="Times New Roman"/>
          <w:sz w:val="28"/>
          <w:szCs w:val="28"/>
        </w:rPr>
        <w:t xml:space="preserve"> Насамперед, з</w:t>
      </w:r>
      <w:r w:rsidRPr="003D4669">
        <w:rPr>
          <w:rFonts w:ascii="Times New Roman" w:eastAsia="Times New Roman" w:hAnsi="Times New Roman"/>
          <w:sz w:val="28"/>
          <w:szCs w:val="28"/>
          <w:lang w:eastAsia="uk-UA"/>
        </w:rPr>
        <w:t xml:space="preserve">вертаємо увагу, що відповідно до ч. 1 ст. 91 Регламенту Верховної Ради України «законопроект, проект іншого акта вноситься на реєстрацію разом з … пояснювальною запискою, яка </w:t>
      </w:r>
      <w:r w:rsidRPr="003D4669">
        <w:rPr>
          <w:rFonts w:ascii="Times New Roman" w:eastAsia="Times New Roman" w:hAnsi="Times New Roman"/>
          <w:i/>
          <w:sz w:val="28"/>
          <w:szCs w:val="28"/>
          <w:lang w:eastAsia="uk-UA"/>
        </w:rPr>
        <w:t xml:space="preserve">має містити: </w:t>
      </w:r>
      <w:r w:rsidRPr="003D4669">
        <w:rPr>
          <w:rFonts w:ascii="Times New Roman" w:eastAsia="Times New Roman" w:hAnsi="Times New Roman"/>
          <w:i/>
          <w:sz w:val="28"/>
          <w:szCs w:val="28"/>
          <w:lang w:eastAsia="uk-UA"/>
        </w:rPr>
        <w:br/>
      </w:r>
      <w:r w:rsidRPr="003D4669">
        <w:rPr>
          <w:rFonts w:ascii="Times New Roman" w:eastAsia="Times New Roman" w:hAnsi="Times New Roman"/>
          <w:sz w:val="28"/>
          <w:szCs w:val="28"/>
          <w:lang w:eastAsia="uk-UA"/>
        </w:rPr>
        <w:t xml:space="preserve">1) обґрунтування необхідності прийняття законопроекту, цілей, завдань і основних його положень та місця в системі законодавства; 2) обґрунтування очікуваних соціально-економічних, правових та інших наслідків застосування закону після його прийняття; 3) інші відомості, необхідні для розгляду законопроекту». Разом із тим, у супровідних до проекту документах відсутнє відповідне обґрунтування пропонованих положень, що суттєво ускладнює їх аналіз, оцінку доцільності вирішення окреслених проблемних питань, у даному випадку, оподаткування, у пропонований спосіб. </w:t>
      </w:r>
    </w:p>
    <w:p w:rsidR="003D4669" w:rsidRPr="003D4669" w:rsidRDefault="003D4669" w:rsidP="003D4669">
      <w:pPr>
        <w:tabs>
          <w:tab w:val="left" w:pos="993"/>
        </w:tabs>
        <w:spacing w:after="0" w:line="240" w:lineRule="auto"/>
        <w:ind w:firstLine="709"/>
        <w:jc w:val="both"/>
        <w:rPr>
          <w:rFonts w:ascii="Times New Roman" w:eastAsia="Times New Roman" w:hAnsi="Times New Roman"/>
          <w:sz w:val="28"/>
          <w:szCs w:val="28"/>
          <w:lang w:eastAsia="uk-UA"/>
        </w:rPr>
      </w:pPr>
      <w:r w:rsidRPr="003D4669">
        <w:rPr>
          <w:rFonts w:ascii="Times New Roman" w:eastAsia="Times New Roman" w:hAnsi="Times New Roman"/>
          <w:sz w:val="28"/>
          <w:szCs w:val="28"/>
          <w:lang w:eastAsia="uk-UA"/>
        </w:rPr>
        <w:t xml:space="preserve">Крім того, відповідно до вимог ч. 3 ст. 91 Регламенту Верховної Ради України, ч. 3 ст. 27 Бюджетного кодексу України «до законопроекту, прийняття якого призведе до </w:t>
      </w:r>
      <w:r w:rsidRPr="003D4669">
        <w:rPr>
          <w:rFonts w:ascii="Times New Roman" w:eastAsia="Times New Roman" w:hAnsi="Times New Roman"/>
          <w:i/>
          <w:sz w:val="28"/>
          <w:szCs w:val="28"/>
          <w:lang w:eastAsia="uk-UA"/>
        </w:rPr>
        <w:t>зміни показників бюджету</w:t>
      </w:r>
      <w:r w:rsidRPr="003D4669">
        <w:rPr>
          <w:rFonts w:ascii="Times New Roman" w:eastAsia="Times New Roman" w:hAnsi="Times New Roman"/>
          <w:sz w:val="28"/>
          <w:szCs w:val="28"/>
          <w:lang w:eastAsia="uk-UA"/>
        </w:rPr>
        <w:t>, суб'єкт права законодавчої ініціативи зобов'язаний додати фінансово-економічне обґрунтування (включаючи відповідні розрахунки)», у тому числі, у частині впливу пропозицій проекту як на показники бюджету, так і на фінансовий стан суб’єктів господарювання, домогосподарств. У супровідних до проекту документах такі обґрунтування, розрахунки відсутні.</w:t>
      </w:r>
    </w:p>
    <w:p w:rsidR="003D4669" w:rsidRPr="003D4669" w:rsidRDefault="003D4669" w:rsidP="003D4669">
      <w:pPr>
        <w:spacing w:after="0" w:line="240" w:lineRule="auto"/>
        <w:ind w:firstLine="708"/>
        <w:jc w:val="both"/>
        <w:rPr>
          <w:rFonts w:ascii="Times New Roman" w:eastAsia="Times New Roman" w:hAnsi="Times New Roman"/>
          <w:sz w:val="28"/>
          <w:szCs w:val="28"/>
        </w:rPr>
      </w:pPr>
      <w:r w:rsidRPr="003D4669">
        <w:rPr>
          <w:rFonts w:ascii="Times New Roman" w:eastAsia="Times New Roman" w:hAnsi="Times New Roman"/>
          <w:b/>
          <w:sz w:val="28"/>
          <w:szCs w:val="28"/>
        </w:rPr>
        <w:t>2.</w:t>
      </w:r>
      <w:r w:rsidRPr="003D4669">
        <w:rPr>
          <w:rFonts w:ascii="Times New Roman" w:eastAsia="Times New Roman" w:hAnsi="Times New Roman"/>
          <w:sz w:val="28"/>
          <w:szCs w:val="28"/>
        </w:rPr>
        <w:t xml:space="preserve"> Назва проекту – «Про внесення змін до Податкового кодексу України та деяких законодавчих актів України щодо </w:t>
      </w:r>
      <w:r w:rsidRPr="003D4669">
        <w:rPr>
          <w:rFonts w:ascii="Times New Roman" w:eastAsia="Times New Roman" w:hAnsi="Times New Roman"/>
          <w:i/>
          <w:sz w:val="28"/>
          <w:szCs w:val="28"/>
        </w:rPr>
        <w:t>забезпечення збалансованості бюджетних надходжень</w:t>
      </w:r>
      <w:r w:rsidRPr="003D4669">
        <w:rPr>
          <w:rFonts w:ascii="Times New Roman" w:eastAsia="Times New Roman" w:hAnsi="Times New Roman"/>
          <w:sz w:val="28"/>
          <w:szCs w:val="28"/>
        </w:rPr>
        <w:t xml:space="preserve">» – не розкриває, власне, предмет проекту. </w:t>
      </w:r>
      <w:r w:rsidRPr="003D4669">
        <w:rPr>
          <w:rFonts w:ascii="Times New Roman" w:eastAsia="Times New Roman" w:hAnsi="Times New Roman"/>
          <w:sz w:val="28"/>
          <w:szCs w:val="28"/>
        </w:rPr>
        <w:lastRenderedPageBreak/>
        <w:t>Насамперед, виникає питання, про яку «збалансованість бюджетних надходжень» йде мова – між джерелами бюджетних доходів, між доходами бюджетів різних рівнів чи між доходами та видатками бюджетів. Про останнє ж у проекті взагалі не йдеться.</w:t>
      </w:r>
    </w:p>
    <w:p w:rsidR="003D4669" w:rsidRPr="003D4669" w:rsidRDefault="003D4669" w:rsidP="003D4669">
      <w:pPr>
        <w:spacing w:after="0" w:line="240" w:lineRule="auto"/>
        <w:ind w:firstLine="708"/>
        <w:jc w:val="both"/>
        <w:rPr>
          <w:rFonts w:ascii="Times New Roman" w:eastAsia="Times New Roman" w:hAnsi="Times New Roman"/>
          <w:sz w:val="28"/>
          <w:szCs w:val="28"/>
          <w:lang w:eastAsia="ru-RU"/>
        </w:rPr>
      </w:pPr>
      <w:r w:rsidRPr="003D4669">
        <w:rPr>
          <w:rFonts w:ascii="Times New Roman" w:eastAsia="Times New Roman" w:hAnsi="Times New Roman"/>
          <w:sz w:val="28"/>
          <w:szCs w:val="28"/>
        </w:rPr>
        <w:t>Зауважимо також, що відсутність у супровідних до проекту документах фінансово-економічного обґрунтування (включаючи розрахунки), серед іншого, не дозволяє оцінити спрямованість пропозицій проекту саме на «забезпечення збалансованості бюджетних надходжень». У пояснювальній записці до проекту суб’єкт права законодавчої ініціативи обмежується лише положенням, за яким «р</w:t>
      </w:r>
      <w:r w:rsidRPr="003D4669">
        <w:rPr>
          <w:rFonts w:ascii="Times New Roman" w:eastAsia="Times New Roman" w:hAnsi="Times New Roman"/>
          <w:sz w:val="28"/>
          <w:szCs w:val="28"/>
          <w:lang w:eastAsia="ru-RU"/>
        </w:rPr>
        <w:t xml:space="preserve">еалізація положень цього проекту Закону повинно сприяти збільшенню надходжень до  Державного бюджету України понад 10 млрд гривень на рік. </w:t>
      </w:r>
      <w:r w:rsidRPr="003D4669">
        <w:rPr>
          <w:rFonts w:ascii="Times" w:eastAsia="Times New Roman" w:hAnsi="Times" w:cs="Times"/>
          <w:sz w:val="28"/>
          <w:szCs w:val="28"/>
        </w:rPr>
        <w:t>Прийняття та реалізація положень законопроекту не потребує витрат з Державного бюджету України».</w:t>
      </w:r>
    </w:p>
    <w:p w:rsidR="003D4669" w:rsidRPr="003D4669" w:rsidRDefault="003D4669" w:rsidP="003D4669">
      <w:pPr>
        <w:spacing w:after="0" w:line="240" w:lineRule="auto"/>
        <w:ind w:firstLine="708"/>
        <w:jc w:val="both"/>
        <w:rPr>
          <w:rFonts w:ascii="Times New Roman" w:hAnsi="Times New Roman"/>
          <w:sz w:val="28"/>
          <w:szCs w:val="28"/>
        </w:rPr>
      </w:pPr>
      <w:r w:rsidRPr="003D4669">
        <w:rPr>
          <w:rFonts w:ascii="Times New Roman" w:hAnsi="Times New Roman"/>
          <w:b/>
          <w:sz w:val="28"/>
          <w:szCs w:val="28"/>
        </w:rPr>
        <w:t xml:space="preserve">3. </w:t>
      </w:r>
      <w:r w:rsidRPr="003D4669">
        <w:rPr>
          <w:rFonts w:ascii="Times New Roman" w:hAnsi="Times New Roman"/>
          <w:sz w:val="28"/>
          <w:szCs w:val="28"/>
        </w:rPr>
        <w:t>Положення нового абз. 2 пп. 14.1.57 п. 14.1 ст. 14 ПК, відповідно до якого «</w:t>
      </w:r>
      <w:r w:rsidRPr="003D4669">
        <w:rPr>
          <w:rFonts w:ascii="Times New Roman" w:hAnsi="Times New Roman"/>
          <w:i/>
          <w:sz w:val="28"/>
          <w:szCs w:val="28"/>
        </w:rPr>
        <w:t>екологічний податок, передбачений п. 243.4 статті 243 цього Кодексу, в порядку, встановленому Бюджетним Кодексом України, спрямовується на заходи, що призводять до скорочення викидів двоокису вуглецю (декарбонізацію) галузей, віднесених до секції C «Переробна промисловість» та D  «Постачання  електроенергії,  газу, пари та кондиційованого повітря» національного класифікатора ДК 009:2010 «Класифікація видів економічної діяльності</w:t>
      </w:r>
      <w:r w:rsidRPr="003D4669">
        <w:rPr>
          <w:rFonts w:ascii="Times New Roman" w:hAnsi="Times New Roman"/>
          <w:sz w:val="28"/>
          <w:szCs w:val="28"/>
        </w:rPr>
        <w:t>»», не належить до предмету регулювання ПК, а має визначатись виключно бюджетним законодавством. Принагідно зауважимо, що чинним Бюджетним кодексом України вказаного напряму бюджетних видатків не передбачено.</w:t>
      </w:r>
    </w:p>
    <w:p w:rsidR="003D4669" w:rsidRPr="003D4669" w:rsidRDefault="003D4669" w:rsidP="003D4669">
      <w:pPr>
        <w:spacing w:after="0" w:line="240" w:lineRule="auto"/>
        <w:ind w:firstLine="708"/>
        <w:jc w:val="both"/>
        <w:rPr>
          <w:rFonts w:ascii="Times New Roman" w:eastAsia="Times New Roman" w:hAnsi="Times New Roman"/>
          <w:sz w:val="28"/>
          <w:szCs w:val="28"/>
          <w:lang w:eastAsia="uk-UA"/>
        </w:rPr>
      </w:pPr>
      <w:r w:rsidRPr="003D4669">
        <w:rPr>
          <w:rFonts w:ascii="Times New Roman" w:hAnsi="Times New Roman"/>
          <w:b/>
          <w:sz w:val="28"/>
          <w:szCs w:val="28"/>
        </w:rPr>
        <w:t>4.</w:t>
      </w:r>
      <w:r w:rsidRPr="003D4669">
        <w:rPr>
          <w:rFonts w:ascii="Times New Roman" w:hAnsi="Times New Roman"/>
          <w:sz w:val="28"/>
          <w:szCs w:val="28"/>
        </w:rPr>
        <w:t xml:space="preserve"> </w:t>
      </w:r>
      <w:r w:rsidRPr="003D4669">
        <w:rPr>
          <w:rFonts w:ascii="Times New Roman" w:eastAsia="Times New Roman" w:hAnsi="Times New Roman"/>
          <w:sz w:val="28"/>
          <w:szCs w:val="28"/>
          <w:lang w:eastAsia="uk-UA"/>
        </w:rPr>
        <w:t xml:space="preserve">Відповідно до нових </w:t>
      </w:r>
      <w:bookmarkStart w:id="2" w:name="_Hlk73888478"/>
      <w:r w:rsidRPr="003D4669">
        <w:rPr>
          <w:rFonts w:ascii="Times New Roman" w:eastAsia="Times New Roman" w:hAnsi="Times New Roman"/>
          <w:sz w:val="28"/>
          <w:szCs w:val="28"/>
          <w:lang w:eastAsia="uk-UA"/>
        </w:rPr>
        <w:t>пп. </w:t>
      </w:r>
      <w:r w:rsidRPr="003D4669">
        <w:rPr>
          <w:rFonts w:ascii="Times New Roman" w:eastAsia="Times New Roman" w:hAnsi="Times New Roman"/>
          <w:bCs/>
          <w:sz w:val="28"/>
          <w:szCs w:val="28"/>
        </w:rPr>
        <w:t>14.1.183</w:t>
      </w:r>
      <w:r w:rsidRPr="003D4669">
        <w:rPr>
          <w:rFonts w:ascii="Times New Roman" w:eastAsia="Times New Roman" w:hAnsi="Times New Roman"/>
          <w:bCs/>
          <w:sz w:val="28"/>
          <w:szCs w:val="28"/>
          <w:vertAlign w:val="superscript"/>
        </w:rPr>
        <w:t xml:space="preserve">1 </w:t>
      </w:r>
      <w:r w:rsidRPr="003D4669">
        <w:rPr>
          <w:rFonts w:ascii="Times New Roman" w:eastAsia="Times New Roman" w:hAnsi="Times New Roman"/>
          <w:bCs/>
          <w:sz w:val="28"/>
          <w:szCs w:val="28"/>
        </w:rPr>
        <w:t>п. 14.1 ст. 14</w:t>
      </w:r>
      <w:bookmarkEnd w:id="2"/>
      <w:r w:rsidRPr="003D4669">
        <w:rPr>
          <w:rFonts w:ascii="Times New Roman" w:eastAsia="Times New Roman" w:hAnsi="Times New Roman"/>
          <w:bCs/>
          <w:sz w:val="28"/>
          <w:szCs w:val="28"/>
        </w:rPr>
        <w:t>, ст. </w:t>
      </w:r>
      <w:r w:rsidRPr="003D4669">
        <w:rPr>
          <w:rFonts w:ascii="Times New Roman" w:eastAsia="Times New Roman" w:hAnsi="Times New Roman"/>
          <w:sz w:val="28"/>
          <w:szCs w:val="28"/>
        </w:rPr>
        <w:t>38</w:t>
      </w:r>
      <w:r w:rsidRPr="003D4669">
        <w:rPr>
          <w:rFonts w:ascii="Times New Roman" w:eastAsia="Times New Roman" w:hAnsi="Times New Roman"/>
          <w:sz w:val="28"/>
          <w:szCs w:val="28"/>
          <w:vertAlign w:val="superscript"/>
        </w:rPr>
        <w:t>1</w:t>
      </w:r>
      <w:r w:rsidRPr="003D4669">
        <w:rPr>
          <w:rFonts w:ascii="Times New Roman" w:eastAsia="Times New Roman" w:hAnsi="Times New Roman"/>
          <w:sz w:val="28"/>
          <w:szCs w:val="28"/>
        </w:rPr>
        <w:t xml:space="preserve">, п. 141.9 ст. 141, пп. 165.1.24 п. 165.1 ст. 165, п. 170.14 ст. 170, пп. 177.5.4 п. 177.5 ст. 177, </w:t>
      </w:r>
      <w:r w:rsidRPr="003D4669">
        <w:rPr>
          <w:rFonts w:ascii="Times New Roman" w:eastAsia="Times New Roman" w:hAnsi="Times New Roman"/>
          <w:bCs/>
          <w:sz w:val="28"/>
          <w:szCs w:val="28"/>
          <w:lang w:eastAsia="uk-UA"/>
        </w:rPr>
        <w:t>ст. 297</w:t>
      </w:r>
      <w:r w:rsidRPr="003D4669">
        <w:rPr>
          <w:rFonts w:ascii="Times New Roman" w:eastAsia="Times New Roman" w:hAnsi="Times New Roman"/>
          <w:bCs/>
          <w:sz w:val="28"/>
          <w:szCs w:val="28"/>
          <w:vertAlign w:val="superscript"/>
          <w:lang w:eastAsia="uk-UA"/>
        </w:rPr>
        <w:t>1</w:t>
      </w:r>
      <w:r w:rsidRPr="003D4669">
        <w:rPr>
          <w:rFonts w:ascii="Times New Roman" w:eastAsia="Times New Roman" w:hAnsi="Times New Roman"/>
          <w:bCs/>
          <w:sz w:val="28"/>
          <w:szCs w:val="28"/>
          <w:lang w:eastAsia="uk-UA"/>
        </w:rPr>
        <w:t xml:space="preserve"> ПК п</w:t>
      </w:r>
      <w:r w:rsidRPr="003D4669">
        <w:rPr>
          <w:rFonts w:ascii="Times New Roman" w:eastAsia="Times New Roman" w:hAnsi="Times New Roman"/>
          <w:sz w:val="28"/>
          <w:szCs w:val="28"/>
          <w:lang w:eastAsia="uk-UA"/>
        </w:rPr>
        <w:t>ропонується запровадити сплату «поставленого податкового зобов’язання» (далі – ППЗ), під яким розуміється «мінімальне податкове зобов’язання юридичної особи або фізичної особи (в тому числі фізичної особи-підприємця) - власника, орендаря, користувача на інших умовах (в тому числі на умовах емфітевзису), земельної ділянки сільськогосподарського призначення (крім несільськогосподарських угідь) та/або земельної частки (паю)». На нашу думку, пропозиція щодо запровадження оподаткування виробників сільськогосподарської продукції на основі ППЗ виглядає дискусійною з огляду, зокрема, на таке.</w:t>
      </w:r>
    </w:p>
    <w:p w:rsidR="003D4669" w:rsidRPr="003D4669" w:rsidRDefault="003D4669" w:rsidP="003D4669">
      <w:pPr>
        <w:spacing w:after="0" w:line="240" w:lineRule="auto"/>
        <w:ind w:firstLine="708"/>
        <w:jc w:val="both"/>
        <w:rPr>
          <w:rFonts w:ascii="Times New Roman" w:eastAsia="Times New Roman" w:hAnsi="Times New Roman"/>
          <w:sz w:val="28"/>
          <w:szCs w:val="28"/>
          <w:lang w:eastAsia="uk-UA"/>
        </w:rPr>
      </w:pPr>
      <w:r w:rsidRPr="003D4669">
        <w:rPr>
          <w:rFonts w:ascii="Times New Roman" w:eastAsia="Times New Roman" w:hAnsi="Times New Roman"/>
          <w:sz w:val="28"/>
          <w:szCs w:val="28"/>
          <w:lang w:eastAsia="uk-UA"/>
        </w:rPr>
        <w:t xml:space="preserve">4.1. Насамперед, не заперечуючи необхідності вирішення питань «тіньової» оренди сільськогосподарських земель, приховування виробниками реально отриманих доходів від реалізації власної сільськогосподарської продукції, уникнення їх оподаткування, що є актуальним на сьогодні в Україні, зауважимо, що їх вирішення, на наш погляд, має відбуватись не шляхом запровадження механізму ППЗ, який, за змістом пропонованих положень, фактично побудований на припущенні, що платники податків, які мають у власності або користуванні земельні ділянки, розглядаються, апріорі, як такі, що ухиляються від сплати податків, а через удосконалення існуючої системи оподаткування доходів від сільськогосподарської діяльності. </w:t>
      </w:r>
    </w:p>
    <w:p w:rsidR="003D4669" w:rsidRPr="003D4669" w:rsidRDefault="003D4669" w:rsidP="003D4669">
      <w:pPr>
        <w:tabs>
          <w:tab w:val="left" w:pos="567"/>
          <w:tab w:val="left" w:pos="709"/>
          <w:tab w:val="left" w:pos="993"/>
          <w:tab w:val="left" w:pos="1276"/>
        </w:tabs>
        <w:spacing w:after="0" w:line="240" w:lineRule="auto"/>
        <w:ind w:firstLine="709"/>
        <w:contextualSpacing/>
        <w:jc w:val="both"/>
        <w:rPr>
          <w:rFonts w:ascii="Times New Roman" w:eastAsia="Times New Roman" w:hAnsi="Times New Roman"/>
          <w:sz w:val="28"/>
          <w:szCs w:val="28"/>
          <w:lang w:eastAsia="ru-RU"/>
        </w:rPr>
      </w:pPr>
      <w:r w:rsidRPr="003D4669">
        <w:rPr>
          <w:rFonts w:ascii="Times New Roman" w:eastAsia="Times New Roman" w:hAnsi="Times New Roman"/>
          <w:sz w:val="28"/>
          <w:szCs w:val="28"/>
          <w:lang w:eastAsia="ru-RU"/>
        </w:rPr>
        <w:lastRenderedPageBreak/>
        <w:t>Пропонований підхід виглядає дискусійним і з огляду на те, що при встановленні ППЗ оподатковується не фактично отриманий, а умовно ймовірний дохід. При цьому, пропонований механізм оподаткування на основі ППЗ не враховує особливостей сільськогосподарського виробництва, зокрема, таких, як: сезонність виробництва, залежність від погодних та біологічних факторів, специфіка окремих видів сільськогосподарського виробництва – наприклад, їх збитковість та потреба у державному субсидіюванні, які, де-факто, визначають рівень прибутковості (збитковості) сільськогосподарського виробництва, а відтак платоспроможність відповідних суб’єктів, у тому числі, у частині сплати податків. При запровадженні ППЗ, яке суттєво збільшує податкове навантаження для відповідної категорії товаровиробників, наявність таких факторів підвищує ризики необґрунтованого виникнення та значного зростання у них податкової заборгованості з відповідними соціально-економічними наслідками.</w:t>
      </w:r>
    </w:p>
    <w:p w:rsidR="003D4669" w:rsidRPr="003D4669" w:rsidRDefault="003D4669" w:rsidP="003D4669">
      <w:pPr>
        <w:tabs>
          <w:tab w:val="left" w:pos="567"/>
          <w:tab w:val="left" w:pos="851"/>
          <w:tab w:val="left" w:pos="993"/>
          <w:tab w:val="left" w:pos="1276"/>
        </w:tabs>
        <w:spacing w:after="0" w:line="240" w:lineRule="auto"/>
        <w:ind w:firstLine="709"/>
        <w:contextualSpacing/>
        <w:jc w:val="both"/>
        <w:rPr>
          <w:rFonts w:ascii="Times New Roman" w:eastAsia="Times New Roman" w:hAnsi="Times New Roman"/>
          <w:sz w:val="28"/>
          <w:szCs w:val="28"/>
          <w:lang w:eastAsia="ru-RU"/>
        </w:rPr>
      </w:pPr>
      <w:r w:rsidRPr="003D4669">
        <w:rPr>
          <w:rFonts w:ascii="Times New Roman" w:eastAsia="Times New Roman" w:hAnsi="Times New Roman"/>
          <w:sz w:val="28"/>
          <w:szCs w:val="28"/>
          <w:lang w:eastAsia="ru-RU"/>
        </w:rPr>
        <w:t>Не заперечуючи того, що запровадження ППЗ може призвести до деякого збільшення бюджетних надходжень та певного рівня детінізації у сфері сільськогосподарського виробництва, разом із тим, вважаємо, що оцінка пропонованого інструменту має носити комплексний характер, насамперед, в аспекті соціальних та економічних наслідків прийняття відповідного рішення. Зокрема, посилення податкового тиску на малих виробників може обумовити продаж або передачу ними в оренду земельних ділянок (що може бути одним із негативних наслідків прийняття проекту) та призвести до зростання безробіття у сільській місцевості, відтоку робочої сили у міста та за кордон, зниження конкуренції та монополізації сільськогосподарського виробництва, зміни структури агровиробництва, товарної структури експорту-імпорту, зростання цінової пропозиції на внутрішньому ринку агропродовольства тощо.</w:t>
      </w:r>
    </w:p>
    <w:p w:rsidR="003D4669" w:rsidRPr="003D4669" w:rsidRDefault="003D4669" w:rsidP="003D4669">
      <w:pPr>
        <w:tabs>
          <w:tab w:val="left" w:pos="567"/>
          <w:tab w:val="left" w:pos="709"/>
          <w:tab w:val="left" w:pos="993"/>
          <w:tab w:val="left" w:pos="1276"/>
        </w:tabs>
        <w:spacing w:after="0" w:line="240" w:lineRule="auto"/>
        <w:ind w:firstLine="709"/>
        <w:contextualSpacing/>
        <w:jc w:val="both"/>
        <w:rPr>
          <w:rFonts w:ascii="Times New Roman" w:eastAsia="Times New Roman" w:hAnsi="Times New Roman"/>
          <w:sz w:val="28"/>
          <w:szCs w:val="28"/>
          <w:lang w:eastAsia="ru-RU"/>
        </w:rPr>
      </w:pPr>
      <w:r w:rsidRPr="003D4669">
        <w:rPr>
          <w:rFonts w:ascii="Times New Roman" w:eastAsia="Times New Roman" w:hAnsi="Times New Roman"/>
          <w:sz w:val="28"/>
          <w:szCs w:val="28"/>
          <w:lang w:eastAsia="ru-RU"/>
        </w:rPr>
        <w:t>Принагідно зауважимо, що у супровідних до проекту документах відсутнє обґрунтування внесеної законодавчої пропозиції саме у контексті зміни фіскального навантаження в агарній сфері, зокрема, у розрізі сільськогосподарських товаровиробників за їх організаційно-правовою формою, зрушень у їх платоспроможності та, відповідно, мотиваційній поведінці щодо доцільності зайняття сільськогосподарською діяльністю як такою.</w:t>
      </w:r>
    </w:p>
    <w:p w:rsidR="003D4669" w:rsidRPr="003D4669" w:rsidRDefault="003D4669" w:rsidP="003D4669">
      <w:pPr>
        <w:tabs>
          <w:tab w:val="left" w:pos="567"/>
          <w:tab w:val="left" w:pos="709"/>
          <w:tab w:val="left" w:pos="993"/>
          <w:tab w:val="left" w:pos="1276"/>
        </w:tabs>
        <w:spacing w:after="0" w:line="240" w:lineRule="auto"/>
        <w:ind w:firstLine="709"/>
        <w:contextualSpacing/>
        <w:jc w:val="both"/>
        <w:rPr>
          <w:rFonts w:ascii="Times New Roman" w:eastAsia="Times New Roman" w:hAnsi="Times New Roman"/>
          <w:sz w:val="28"/>
          <w:szCs w:val="28"/>
          <w:lang w:eastAsia="ru-RU"/>
        </w:rPr>
      </w:pPr>
      <w:r w:rsidRPr="003D4669">
        <w:rPr>
          <w:rFonts w:ascii="Times New Roman" w:eastAsia="Times New Roman" w:hAnsi="Times New Roman"/>
          <w:sz w:val="28"/>
          <w:szCs w:val="28"/>
          <w:lang w:eastAsia="ru-RU"/>
        </w:rPr>
        <w:t xml:space="preserve">Викладене дає підстави вважати, що забезпечення функціонування «легального» ринку оренди землі, податкової «прозорості» діяльності сільськогосподарських виробників має здійснюватися шляхом комплексного удосконалення системи оподаткування доходів у сфері сільськогосподарського виробництва, яка передбачала б: диференціацію податкового навантаження на суб’єктів господарювання в залежності від організаційно-правової форми господарювання, площі земель, кількості найманих працівників, обсягу доходу від сільськогосподарської діяльності, ефективності різних видів сільськогосподарського виробництва тощо; встановлення особливостей оподаткування доходів фізичних осіб від оренди, емфітевзису сільськогосподарських земель, доходів, отриманих від продажу ними </w:t>
      </w:r>
      <w:r w:rsidRPr="003D4669">
        <w:rPr>
          <w:rFonts w:ascii="Times New Roman" w:eastAsia="Times New Roman" w:hAnsi="Times New Roman"/>
          <w:sz w:val="28"/>
          <w:szCs w:val="28"/>
          <w:lang w:eastAsia="ru-RU"/>
        </w:rPr>
        <w:lastRenderedPageBreak/>
        <w:t>сільськогосподарських товарів; посилення механізмів контролю за використанням земель, податкового контролю.</w:t>
      </w:r>
    </w:p>
    <w:p w:rsidR="003D4669" w:rsidRPr="003D4669" w:rsidRDefault="003D4669" w:rsidP="003D4669">
      <w:pPr>
        <w:tabs>
          <w:tab w:val="left" w:pos="567"/>
          <w:tab w:val="left" w:pos="709"/>
          <w:tab w:val="left" w:pos="993"/>
          <w:tab w:val="left" w:pos="1276"/>
        </w:tabs>
        <w:spacing w:after="0" w:line="240" w:lineRule="auto"/>
        <w:ind w:firstLine="709"/>
        <w:contextualSpacing/>
        <w:jc w:val="both"/>
        <w:rPr>
          <w:rFonts w:ascii="Times New Roman" w:eastAsia="Times New Roman" w:hAnsi="Times New Roman"/>
          <w:sz w:val="28"/>
          <w:szCs w:val="28"/>
          <w:lang w:eastAsia="uk-UA"/>
        </w:rPr>
      </w:pPr>
      <w:r w:rsidRPr="003D4669">
        <w:rPr>
          <w:rFonts w:ascii="Times New Roman" w:eastAsia="Times New Roman" w:hAnsi="Times New Roman"/>
          <w:sz w:val="28"/>
          <w:szCs w:val="28"/>
          <w:lang w:eastAsia="ru-RU"/>
        </w:rPr>
        <w:t xml:space="preserve">4.2. </w:t>
      </w:r>
      <w:r w:rsidRPr="003D4669">
        <w:rPr>
          <w:rFonts w:ascii="Times New Roman" w:eastAsia="Times New Roman" w:hAnsi="Times New Roman"/>
          <w:sz w:val="28"/>
          <w:szCs w:val="28"/>
          <w:lang w:eastAsia="uk-UA"/>
        </w:rPr>
        <w:t xml:space="preserve">Запровадження ППЗ призведе до суттєвого збільшення податкового навантаження на фізичних осіб, особисті селянські, малі фермерські господарства, інших малих суб’єктів господарювання, які з цілком об’єктивних причин не мають таких же можливостей до зменшення податкового зобов’язання з ППЗ за рахунок інших податків та зборів, що й середні та великі сільськогосподарські товаровиробники, для яких із запровадженням ППЗ рівень фіскального навантаження не зміниться, або ж зміниться несуттєво. При цьому, значення такого коефіцієнта у супровідних до проекту документах не обґрунтовуються. Крім того, враховуючи, що ППЗ у проекті визначається, виходячи із нормативної грошової оцінки земельної ділянки, яка згідно із </w:t>
      </w:r>
      <w:r w:rsidRPr="003D4669">
        <w:rPr>
          <w:rFonts w:ascii="Times New Roman" w:eastAsia="Times New Roman" w:hAnsi="Times New Roman"/>
          <w:sz w:val="28"/>
          <w:szCs w:val="28"/>
          <w:lang w:eastAsia="uk-UA"/>
        </w:rPr>
        <w:br/>
        <w:t xml:space="preserve">пп. 14.1.125 п. 14.1 ст. 14 ПК розглядається як </w:t>
      </w:r>
      <w:r w:rsidRPr="003D4669">
        <w:rPr>
          <w:rFonts w:ascii="Times New Roman" w:eastAsia="Times New Roman" w:hAnsi="Times New Roman"/>
          <w:i/>
          <w:sz w:val="28"/>
          <w:szCs w:val="28"/>
          <w:lang w:eastAsia="uk-UA"/>
        </w:rPr>
        <w:t>капіталізований рентний дохід із земельної ділянки</w:t>
      </w:r>
      <w:r w:rsidRPr="003D4669">
        <w:rPr>
          <w:rFonts w:ascii="Times New Roman" w:eastAsia="Times New Roman" w:hAnsi="Times New Roman"/>
          <w:sz w:val="28"/>
          <w:szCs w:val="28"/>
          <w:lang w:eastAsia="uk-UA"/>
        </w:rPr>
        <w:t xml:space="preserve">, його розмір має, на наш погляд, корелюватись зі ставками земельного податку, єдиного податку 4 групи. </w:t>
      </w:r>
    </w:p>
    <w:p w:rsidR="003D4669" w:rsidRPr="003D4669" w:rsidRDefault="003D4669" w:rsidP="003D4669">
      <w:pPr>
        <w:tabs>
          <w:tab w:val="left" w:pos="567"/>
          <w:tab w:val="left" w:pos="709"/>
          <w:tab w:val="left" w:pos="993"/>
          <w:tab w:val="left" w:pos="1276"/>
        </w:tabs>
        <w:spacing w:after="0" w:line="240" w:lineRule="auto"/>
        <w:ind w:firstLine="709"/>
        <w:contextualSpacing/>
        <w:jc w:val="both"/>
        <w:rPr>
          <w:rFonts w:ascii="Times New Roman" w:eastAsia="Times New Roman" w:hAnsi="Times New Roman"/>
          <w:sz w:val="28"/>
          <w:szCs w:val="28"/>
          <w:lang w:eastAsia="uk-UA"/>
        </w:rPr>
      </w:pPr>
      <w:r w:rsidRPr="003D4669">
        <w:rPr>
          <w:rFonts w:ascii="Times New Roman" w:eastAsia="Times New Roman" w:hAnsi="Times New Roman"/>
          <w:sz w:val="28"/>
          <w:szCs w:val="28"/>
          <w:lang w:eastAsia="uk-UA"/>
        </w:rPr>
        <w:t>Окремо звертаємо увагу, що за змістом пп. 38</w:t>
      </w:r>
      <w:r w:rsidRPr="003D4669">
        <w:rPr>
          <w:rFonts w:ascii="Times New Roman" w:eastAsia="Times New Roman" w:hAnsi="Times New Roman"/>
          <w:sz w:val="28"/>
          <w:szCs w:val="28"/>
          <w:vertAlign w:val="superscript"/>
          <w:lang w:eastAsia="uk-UA"/>
        </w:rPr>
        <w:t>1</w:t>
      </w:r>
      <w:r w:rsidRPr="003D4669">
        <w:rPr>
          <w:rFonts w:ascii="Times New Roman" w:eastAsia="Times New Roman" w:hAnsi="Times New Roman"/>
          <w:sz w:val="28"/>
          <w:szCs w:val="28"/>
          <w:lang w:eastAsia="uk-UA"/>
        </w:rPr>
        <w:t>.1 нової ст. 38</w:t>
      </w:r>
      <w:r w:rsidRPr="003D4669">
        <w:rPr>
          <w:rFonts w:ascii="Times New Roman" w:eastAsia="Times New Roman" w:hAnsi="Times New Roman"/>
          <w:sz w:val="28"/>
          <w:szCs w:val="28"/>
          <w:vertAlign w:val="superscript"/>
          <w:lang w:eastAsia="uk-UA"/>
        </w:rPr>
        <w:t>1</w:t>
      </w:r>
      <w:r w:rsidRPr="003D4669">
        <w:rPr>
          <w:rFonts w:ascii="Times New Roman" w:eastAsia="Times New Roman" w:hAnsi="Times New Roman"/>
          <w:sz w:val="28"/>
          <w:szCs w:val="28"/>
          <w:lang w:eastAsia="uk-UA"/>
        </w:rPr>
        <w:t xml:space="preserve"> ПК для фізичних осіб (крім тих, що зареєстровані підприємцями) встановлюється найвищий коефіцієнт, по суті, на рівні з юридичними особами, що, на наш погляд, може розглядатись як такий, що має дискримінаційний підхід по відношенню до фізичних осіб. У такому аспекті внесена пропозиція не повною мірою узгоджується із принципами соціальної справедливості – установлення податків та зборів відповідно до платоспроможності платників податків та нейтральності оподаткування – установлення податків та зборів у спосіб, який не впливає на збільшення або зменшення конкурентоздатності платника податк</w:t>
      </w:r>
      <w:r w:rsidR="00E84813">
        <w:rPr>
          <w:rFonts w:ascii="Times New Roman" w:eastAsia="Times New Roman" w:hAnsi="Times New Roman"/>
          <w:sz w:val="28"/>
          <w:szCs w:val="28"/>
          <w:lang w:eastAsia="uk-UA"/>
        </w:rPr>
        <w:t xml:space="preserve">ів (пп.пп. 4.1.6, 4.1.8 п. 4.1 </w:t>
      </w:r>
      <w:r w:rsidRPr="003D4669">
        <w:rPr>
          <w:rFonts w:ascii="Times New Roman" w:eastAsia="Times New Roman" w:hAnsi="Times New Roman"/>
          <w:sz w:val="28"/>
          <w:szCs w:val="28"/>
          <w:lang w:eastAsia="uk-UA"/>
        </w:rPr>
        <w:t xml:space="preserve">ст. 4 ПК). </w:t>
      </w:r>
    </w:p>
    <w:p w:rsidR="003D4669" w:rsidRPr="003D4669" w:rsidRDefault="003D4669" w:rsidP="003D4669">
      <w:pPr>
        <w:tabs>
          <w:tab w:val="left" w:pos="567"/>
          <w:tab w:val="left" w:pos="709"/>
          <w:tab w:val="left" w:pos="993"/>
          <w:tab w:val="left" w:pos="1276"/>
        </w:tabs>
        <w:spacing w:after="0" w:line="240" w:lineRule="auto"/>
        <w:ind w:firstLine="709"/>
        <w:contextualSpacing/>
        <w:jc w:val="both"/>
        <w:rPr>
          <w:rFonts w:ascii="Times New Roman" w:eastAsia="Times New Roman" w:hAnsi="Times New Roman"/>
          <w:sz w:val="28"/>
          <w:szCs w:val="28"/>
          <w:lang w:eastAsia="uk-UA"/>
        </w:rPr>
      </w:pPr>
      <w:r w:rsidRPr="003D4669">
        <w:rPr>
          <w:rFonts w:ascii="Times New Roman" w:eastAsia="Times New Roman" w:hAnsi="Times New Roman"/>
          <w:sz w:val="28"/>
          <w:szCs w:val="28"/>
          <w:lang w:eastAsia="uk-UA"/>
        </w:rPr>
        <w:t xml:space="preserve">Принагідно зауважимо, що значення такого коефіцієнта у супровідних до проекту документах не обґрунтовуються. </w:t>
      </w:r>
    </w:p>
    <w:p w:rsidR="003D4669" w:rsidRPr="003D4669" w:rsidRDefault="003D4669" w:rsidP="003D4669">
      <w:pPr>
        <w:tabs>
          <w:tab w:val="left" w:pos="567"/>
          <w:tab w:val="left" w:pos="709"/>
          <w:tab w:val="left" w:pos="993"/>
          <w:tab w:val="left" w:pos="1276"/>
        </w:tabs>
        <w:spacing w:after="0" w:line="240" w:lineRule="auto"/>
        <w:ind w:firstLine="709"/>
        <w:contextualSpacing/>
        <w:jc w:val="both"/>
        <w:rPr>
          <w:rFonts w:ascii="Times New Roman" w:eastAsia="Times New Roman" w:hAnsi="Times New Roman"/>
          <w:sz w:val="28"/>
          <w:szCs w:val="28"/>
          <w:lang w:eastAsia="uk-UA"/>
        </w:rPr>
      </w:pPr>
      <w:r w:rsidRPr="003D4669">
        <w:rPr>
          <w:rFonts w:ascii="Times New Roman" w:eastAsia="Times New Roman" w:hAnsi="Times New Roman"/>
          <w:sz w:val="28"/>
          <w:szCs w:val="28"/>
          <w:lang w:eastAsia="uk-UA"/>
        </w:rPr>
        <w:t xml:space="preserve">Також вважаємо </w:t>
      </w:r>
      <w:r w:rsidRPr="003D4669">
        <w:rPr>
          <w:rFonts w:ascii="Times New Roman" w:eastAsia="Times New Roman" w:hAnsi="Times New Roman"/>
          <w:i/>
          <w:sz w:val="28"/>
          <w:szCs w:val="28"/>
          <w:u w:val="single"/>
          <w:lang w:eastAsia="uk-UA"/>
        </w:rPr>
        <w:t>неприйнятною</w:t>
      </w:r>
      <w:r w:rsidRPr="003D4669">
        <w:rPr>
          <w:rFonts w:ascii="Times New Roman" w:eastAsia="Times New Roman" w:hAnsi="Times New Roman"/>
          <w:sz w:val="28"/>
          <w:szCs w:val="28"/>
          <w:lang w:eastAsia="uk-UA"/>
        </w:rPr>
        <w:t xml:space="preserve"> пропозицію </w:t>
      </w:r>
      <w:r w:rsidRPr="003D4669">
        <w:rPr>
          <w:rFonts w:ascii="Times New Roman" w:eastAsia="Times New Roman" w:hAnsi="Times New Roman"/>
          <w:sz w:val="28"/>
          <w:szCs w:val="28"/>
          <w:lang w:eastAsia="ru-RU"/>
        </w:rPr>
        <w:t>п. 38</w:t>
      </w:r>
      <w:r w:rsidRPr="003D4669">
        <w:rPr>
          <w:rFonts w:ascii="Times New Roman" w:eastAsia="Times New Roman" w:hAnsi="Times New Roman"/>
          <w:sz w:val="28"/>
          <w:szCs w:val="28"/>
          <w:vertAlign w:val="superscript"/>
          <w:lang w:eastAsia="ru-RU"/>
        </w:rPr>
        <w:t>1</w:t>
      </w:r>
      <w:r w:rsidRPr="003D4669">
        <w:rPr>
          <w:rFonts w:ascii="Times New Roman" w:eastAsia="Times New Roman" w:hAnsi="Times New Roman"/>
          <w:sz w:val="28"/>
          <w:szCs w:val="28"/>
          <w:lang w:eastAsia="ru-RU"/>
        </w:rPr>
        <w:t>.2 нової ст. 38</w:t>
      </w:r>
      <w:r w:rsidRPr="003D4669">
        <w:rPr>
          <w:rFonts w:ascii="Times New Roman" w:eastAsia="Times New Roman" w:hAnsi="Times New Roman"/>
          <w:sz w:val="28"/>
          <w:szCs w:val="28"/>
          <w:vertAlign w:val="superscript"/>
          <w:lang w:eastAsia="ru-RU"/>
        </w:rPr>
        <w:t>1</w:t>
      </w:r>
      <w:r w:rsidRPr="003D4669">
        <w:rPr>
          <w:rFonts w:ascii="Times New Roman" w:eastAsia="Times New Roman" w:hAnsi="Times New Roman"/>
          <w:sz w:val="28"/>
          <w:szCs w:val="28"/>
          <w:lang w:eastAsia="ru-RU"/>
        </w:rPr>
        <w:t xml:space="preserve"> ПК, яка передбачає обчислення ППЗ стосовно земельних ділянок </w:t>
      </w:r>
      <w:r w:rsidRPr="003D4669">
        <w:rPr>
          <w:rFonts w:ascii="Times New Roman" w:eastAsia="Times New Roman" w:hAnsi="Times New Roman"/>
          <w:sz w:val="28"/>
          <w:szCs w:val="28"/>
          <w:lang w:eastAsia="uk-UA"/>
        </w:rPr>
        <w:t xml:space="preserve">для ведення особистого селянського господарства або садівництва, </w:t>
      </w:r>
      <w:r w:rsidRPr="003D4669">
        <w:rPr>
          <w:rFonts w:ascii="Times New Roman" w:eastAsia="Times New Roman" w:hAnsi="Times New Roman"/>
          <w:sz w:val="28"/>
          <w:szCs w:val="28"/>
          <w:lang w:eastAsia="ru-RU"/>
        </w:rPr>
        <w:t xml:space="preserve">сукупний розмір яких перевищує розмір, зазначений в абз. 3 оновленого </w:t>
      </w:r>
      <w:r w:rsidRPr="003D4669">
        <w:rPr>
          <w:rFonts w:ascii="Times New Roman" w:eastAsia="Times New Roman" w:hAnsi="Times New Roman"/>
          <w:sz w:val="28"/>
          <w:szCs w:val="28"/>
          <w:lang w:eastAsia="uk-UA"/>
        </w:rPr>
        <w:t xml:space="preserve">пп. 165.1.24 </w:t>
      </w:r>
      <w:r w:rsidRPr="003D4669">
        <w:rPr>
          <w:rFonts w:ascii="Times New Roman" w:eastAsia="Times New Roman" w:hAnsi="Times New Roman"/>
          <w:sz w:val="28"/>
          <w:szCs w:val="28"/>
          <w:lang w:eastAsia="uk-UA"/>
        </w:rPr>
        <w:br/>
        <w:t>п. 165.1 ст. 165 ПК, а саме – 1 гектар. Зауважимо, що відповідно до ст. 1 Закону України «Про особисте селянське господарство» «о</w:t>
      </w:r>
      <w:r w:rsidRPr="003D4669">
        <w:rPr>
          <w:rFonts w:ascii="Times New Roman" w:eastAsia="Times New Roman" w:hAnsi="Times New Roman"/>
          <w:sz w:val="28"/>
          <w:szCs w:val="28"/>
          <w:lang w:eastAsia="ru-RU"/>
        </w:rPr>
        <w:t xml:space="preserve">собисте селянське господарство – це господарська діяльність, яка проводиться без створення юридичної особи фізичною особою індивідуально або особами, які перебувають у сімейних чи родинних відносинах і спільно проживають, </w:t>
      </w:r>
      <w:r w:rsidRPr="003D4669">
        <w:rPr>
          <w:rFonts w:ascii="Times New Roman" w:eastAsia="Times New Roman" w:hAnsi="Times New Roman"/>
          <w:i/>
          <w:sz w:val="28"/>
          <w:szCs w:val="28"/>
          <w:u w:val="single"/>
          <w:lang w:eastAsia="ru-RU"/>
        </w:rPr>
        <w:t>з метою задоволення особистих потреб</w:t>
      </w:r>
      <w:r w:rsidRPr="003D4669">
        <w:rPr>
          <w:rFonts w:ascii="Times New Roman" w:eastAsia="Times New Roman" w:hAnsi="Times New Roman"/>
          <w:sz w:val="28"/>
          <w:szCs w:val="28"/>
          <w:lang w:eastAsia="ru-RU"/>
        </w:rPr>
        <w:t xml:space="preserve"> шляхом виробництва, переробки і споживання сільськогосподарської продукції, реалізації її надлишків та надання послуг з використанням майна особистого селянського господарства, у тому числі й у сфері сільського зеленого туризму».</w:t>
      </w:r>
    </w:p>
    <w:p w:rsidR="003D4669" w:rsidRPr="003D4669" w:rsidRDefault="003D4669" w:rsidP="003D4669">
      <w:pPr>
        <w:tabs>
          <w:tab w:val="left" w:pos="709"/>
          <w:tab w:val="left" w:pos="1134"/>
          <w:tab w:val="left" w:pos="1560"/>
        </w:tabs>
        <w:spacing w:after="0" w:line="240" w:lineRule="auto"/>
        <w:ind w:firstLine="709"/>
        <w:jc w:val="both"/>
        <w:rPr>
          <w:rFonts w:ascii="Times New Roman" w:eastAsia="Times New Roman" w:hAnsi="Times New Roman"/>
          <w:bCs/>
          <w:sz w:val="28"/>
          <w:szCs w:val="28"/>
          <w:lang w:eastAsia="uk-UA"/>
        </w:rPr>
      </w:pPr>
      <w:r w:rsidRPr="003D4669">
        <w:rPr>
          <w:rFonts w:ascii="Times New Roman" w:eastAsia="Times New Roman" w:hAnsi="Times New Roman"/>
          <w:sz w:val="28"/>
          <w:szCs w:val="28"/>
          <w:lang w:eastAsia="uk-UA"/>
        </w:rPr>
        <w:t>4.3. Запровадження ППЗ, на нашу думку, суттєво ускладнить адміністрування та обчислення податків на прибуток підприємств, доходи фізичних осіб, єдиного податку 4 групи, оскільки, зокрема, передбачає не тільки обчислення, власне, ППЗ, але й його зменшення на суму податків, сплата яких пов’язана із сільськогосподарською діяльністю (</w:t>
      </w:r>
      <w:r w:rsidRPr="003D4669">
        <w:rPr>
          <w:rFonts w:ascii="Times New Roman" w:eastAsia="Times New Roman" w:hAnsi="Times New Roman"/>
          <w:sz w:val="28"/>
          <w:szCs w:val="28"/>
        </w:rPr>
        <w:t xml:space="preserve">п. 141.9 ст. 141, </w:t>
      </w:r>
      <w:r w:rsidRPr="003D4669">
        <w:rPr>
          <w:rFonts w:ascii="Times New Roman" w:eastAsia="Times New Roman" w:hAnsi="Times New Roman"/>
          <w:sz w:val="28"/>
          <w:szCs w:val="28"/>
        </w:rPr>
        <w:br/>
      </w:r>
      <w:r w:rsidRPr="003D4669">
        <w:rPr>
          <w:rFonts w:ascii="Times New Roman" w:eastAsia="Times New Roman" w:hAnsi="Times New Roman"/>
          <w:sz w:val="28"/>
          <w:szCs w:val="28"/>
        </w:rPr>
        <w:lastRenderedPageBreak/>
        <w:t xml:space="preserve">пп. 165.1.24 п. 165.1 ст. 165, п. 170.14 ст. 170, пп. 177.5.4 п. 177.5 ст. 177,  </w:t>
      </w:r>
      <w:r w:rsidRPr="003D4669">
        <w:rPr>
          <w:rFonts w:ascii="Times New Roman" w:eastAsia="Times New Roman" w:hAnsi="Times New Roman"/>
          <w:bCs/>
          <w:sz w:val="28"/>
          <w:szCs w:val="28"/>
          <w:lang w:eastAsia="uk-UA"/>
        </w:rPr>
        <w:t>ст. 297</w:t>
      </w:r>
      <w:r w:rsidRPr="003D4669">
        <w:rPr>
          <w:rFonts w:ascii="Times New Roman" w:eastAsia="Times New Roman" w:hAnsi="Times New Roman"/>
          <w:bCs/>
          <w:sz w:val="28"/>
          <w:szCs w:val="28"/>
          <w:vertAlign w:val="superscript"/>
          <w:lang w:eastAsia="uk-UA"/>
        </w:rPr>
        <w:t>1</w:t>
      </w:r>
      <w:r w:rsidRPr="003D4669">
        <w:rPr>
          <w:rFonts w:ascii="Times New Roman" w:eastAsia="Times New Roman" w:hAnsi="Times New Roman"/>
          <w:bCs/>
          <w:sz w:val="28"/>
          <w:szCs w:val="28"/>
          <w:lang w:eastAsia="uk-UA"/>
        </w:rPr>
        <w:t xml:space="preserve"> ПК), необхідність ведення окремого обліку доходів та витрат, пов’язаних із сільськогосподарською діяльністю.</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lang w:eastAsia="uk-UA"/>
        </w:rPr>
      </w:pPr>
      <w:r w:rsidRPr="003D4669">
        <w:rPr>
          <w:rFonts w:ascii="Times New Roman" w:eastAsia="Times New Roman" w:hAnsi="Times New Roman"/>
          <w:sz w:val="28"/>
          <w:szCs w:val="28"/>
          <w:lang w:eastAsia="uk-UA"/>
        </w:rPr>
        <w:t>4.4. Також зазначимо, що ППЗ спрямоване не стільки на оподаткування доходів фізичних або юридичних осіб, а, скоріш, виступає податком рентного типу. Зокрема, його можна розглядати як окремий різновид оподаткування землі. У зв’язку із цим, викликає застереження пропонований підхід щодо вміщення положень щодо ППЗ у складі податків на прибуток підприємств, фізичних осіб, єдиного податку, загальних положеннях ПК. Крім того, виглядає недоцільним дублювання одних і тих же положень в різних розділах ПК і з точки зору законодавчої техніки.</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lang w:eastAsia="uk-UA"/>
        </w:rPr>
      </w:pPr>
      <w:r w:rsidRPr="003D4669">
        <w:rPr>
          <w:rFonts w:ascii="Times New Roman" w:eastAsia="Times New Roman" w:hAnsi="Times New Roman"/>
          <w:sz w:val="28"/>
          <w:szCs w:val="28"/>
          <w:lang w:eastAsia="uk-UA"/>
        </w:rPr>
        <w:t>4.5. У визначенні поняття «ППЗ» та в інших приписах проекту використовується конструкція «з</w:t>
      </w:r>
      <w:r w:rsidRPr="003D4669">
        <w:rPr>
          <w:rFonts w:ascii="Times New Roman" w:eastAsia="Times New Roman" w:hAnsi="Times New Roman"/>
          <w:i/>
          <w:sz w:val="28"/>
          <w:szCs w:val="28"/>
          <w:lang w:eastAsia="uk-UA"/>
        </w:rPr>
        <w:t>емельна ділянка сільськогосподарського призначення (крім несільськогосподарських угідь) та/або земельна частка (пай)</w:t>
      </w:r>
      <w:r w:rsidRPr="003D4669">
        <w:rPr>
          <w:rFonts w:ascii="Times New Roman" w:eastAsia="Times New Roman" w:hAnsi="Times New Roman"/>
          <w:sz w:val="28"/>
          <w:szCs w:val="28"/>
          <w:lang w:eastAsia="uk-UA"/>
        </w:rPr>
        <w:t>».</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rPr>
      </w:pPr>
      <w:r w:rsidRPr="003D4669">
        <w:rPr>
          <w:rFonts w:ascii="Times New Roman" w:eastAsia="Times New Roman" w:hAnsi="Times New Roman"/>
          <w:sz w:val="28"/>
          <w:szCs w:val="28"/>
          <w:lang w:eastAsia="uk-UA"/>
        </w:rPr>
        <w:t>Звертаємо увагу, що відповідно до ч. 2 ст. 22 Земельного кодексу України «д</w:t>
      </w:r>
      <w:r w:rsidRPr="003D4669">
        <w:rPr>
          <w:rFonts w:ascii="Times New Roman" w:eastAsia="Times New Roman" w:hAnsi="Times New Roman"/>
          <w:sz w:val="28"/>
          <w:szCs w:val="28"/>
        </w:rPr>
        <w:t>о земель сільськогосподарського призначення належать:</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rPr>
      </w:pPr>
      <w:bookmarkStart w:id="3" w:name="n303"/>
      <w:bookmarkEnd w:id="3"/>
      <w:r w:rsidRPr="003D4669">
        <w:rPr>
          <w:rFonts w:ascii="Times New Roman" w:eastAsia="Times New Roman" w:hAnsi="Times New Roman"/>
          <w:sz w:val="28"/>
          <w:szCs w:val="28"/>
        </w:rPr>
        <w:t>а) сільськогосподарські угіддя (рілля, багаторічні насадження, сіножаті, пасовища та перелоги);</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rPr>
      </w:pPr>
      <w:bookmarkStart w:id="4" w:name="n304"/>
      <w:bookmarkEnd w:id="4"/>
      <w:r w:rsidRPr="003D4669">
        <w:rPr>
          <w:rFonts w:ascii="Times New Roman" w:eastAsia="Times New Roman" w:hAnsi="Times New Roman"/>
          <w:sz w:val="28"/>
          <w:szCs w:val="28"/>
        </w:rPr>
        <w:t>б) несільськогосподарські угіддя (господарські шляхи і прогони, полезахисні лісові смуги та інші захисні насадження, крім тих, що віднесені до земель інших категорій, землі під господарськими будівлями і дворами, землі під інфраструктурою оптових ринків сільськогосподарської продукції, землі тимчасової консервації тощо)».</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rPr>
      </w:pPr>
      <w:r w:rsidRPr="003D4669">
        <w:rPr>
          <w:rFonts w:ascii="Times New Roman" w:eastAsia="Times New Roman" w:hAnsi="Times New Roman"/>
          <w:sz w:val="28"/>
          <w:szCs w:val="28"/>
        </w:rPr>
        <w:t>Тобто, «земельна ділянка сільськогосподарського призначення (крім несільськогосподарських угідь)» означає, по суті, «сільськогосподарські угіддя».</w:t>
      </w:r>
    </w:p>
    <w:p w:rsidR="003D4669" w:rsidRPr="00835DBE" w:rsidRDefault="003D4669" w:rsidP="003D4669">
      <w:pPr>
        <w:tabs>
          <w:tab w:val="left" w:pos="709"/>
          <w:tab w:val="left" w:pos="1134"/>
        </w:tabs>
        <w:spacing w:after="0" w:line="240" w:lineRule="auto"/>
        <w:ind w:firstLine="709"/>
        <w:jc w:val="both"/>
        <w:rPr>
          <w:rFonts w:ascii="Times New Roman" w:eastAsia="Times New Roman" w:hAnsi="Times New Roman"/>
          <w:sz w:val="28"/>
          <w:szCs w:val="28"/>
          <w:lang w:eastAsia="uk-UA"/>
        </w:rPr>
      </w:pPr>
      <w:r w:rsidRPr="003D4669">
        <w:rPr>
          <w:rFonts w:ascii="Times New Roman" w:eastAsia="Times New Roman" w:hAnsi="Times New Roman"/>
          <w:sz w:val="28"/>
          <w:szCs w:val="28"/>
          <w:lang w:eastAsia="uk-UA"/>
        </w:rPr>
        <w:t xml:space="preserve">Потребує також належного обґрунтування коректність вживання поняття «земельна </w:t>
      </w:r>
      <w:r w:rsidRPr="00835DBE">
        <w:rPr>
          <w:rFonts w:ascii="Times New Roman" w:eastAsia="Times New Roman" w:hAnsi="Times New Roman"/>
          <w:sz w:val="28"/>
          <w:szCs w:val="28"/>
          <w:lang w:eastAsia="uk-UA"/>
        </w:rPr>
        <w:t>ділянка (пай)» одночасно з поняттям «земельна ділянка сільськогосподарського призначення».</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rPr>
      </w:pPr>
      <w:r w:rsidRPr="00835DBE">
        <w:rPr>
          <w:rFonts w:ascii="Times New Roman" w:eastAsia="Times New Roman" w:hAnsi="Times New Roman"/>
          <w:b/>
          <w:sz w:val="28"/>
          <w:szCs w:val="28"/>
          <w:lang w:eastAsia="uk-UA"/>
        </w:rPr>
        <w:t xml:space="preserve">5. </w:t>
      </w:r>
      <w:r w:rsidRPr="00835DBE">
        <w:rPr>
          <w:rFonts w:ascii="Times New Roman" w:eastAsia="Times New Roman" w:hAnsi="Times New Roman"/>
          <w:sz w:val="28"/>
          <w:szCs w:val="28"/>
          <w:lang w:eastAsia="uk-UA"/>
        </w:rPr>
        <w:t>Вв</w:t>
      </w:r>
      <w:r w:rsidRPr="00835DBE">
        <w:rPr>
          <w:rFonts w:ascii="Times New Roman" w:eastAsia="Times New Roman" w:hAnsi="Times New Roman"/>
          <w:sz w:val="28"/>
          <w:szCs w:val="28"/>
        </w:rPr>
        <w:t xml:space="preserve">ажаємо неприйнятним абз. 4 нової редакції пп. 14.1.73 п.14.1 ст. 14 ПК, відповідно до якого до землекористувачів пропонується віднести </w:t>
      </w:r>
      <w:r w:rsidRPr="00835DBE">
        <w:rPr>
          <w:rFonts w:ascii="Times New Roman" w:eastAsia="Times New Roman" w:hAnsi="Times New Roman"/>
          <w:sz w:val="28"/>
          <w:szCs w:val="28"/>
          <w:lang w:eastAsia="ru-RU"/>
        </w:rPr>
        <w:t>юридичн</w:t>
      </w:r>
      <w:r w:rsidR="00D84D73" w:rsidRPr="00835DBE">
        <w:rPr>
          <w:rFonts w:ascii="Times New Roman" w:eastAsia="Times New Roman" w:hAnsi="Times New Roman"/>
          <w:sz w:val="28"/>
          <w:szCs w:val="28"/>
          <w:lang w:eastAsia="ru-RU"/>
        </w:rPr>
        <w:t>их</w:t>
      </w:r>
      <w:r w:rsidRPr="00835DBE">
        <w:rPr>
          <w:rFonts w:ascii="Times New Roman" w:eastAsia="Times New Roman" w:hAnsi="Times New Roman"/>
          <w:sz w:val="28"/>
          <w:szCs w:val="28"/>
          <w:lang w:eastAsia="ru-RU"/>
        </w:rPr>
        <w:t xml:space="preserve"> та фізичн</w:t>
      </w:r>
      <w:r w:rsidR="00D84D73" w:rsidRPr="00835DBE">
        <w:rPr>
          <w:rFonts w:ascii="Times New Roman" w:eastAsia="Times New Roman" w:hAnsi="Times New Roman"/>
          <w:sz w:val="28"/>
          <w:szCs w:val="28"/>
          <w:lang w:eastAsia="ru-RU"/>
        </w:rPr>
        <w:t>их</w:t>
      </w:r>
      <w:r w:rsidRPr="00835DBE">
        <w:rPr>
          <w:rFonts w:ascii="Times New Roman" w:eastAsia="Times New Roman" w:hAnsi="Times New Roman"/>
          <w:sz w:val="28"/>
          <w:szCs w:val="28"/>
          <w:lang w:eastAsia="ru-RU"/>
        </w:rPr>
        <w:t xml:space="preserve"> ос</w:t>
      </w:r>
      <w:r w:rsidR="00D84D73" w:rsidRPr="00835DBE">
        <w:rPr>
          <w:rFonts w:ascii="Times New Roman" w:eastAsia="Times New Roman" w:hAnsi="Times New Roman"/>
          <w:sz w:val="28"/>
          <w:szCs w:val="28"/>
          <w:lang w:eastAsia="ru-RU"/>
        </w:rPr>
        <w:t>іб</w:t>
      </w:r>
      <w:r w:rsidRPr="00835DBE">
        <w:rPr>
          <w:rFonts w:ascii="Times New Roman" w:eastAsia="Times New Roman" w:hAnsi="Times New Roman"/>
          <w:sz w:val="28"/>
          <w:szCs w:val="28"/>
          <w:lang w:eastAsia="ru-RU"/>
        </w:rPr>
        <w:t xml:space="preserve"> (резидент</w:t>
      </w:r>
      <w:r w:rsidR="00D84D73" w:rsidRPr="00835DBE">
        <w:rPr>
          <w:rFonts w:ascii="Times New Roman" w:eastAsia="Times New Roman" w:hAnsi="Times New Roman"/>
          <w:sz w:val="28"/>
          <w:szCs w:val="28"/>
          <w:lang w:eastAsia="ru-RU"/>
        </w:rPr>
        <w:t>ів</w:t>
      </w:r>
      <w:r w:rsidRPr="00835DBE">
        <w:rPr>
          <w:rFonts w:ascii="Times New Roman" w:eastAsia="Times New Roman" w:hAnsi="Times New Roman"/>
          <w:sz w:val="28"/>
          <w:szCs w:val="28"/>
          <w:lang w:eastAsia="ru-RU"/>
        </w:rPr>
        <w:t xml:space="preserve"> і нерезидент</w:t>
      </w:r>
      <w:r w:rsidR="00D84D73" w:rsidRPr="00835DBE">
        <w:rPr>
          <w:rFonts w:ascii="Times New Roman" w:eastAsia="Times New Roman" w:hAnsi="Times New Roman"/>
          <w:sz w:val="28"/>
          <w:szCs w:val="28"/>
          <w:lang w:eastAsia="ru-RU"/>
        </w:rPr>
        <w:t>ів</w:t>
      </w:r>
      <w:r w:rsidRPr="00835DBE">
        <w:rPr>
          <w:rFonts w:ascii="Times New Roman" w:eastAsia="Times New Roman" w:hAnsi="Times New Roman"/>
          <w:sz w:val="28"/>
          <w:szCs w:val="28"/>
          <w:lang w:eastAsia="ru-RU"/>
        </w:rPr>
        <w:t xml:space="preserve">), які користуються земельними ділянками державної та комунальної власності «без оформлення правовстановлюючих документів, в тому числі самовільно зайнятими земельними ділянками». Звертаємо увагу, що </w:t>
      </w:r>
      <w:r w:rsidRPr="00835DBE">
        <w:rPr>
          <w:rFonts w:ascii="Times New Roman" w:eastAsia="Times New Roman" w:hAnsi="Times New Roman"/>
          <w:sz w:val="28"/>
          <w:szCs w:val="28"/>
          <w:lang w:eastAsia="uk-UA"/>
        </w:rPr>
        <w:t xml:space="preserve">відповідно до ч. 1 </w:t>
      </w:r>
      <w:r w:rsidR="00D84D73" w:rsidRPr="00835DBE">
        <w:rPr>
          <w:rFonts w:ascii="Times New Roman" w:eastAsia="Times New Roman" w:hAnsi="Times New Roman"/>
          <w:sz w:val="28"/>
          <w:szCs w:val="28"/>
          <w:lang w:eastAsia="uk-UA"/>
        </w:rPr>
        <w:br/>
      </w:r>
      <w:r w:rsidRPr="00835DBE">
        <w:rPr>
          <w:rFonts w:ascii="Times New Roman" w:eastAsia="Times New Roman" w:hAnsi="Times New Roman"/>
          <w:sz w:val="28"/>
          <w:szCs w:val="28"/>
          <w:lang w:eastAsia="uk-UA"/>
        </w:rPr>
        <w:t xml:space="preserve">ст. 211 </w:t>
      </w:r>
      <w:r w:rsidRPr="00835DBE">
        <w:rPr>
          <w:rFonts w:ascii="Times New Roman" w:eastAsia="Times New Roman" w:hAnsi="Times New Roman"/>
          <w:sz w:val="28"/>
          <w:szCs w:val="28"/>
        </w:rPr>
        <w:t>Земельного кодексу України</w:t>
      </w:r>
      <w:r w:rsidRPr="00835DBE">
        <w:rPr>
          <w:rFonts w:ascii="Times New Roman" w:eastAsia="Times New Roman" w:hAnsi="Times New Roman"/>
          <w:sz w:val="28"/>
          <w:szCs w:val="28"/>
          <w:lang w:eastAsia="uk-UA"/>
        </w:rPr>
        <w:t xml:space="preserve"> громадяни та юридичні особи несуть цивільну, адміністративну або кримінальну відповідальність</w:t>
      </w:r>
      <w:r w:rsidRPr="003D4669">
        <w:rPr>
          <w:rFonts w:ascii="Times New Roman" w:eastAsia="Times New Roman" w:hAnsi="Times New Roman"/>
          <w:sz w:val="28"/>
          <w:szCs w:val="28"/>
          <w:lang w:eastAsia="uk-UA"/>
        </w:rPr>
        <w:t xml:space="preserve"> відповідно до законодавства за такі порушення, зокрема, за самовільне зайняття земельних ділянок; ухилення від державної реєстрації земельних ділянок та подання недостовірної інформації щодо них. </w:t>
      </w:r>
      <w:r w:rsidRPr="003D4669">
        <w:rPr>
          <w:rFonts w:ascii="Times New Roman" w:eastAsia="Times New Roman" w:hAnsi="Times New Roman"/>
          <w:sz w:val="28"/>
          <w:szCs w:val="28"/>
        </w:rPr>
        <w:t xml:space="preserve">А відповідно до ч. 1 ст. 212 Земельного кодексу України </w:t>
      </w:r>
      <w:r w:rsidRPr="003D4669">
        <w:rPr>
          <w:rFonts w:ascii="Times New Roman" w:eastAsia="Times New Roman" w:hAnsi="Times New Roman"/>
          <w:sz w:val="28"/>
          <w:szCs w:val="28"/>
          <w:lang w:eastAsia="ru-RU"/>
        </w:rPr>
        <w:t xml:space="preserve">самовільно </w:t>
      </w:r>
      <w:r w:rsidRPr="003D4669">
        <w:rPr>
          <w:rFonts w:ascii="Times New Roman" w:eastAsia="Times New Roman" w:hAnsi="Times New Roman"/>
          <w:sz w:val="28"/>
          <w:szCs w:val="28"/>
        </w:rPr>
        <w:t xml:space="preserve">зайняті земельні ділянки підлягають поверненню </w:t>
      </w:r>
      <w:r w:rsidRPr="003D4669">
        <w:rPr>
          <w:rFonts w:ascii="Times New Roman" w:eastAsia="Times New Roman" w:hAnsi="Times New Roman"/>
          <w:i/>
          <w:sz w:val="28"/>
          <w:szCs w:val="28"/>
        </w:rPr>
        <w:t>власникам землі або землекористувачам</w:t>
      </w:r>
      <w:r w:rsidRPr="003D4669">
        <w:rPr>
          <w:rFonts w:ascii="Times New Roman" w:eastAsia="Times New Roman" w:hAnsi="Times New Roman"/>
          <w:sz w:val="28"/>
          <w:szCs w:val="28"/>
        </w:rPr>
        <w:t xml:space="preserve"> без відшкодування затрат, понесених за час </w:t>
      </w:r>
      <w:r w:rsidRPr="003D4669">
        <w:rPr>
          <w:rFonts w:ascii="Times New Roman" w:eastAsia="Times New Roman" w:hAnsi="Times New Roman"/>
          <w:i/>
          <w:sz w:val="28"/>
          <w:szCs w:val="28"/>
        </w:rPr>
        <w:t>незаконного</w:t>
      </w:r>
      <w:r w:rsidRPr="003D4669">
        <w:rPr>
          <w:rFonts w:ascii="Times New Roman" w:eastAsia="Times New Roman" w:hAnsi="Times New Roman"/>
          <w:sz w:val="28"/>
          <w:szCs w:val="28"/>
        </w:rPr>
        <w:t xml:space="preserve"> користування ними. </w:t>
      </w:r>
      <w:r w:rsidRPr="003D4669">
        <w:rPr>
          <w:rFonts w:ascii="Times New Roman" w:eastAsia="Times New Roman" w:hAnsi="Times New Roman"/>
          <w:sz w:val="28"/>
          <w:szCs w:val="28"/>
          <w:lang w:eastAsia="uk-UA"/>
        </w:rPr>
        <w:t xml:space="preserve">Законом України «Про державний контроль за використанням та охороною земель» передбачено механізм </w:t>
      </w:r>
      <w:r w:rsidRPr="003D4669">
        <w:rPr>
          <w:rFonts w:ascii="Times New Roman" w:eastAsia="Times New Roman" w:hAnsi="Times New Roman"/>
          <w:sz w:val="28"/>
          <w:szCs w:val="28"/>
          <w:lang w:eastAsia="uk-UA"/>
        </w:rPr>
        <w:lastRenderedPageBreak/>
        <w:t xml:space="preserve">контролю за використанням та охороною земель. </w:t>
      </w:r>
      <w:r w:rsidRPr="003D4669">
        <w:rPr>
          <w:rFonts w:ascii="Times New Roman" w:eastAsia="Times New Roman" w:hAnsi="Times New Roman"/>
          <w:sz w:val="28"/>
          <w:szCs w:val="28"/>
        </w:rPr>
        <w:t xml:space="preserve">Тому визнання землекористувачами осіб, які незаконно користуються земельною ділянкою і щодо яких мають бути застосовані заходи юридичної відповідальності, на нашу думку, виглядає юридично некоректним.  </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lang w:eastAsia="uk-UA"/>
        </w:rPr>
      </w:pPr>
      <w:r w:rsidRPr="003D4669">
        <w:rPr>
          <w:rFonts w:ascii="Times New Roman" w:eastAsia="Times New Roman" w:hAnsi="Times New Roman"/>
          <w:sz w:val="28"/>
          <w:szCs w:val="28"/>
          <w:lang w:eastAsia="uk-UA"/>
        </w:rPr>
        <w:t xml:space="preserve">Відповідно, не може бути підтриманий пропонований у новому пп. 12.4.5 п. 12.4 ст. 12, оновленому пп. 14.1.73 п. 14.1 ст. 14, пп. 269.1.1.3 оновленого пп. 269.1.1 п. 269.1 ст. 269, оновлених п.п. 284.1, 284.5 ст. 284, п. 286.1 ст. 286ПК підхід щодо сплати земельного податку за земельні ділянки державної та комунальної власності, у тому числі, самовільно зайняті, без оформлення правовстановлюючих документів та, відповідно, встановлення органами самоврядування факту користування юридичною або фізичною особою земельною ділянкою державної та комунальної власності без оформлення правовстановлюючих документів.  </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lang w:eastAsia="uk-UA"/>
        </w:rPr>
      </w:pPr>
      <w:r w:rsidRPr="003D4669">
        <w:rPr>
          <w:rFonts w:ascii="Times New Roman" w:eastAsia="Times New Roman" w:hAnsi="Times New Roman"/>
          <w:sz w:val="28"/>
          <w:szCs w:val="28"/>
          <w:lang w:eastAsia="uk-UA"/>
        </w:rPr>
        <w:t xml:space="preserve">Слід зазначити, що ПК регулює відносини, що виникають у сфері справляння податків і зборів (п. 1.1 ст. 1 ПК), а тому вирішення, по суті, проблеми відсутності у користувача правовстановлюючих документів на земельну ділянку, самовільного зайняття земельної ділянки має вирішуватись не шляхом їх оподаткування (що, у тому числі, може використовуватись як один із способів легалізації, зокрема, самозахоплених земельних ділянок), а через удосконалення механізмів контролю за земельними ділянками, відповідальності за користування земельними ділянками без правовстановлюючих документів, відшкодування втрат власників, у тому числі, бюджетних втрат, спрощення порядку оформлення відповідних документів (що  на сьогодні нерідко є проблематичним як через бюрократичні, так і корупційні причини).  </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lang w:eastAsia="uk-UA"/>
        </w:rPr>
      </w:pPr>
      <w:r w:rsidRPr="003D4669">
        <w:rPr>
          <w:rFonts w:ascii="Times New Roman" w:eastAsia="Times New Roman" w:hAnsi="Times New Roman"/>
          <w:b/>
          <w:sz w:val="28"/>
          <w:szCs w:val="28"/>
          <w:lang w:eastAsia="uk-UA"/>
        </w:rPr>
        <w:t xml:space="preserve">6. </w:t>
      </w:r>
      <w:r w:rsidRPr="003D4669">
        <w:rPr>
          <w:rFonts w:ascii="Times New Roman" w:eastAsia="Times New Roman" w:hAnsi="Times New Roman"/>
          <w:sz w:val="28"/>
          <w:szCs w:val="28"/>
          <w:lang w:eastAsia="uk-UA"/>
        </w:rPr>
        <w:t xml:space="preserve">Відповідно до нового </w:t>
      </w:r>
      <w:r w:rsidRPr="00835DBE">
        <w:rPr>
          <w:rFonts w:ascii="Times New Roman" w:eastAsia="Times New Roman" w:hAnsi="Times New Roman"/>
          <w:sz w:val="28"/>
          <w:szCs w:val="28"/>
          <w:lang w:eastAsia="uk-UA"/>
        </w:rPr>
        <w:t>абз. 2 пп. 140.4.4 п. 140.4 ст. 140 ПК фінансовий результат до оподаткування зменшується</w:t>
      </w:r>
      <w:r w:rsidR="00D84D73" w:rsidRPr="00835DBE">
        <w:rPr>
          <w:rFonts w:ascii="Times New Roman" w:eastAsia="Times New Roman" w:hAnsi="Times New Roman"/>
          <w:sz w:val="28"/>
          <w:szCs w:val="28"/>
          <w:lang w:eastAsia="uk-UA"/>
        </w:rPr>
        <w:t xml:space="preserve"> </w:t>
      </w:r>
      <w:r w:rsidRPr="00835DBE">
        <w:rPr>
          <w:rFonts w:ascii="Times New Roman" w:eastAsia="Times New Roman" w:hAnsi="Times New Roman"/>
          <w:sz w:val="28"/>
          <w:szCs w:val="28"/>
          <w:lang w:eastAsia="uk-UA"/>
        </w:rPr>
        <w:t>на суму від’ємного значення об’єкта оподаткування минулих податкових (звітних) років «протягом десяти послідовних податкових (звітних) років, починаючи з податкового (звітного) року виникнення такого від’ємного значення об’єкта</w:t>
      </w:r>
      <w:r w:rsidRPr="003D4669">
        <w:rPr>
          <w:rFonts w:ascii="Times New Roman" w:eastAsia="Times New Roman" w:hAnsi="Times New Roman"/>
          <w:sz w:val="28"/>
          <w:szCs w:val="28"/>
          <w:lang w:eastAsia="uk-UA"/>
        </w:rPr>
        <w:t xml:space="preserve"> оподаткування».</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lang w:eastAsia="uk-UA"/>
        </w:rPr>
      </w:pPr>
      <w:r w:rsidRPr="003D4669">
        <w:rPr>
          <w:rFonts w:ascii="Times New Roman" w:eastAsia="Times New Roman" w:hAnsi="Times New Roman"/>
          <w:sz w:val="28"/>
          <w:szCs w:val="28"/>
          <w:lang w:eastAsia="uk-UA"/>
        </w:rPr>
        <w:t>Не заперечуючи у цілому щодо можливості обмеження перенесення збитків минулих періодів, водночас, зауважимо, що у супровідних до проекту документах відсутнє належне обґрунтування, по-перше, встановленого часового обмеження – «10 послідовних податкових (звітних) років», по-друге, загалом пропонованого підходу, що передбачає можливість повного перенесення збитків попередніх періодів; по-третє, застосування його лише щодо великих платників податків.</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lang w:eastAsia="uk-UA"/>
        </w:rPr>
      </w:pPr>
      <w:r w:rsidRPr="003D4669">
        <w:rPr>
          <w:rFonts w:ascii="Times New Roman" w:eastAsia="Times New Roman" w:hAnsi="Times New Roman"/>
          <w:sz w:val="28"/>
          <w:szCs w:val="28"/>
          <w:lang w:eastAsia="uk-UA"/>
        </w:rPr>
        <w:t>Також звертаємо увагу на те, що у пропонованій редакції виглядає незрозумілим механізм перенесення від’ємного значення.</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lang w:eastAsia="uk-UA"/>
        </w:rPr>
      </w:pPr>
      <w:r w:rsidRPr="003D4669">
        <w:rPr>
          <w:rFonts w:ascii="Times New Roman" w:eastAsia="Times New Roman" w:hAnsi="Times New Roman"/>
          <w:b/>
          <w:sz w:val="28"/>
          <w:szCs w:val="28"/>
          <w:lang w:eastAsia="uk-UA"/>
        </w:rPr>
        <w:t xml:space="preserve">7. </w:t>
      </w:r>
      <w:r w:rsidRPr="003D4669">
        <w:rPr>
          <w:rFonts w:ascii="Times New Roman" w:eastAsia="Times New Roman" w:hAnsi="Times New Roman"/>
          <w:sz w:val="28"/>
          <w:szCs w:val="28"/>
          <w:lang w:eastAsia="uk-UA"/>
        </w:rPr>
        <w:t xml:space="preserve">Згідно з оновленим п. 172.2 ст. 172 ПК пропонується оподатковувати доходи фізичної особи від продажу протягом звітного податкового року третього та наступних об’єктів нерухомості за ставкою 18%. Згідно із чинною нормою ставка податку до доходу, отриманого платником податку від продажу протягом звітного податкового року більш як одного з об’єктів нерухомості, становить 5%. Певною мірою погоджуючись із вказаними змінами, що </w:t>
      </w:r>
      <w:r w:rsidRPr="003D4669">
        <w:rPr>
          <w:rFonts w:ascii="Times New Roman" w:eastAsia="Times New Roman" w:hAnsi="Times New Roman"/>
          <w:sz w:val="28"/>
          <w:szCs w:val="28"/>
          <w:lang w:eastAsia="uk-UA"/>
        </w:rPr>
        <w:lastRenderedPageBreak/>
        <w:t>сприятиме ліквідації деяких схем мінімізації податків на ринку житлової нерухомості, водночас, звертаємо увагу, що стосовно сумлінних платників податків такий підхід може виступати суттєвою перешкодою, наприклад, для купівлі ними іншого (більшого та/або кращого) житла шляхом продажу належних йому кількох об’єктів нерухомості.</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lang w:eastAsia="uk-UA"/>
        </w:rPr>
      </w:pPr>
      <w:r w:rsidRPr="003D4669">
        <w:rPr>
          <w:rFonts w:ascii="Times New Roman" w:eastAsia="Times New Roman" w:hAnsi="Times New Roman"/>
          <w:b/>
          <w:sz w:val="28"/>
          <w:szCs w:val="28"/>
          <w:lang w:eastAsia="uk-UA"/>
        </w:rPr>
        <w:t>8.</w:t>
      </w:r>
      <w:r w:rsidRPr="003D4669">
        <w:rPr>
          <w:rFonts w:ascii="Times New Roman" w:eastAsia="Times New Roman" w:hAnsi="Times New Roman"/>
          <w:sz w:val="28"/>
          <w:szCs w:val="28"/>
          <w:lang w:eastAsia="uk-UA"/>
        </w:rPr>
        <w:t> Шляхом виключення пп. «г» п. 193.1 ст. 193 ПК пропонується скасувати знижену ставки податку на додану вартість (далі – ПДВ) у розмірі 14% щодо операцій з постачання на митній території України та ввезення на митну територію України сільськогосподарської продукції, що класифікується за такими кодами згідно з УКТ ЗЕД: 0102, 0103, 0104 10, 0401 (в частині молока незбираного), 1001, 1002, 1003, 1004, 1005, 1201, 1204 00, 1205, 1206 00, 1207, 1212 91. Зазначеними кодами охоплюються, зокрема: велика рогата худоба, жива; свині, живі; пшениця; жито; ячмiнь; овес; кукурудза; соєвi боби; насiння льону; насіння свирiпи та ріпаку, насiння соняшнику; насiння та плоди інших олiйних культур; цукрові буряки.</w:t>
      </w:r>
    </w:p>
    <w:p w:rsidR="003D4669" w:rsidRPr="003D4669" w:rsidRDefault="003D4669" w:rsidP="003D4669">
      <w:pPr>
        <w:spacing w:after="0" w:line="240" w:lineRule="auto"/>
        <w:ind w:firstLine="709"/>
        <w:jc w:val="both"/>
        <w:rPr>
          <w:rFonts w:ascii="Times New Roman" w:eastAsia="Times" w:hAnsi="Times New Roman"/>
          <w:sz w:val="28"/>
          <w:szCs w:val="28"/>
        </w:rPr>
      </w:pPr>
      <w:bookmarkStart w:id="5" w:name="_Hlk74142206"/>
      <w:r w:rsidRPr="003D4669">
        <w:rPr>
          <w:rFonts w:ascii="Times New Roman" w:eastAsia="Times" w:hAnsi="Times New Roman"/>
          <w:sz w:val="28"/>
          <w:szCs w:val="28"/>
        </w:rPr>
        <w:t xml:space="preserve">У контексті пропозицій проекту зазначимо, що згідно з положеннями Угоди про асоціацію між Україною та Європейським Союзом (далі – ЄС) Україна зобов’язується наблизити своє законодавство до законодавства ЄС, у тому числі, й у частині Директиви Ради ЄС від  28.11.2006 № 2006/112/ЄС про спільну систему податку на додану вартість (Додаток XXVIII до Глави 4 «Оподаткування» Розділу V «Економічне і галузеве співробітництво» Угоди). Відповідно до ч. 2 ст. 98 вказаної Директиви «знижені ставки застосовуються лише до поставки товарів або послуг за категоріями, визначеними в </w:t>
      </w:r>
      <w:r w:rsidRPr="003D4669">
        <w:rPr>
          <w:rFonts w:ascii="Times New Roman" w:eastAsia="Times" w:hAnsi="Times New Roman"/>
          <w:sz w:val="28"/>
          <w:szCs w:val="28"/>
        </w:rPr>
        <w:br/>
        <w:t>Додатку III». При цьому, вказаним Додатком III передбачено, що знижені ставки можуть поширюватись, серед іншого, на «харчові продукти (у тому числі, напої, за винятком алкогольних напоїв) для споживання людьми та тваринами; живі тварини, насіння, рослини та інгредієнти, зазвичай призначені для приготування харчових продуктів; продукцію, що зазвичай використовується як доповнення до харчових продуктів або як замінник харчових продуктів», тобто, на товари для безпосереднього споживання, а не, по суті, для товарного виробництва, як це передбачено у чинній нормі.</w:t>
      </w:r>
    </w:p>
    <w:p w:rsidR="003D4669" w:rsidRPr="003D4669" w:rsidRDefault="003D4669" w:rsidP="003D4669">
      <w:pPr>
        <w:spacing w:after="0" w:line="240" w:lineRule="auto"/>
        <w:ind w:firstLine="709"/>
        <w:jc w:val="both"/>
        <w:rPr>
          <w:rFonts w:ascii="Times New Roman" w:eastAsia="Times" w:hAnsi="Times New Roman"/>
          <w:sz w:val="28"/>
          <w:szCs w:val="28"/>
        </w:rPr>
      </w:pPr>
      <w:r w:rsidRPr="003D4669">
        <w:rPr>
          <w:rFonts w:ascii="Times New Roman" w:eastAsia="Times" w:hAnsi="Times New Roman"/>
          <w:sz w:val="28"/>
          <w:szCs w:val="28"/>
        </w:rPr>
        <w:t xml:space="preserve">У свою чергу, звертаємо увагу на те, що п. 193.1 ст. 193 ПК доповнено новим пп. «г», яким встановлено знижену ставку ПДВ (14%) для операцій з постачання на митній території України та ввезення на митну територію України деяких видів сільськогосподарської продукції, Законом України </w:t>
      </w:r>
      <w:r w:rsidRPr="003D4669">
        <w:rPr>
          <w:rFonts w:ascii="Times New Roman" w:eastAsia="Times" w:hAnsi="Times New Roman"/>
          <w:sz w:val="28"/>
          <w:szCs w:val="28"/>
        </w:rPr>
        <w:br/>
        <w:t xml:space="preserve">«Про внесення змін до Податкового кодексу України щодо ставки податку на додану вартість з операцій з постачання окремих видів сільськогосподарської продукції» від 17.12.2020 № 1115-IX, а відповідна ставка застосовується з </w:t>
      </w:r>
      <w:r w:rsidRPr="003D4669">
        <w:rPr>
          <w:rFonts w:ascii="Times New Roman" w:eastAsia="Times" w:hAnsi="Times New Roman"/>
          <w:i/>
          <w:sz w:val="28"/>
          <w:szCs w:val="28"/>
          <w:u w:val="single"/>
        </w:rPr>
        <w:t>01.03.2021</w:t>
      </w:r>
      <w:r w:rsidRPr="003D4669">
        <w:rPr>
          <w:rFonts w:ascii="Times New Roman" w:eastAsia="Times" w:hAnsi="Times New Roman"/>
          <w:sz w:val="28"/>
          <w:szCs w:val="28"/>
        </w:rPr>
        <w:t xml:space="preserve">. Відтак, перегляд нещодавно прийнятого рішення мав би здійснюватись на підставі результатів комплексного аналізу практики застосування зниженої ставки ПДВ у 2021 році для відповідної сільськогосподарської продукції, до операцій з постачання якої застосовується знижена ставка, а також належного, відповідно до вимог ст. 27 Бюджетного кодексу України та ст. 91 Регламенту Верховної Ради України, фінансово-економічного обґрунтування (з відповідними розрахунками), зокрема, з точки </w:t>
      </w:r>
      <w:r w:rsidRPr="003D4669">
        <w:rPr>
          <w:rFonts w:ascii="Times New Roman" w:eastAsia="Times" w:hAnsi="Times New Roman"/>
          <w:sz w:val="28"/>
          <w:szCs w:val="28"/>
        </w:rPr>
        <w:lastRenderedPageBreak/>
        <w:t>зору впливу на: показники бюджету; зменшення «тіньової» частини аграрного сектору; фінансовий стан сільськогосподарських виробників, переробних підприємств; динаміку експорту та імпорту; зміну цін на продукцію для кінцевого споживача тощо. У супровідних до проекту документах такий аналіз відсутній.</w:t>
      </w:r>
    </w:p>
    <w:p w:rsidR="003D4669" w:rsidRPr="003D4669" w:rsidRDefault="003D4669" w:rsidP="003D4669">
      <w:pPr>
        <w:tabs>
          <w:tab w:val="left" w:pos="-284"/>
          <w:tab w:val="left" w:pos="0"/>
          <w:tab w:val="left" w:pos="993"/>
          <w:tab w:val="left" w:pos="1134"/>
        </w:tabs>
        <w:spacing w:after="0" w:line="240" w:lineRule="auto"/>
        <w:ind w:firstLine="709"/>
        <w:contextualSpacing/>
        <w:jc w:val="both"/>
        <w:rPr>
          <w:rFonts w:ascii="Times New Roman" w:eastAsia="Times" w:hAnsi="Times New Roman"/>
          <w:sz w:val="28"/>
          <w:szCs w:val="28"/>
          <w:lang w:eastAsia="ru-RU"/>
        </w:rPr>
      </w:pPr>
      <w:r w:rsidRPr="003D4669">
        <w:rPr>
          <w:rFonts w:ascii="Times New Roman" w:eastAsia="Times" w:hAnsi="Times New Roman"/>
          <w:sz w:val="28"/>
          <w:szCs w:val="28"/>
          <w:lang w:eastAsia="ru-RU"/>
        </w:rPr>
        <w:t>Також зауважимо на необхідність урахування принципу стабільності податкового законодавства (пп. 4.1.9 п. 4.1 ст. 4 ПК), дотримання якого забезпечує суб’єктам господарювання можливість завчасного планування їх фінансового-господарської діяльності при зміні елементів податків та зборів.</w:t>
      </w:r>
      <w:bookmarkEnd w:id="5"/>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rPr>
      </w:pPr>
      <w:r w:rsidRPr="003D4669">
        <w:rPr>
          <w:rFonts w:ascii="Times New Roman" w:eastAsia="Times New Roman" w:hAnsi="Times New Roman"/>
          <w:b/>
          <w:sz w:val="28"/>
          <w:szCs w:val="28"/>
          <w:lang w:eastAsia="uk-UA"/>
        </w:rPr>
        <w:t>9.</w:t>
      </w:r>
      <w:r w:rsidRPr="003D4669">
        <w:rPr>
          <w:rFonts w:ascii="Times New Roman" w:eastAsia="Times New Roman" w:hAnsi="Times New Roman"/>
          <w:sz w:val="28"/>
          <w:szCs w:val="28"/>
          <w:lang w:eastAsia="uk-UA"/>
        </w:rPr>
        <w:t> </w:t>
      </w:r>
      <w:r w:rsidRPr="003D4669">
        <w:rPr>
          <w:rFonts w:ascii="Times New Roman" w:eastAsia="Times New Roman" w:hAnsi="Times New Roman"/>
          <w:sz w:val="28"/>
          <w:szCs w:val="28"/>
        </w:rPr>
        <w:t>Законодавча пропозиція щодо оподаткування податком на додану вартість операцій з постачання житла, крім операцій з першого постачання доступного житла та житла, що будується із залученням державних коштів (зміни до пп. 197.1.14 п. 197.1 ст. 197 ПК) не містить оцінок її наслідків, зокрема, у частині ризиків зростання вартості новозбудованого житла, зниження його інвестиційної привабливості, зростання цінової пропозиції на вторинному ринку житла, прискорення інфляційних процесів тощо.</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lang w:eastAsia="uk-UA"/>
        </w:rPr>
      </w:pPr>
      <w:r w:rsidRPr="003D4669">
        <w:rPr>
          <w:rFonts w:ascii="Times New Roman" w:eastAsia="Times New Roman" w:hAnsi="Times New Roman"/>
          <w:b/>
          <w:sz w:val="28"/>
          <w:szCs w:val="28"/>
          <w:lang w:eastAsia="uk-UA"/>
        </w:rPr>
        <w:t xml:space="preserve">10. </w:t>
      </w:r>
      <w:r w:rsidRPr="003D4669">
        <w:rPr>
          <w:rFonts w:ascii="Times New Roman" w:eastAsia="Times New Roman" w:hAnsi="Times New Roman"/>
          <w:sz w:val="28"/>
          <w:szCs w:val="28"/>
          <w:lang w:eastAsia="uk-UA"/>
        </w:rPr>
        <w:t>Виглядає дискусійним пропонований у нових абзацах п. 252.8 ст. 258 ПК підхід щодо встановлення фактичної ціни реалізації для руд заліза з урахуванням витрат на внутрішню та зовнішню доставку товарної продукції гірничого підприємства.</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lang w:eastAsia="uk-UA"/>
        </w:rPr>
      </w:pPr>
      <w:r w:rsidRPr="003D4669">
        <w:rPr>
          <w:rFonts w:ascii="Times New Roman" w:eastAsia="Times New Roman" w:hAnsi="Times New Roman"/>
          <w:sz w:val="28"/>
          <w:szCs w:val="28"/>
          <w:lang w:eastAsia="uk-UA"/>
        </w:rPr>
        <w:t>Так, відповідно до пп. 252.7.1 п. 252.1 ст. 252 ПК вартість відповідного виду товарної продукції гірничого підприємства - видобутої корисної копалини (мінеральної сировини) у податковому (звітному) періоді обчислюється, зокрема, за фактичними цінами реалізації відповідного виду товарної продукції гірничого підприємства - видобутої корисної копалини (мінеральної сировини) та не передбачає її зменшення на ті чи інші витрати. Зокрема, для нафти, для якої в ПК встановлено аналогічний метод визначення вартості, «фактична ціна реалізації для нафти, конденсату визначається центральним органом виконавчої влади, що реалізує державну політику економічного розвитку, за податковий (звітний) період як середня ціна одного бареля нафти «Urals», … визначена за інформацією міжнародного агентства (котирування Urals Mediterranean та Urals Rotterdam)» (п. 252.8 ст. 252 ПК).</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lang w:eastAsia="uk-UA"/>
        </w:rPr>
      </w:pPr>
      <w:r w:rsidRPr="003D4669">
        <w:rPr>
          <w:rFonts w:ascii="Times New Roman" w:eastAsia="Times New Roman" w:hAnsi="Times New Roman"/>
          <w:b/>
          <w:sz w:val="28"/>
          <w:szCs w:val="28"/>
          <w:lang w:eastAsia="uk-UA"/>
        </w:rPr>
        <w:t xml:space="preserve">11. </w:t>
      </w:r>
      <w:r w:rsidRPr="003D4669">
        <w:rPr>
          <w:rFonts w:ascii="Times New Roman" w:eastAsia="Times New Roman" w:hAnsi="Times New Roman"/>
          <w:sz w:val="28"/>
          <w:szCs w:val="28"/>
          <w:lang w:eastAsia="uk-UA"/>
        </w:rPr>
        <w:t xml:space="preserve">Відповідно до оновленого п. 274.1 ст. 274 ПК пропонується встановити ставку земельного податку </w:t>
      </w:r>
      <w:r w:rsidRPr="003D4669">
        <w:rPr>
          <w:rFonts w:ascii="Times New Roman" w:eastAsia="Times New Roman" w:hAnsi="Times New Roman"/>
          <w:sz w:val="28"/>
          <w:szCs w:val="28"/>
        </w:rPr>
        <w:t xml:space="preserve">для </w:t>
      </w:r>
      <w:r w:rsidRPr="003D4669">
        <w:rPr>
          <w:rFonts w:ascii="Times New Roman" w:eastAsia="Times New Roman" w:hAnsi="Times New Roman"/>
          <w:sz w:val="28"/>
          <w:szCs w:val="28"/>
          <w:lang w:eastAsia="uk-UA"/>
        </w:rPr>
        <w:t>земель залізничного транспорту у розмірі «не менше 0,3 відсотка та не більше 1 відсотка від їх нормативної грошової оцінки» (за земельні ділянки, нормативну грошову оцінку яких проведено), «не менше 0,3 відсотка та не більше 5 відсотків від нормативної грошової оцінки одиниці площі ріллі по Автономній Республіці Крим або по області» (за земельні ділянки, нормативну грошову оцінку яких не проведено).</w:t>
      </w:r>
    </w:p>
    <w:p w:rsidR="003D4669" w:rsidRPr="003D4669" w:rsidRDefault="003D4669" w:rsidP="003D4669">
      <w:pPr>
        <w:tabs>
          <w:tab w:val="left" w:pos="709"/>
          <w:tab w:val="left" w:pos="1134"/>
        </w:tabs>
        <w:spacing w:after="0" w:line="240" w:lineRule="auto"/>
        <w:ind w:firstLine="709"/>
        <w:jc w:val="both"/>
        <w:rPr>
          <w:rFonts w:ascii="Times New Roman" w:hAnsi="Times New Roman"/>
          <w:sz w:val="28"/>
          <w:szCs w:val="28"/>
        </w:rPr>
      </w:pPr>
      <w:r w:rsidRPr="003D4669">
        <w:rPr>
          <w:rFonts w:ascii="Times New Roman" w:hAnsi="Times New Roman"/>
          <w:sz w:val="28"/>
          <w:szCs w:val="28"/>
        </w:rPr>
        <w:t xml:space="preserve">Не заперечуючи щодо можливості перегляду ставок земельного податку для земель залізничного транспорту залізничного транспорту, враховуючи специфіку вказаної галузі, разом із тим, зауважимо, що у супровідних до проектах документах відсутнє відповідне обґрунтування пропонованих ставок. При цьому, звертаємо увагу на необхідність дотримання вимог ст. 103 Бюджетного кодексу України, згідно з якою надання державою податкових </w:t>
      </w:r>
      <w:r w:rsidRPr="003D4669">
        <w:rPr>
          <w:rFonts w:ascii="Times New Roman" w:hAnsi="Times New Roman"/>
          <w:sz w:val="28"/>
          <w:szCs w:val="28"/>
        </w:rPr>
        <w:lastRenderedPageBreak/>
        <w:t xml:space="preserve">пільг, які зменшують доходи місцевих бюджетів, має супроводжуватися наданням додаткової дотації з державного бюджету місцевим бюджетам на компенсацію відповідних втрат доходів місцевих бюджетів. </w:t>
      </w:r>
    </w:p>
    <w:p w:rsidR="003D4669" w:rsidRPr="003D4669" w:rsidRDefault="003D4669" w:rsidP="003D4669">
      <w:pPr>
        <w:tabs>
          <w:tab w:val="left" w:pos="709"/>
          <w:tab w:val="left" w:pos="1134"/>
        </w:tabs>
        <w:spacing w:after="0" w:line="240" w:lineRule="auto"/>
        <w:ind w:firstLine="709"/>
        <w:jc w:val="both"/>
        <w:rPr>
          <w:rFonts w:ascii="Times New Roman" w:hAnsi="Times New Roman"/>
          <w:sz w:val="28"/>
          <w:szCs w:val="28"/>
        </w:rPr>
      </w:pPr>
      <w:r w:rsidRPr="003D4669">
        <w:rPr>
          <w:rFonts w:ascii="Times New Roman" w:hAnsi="Times New Roman"/>
          <w:sz w:val="28"/>
          <w:szCs w:val="28"/>
        </w:rPr>
        <w:t>Також встановлення вказаної пільги окремим суб’єктам господарювання не відповідає принципу рівності усіх платників перед законом, недопущення будь-яких проявів податкової дискримінації (пп. 4.1.2 п. 4.1 ст. 4 ПК).</w:t>
      </w:r>
    </w:p>
    <w:p w:rsidR="003D4669" w:rsidRPr="003D4669" w:rsidRDefault="003D4669" w:rsidP="003D4669">
      <w:pPr>
        <w:tabs>
          <w:tab w:val="left" w:pos="709"/>
          <w:tab w:val="left" w:pos="1134"/>
        </w:tabs>
        <w:spacing w:after="0" w:line="240" w:lineRule="auto"/>
        <w:ind w:firstLine="709"/>
        <w:jc w:val="both"/>
        <w:rPr>
          <w:rFonts w:ascii="Times New Roman" w:hAnsi="Times New Roman"/>
          <w:sz w:val="28"/>
          <w:szCs w:val="28"/>
        </w:rPr>
      </w:pPr>
      <w:r w:rsidRPr="003D4669">
        <w:rPr>
          <w:rFonts w:ascii="Times New Roman" w:hAnsi="Times New Roman"/>
          <w:sz w:val="28"/>
          <w:szCs w:val="28"/>
        </w:rPr>
        <w:t>Принагідно звертаємо увагу, що пп. 14.1.78</w:t>
      </w:r>
      <w:r w:rsidRPr="003D4669">
        <w:rPr>
          <w:rFonts w:ascii="Times New Roman" w:hAnsi="Times New Roman"/>
          <w:sz w:val="28"/>
          <w:szCs w:val="28"/>
          <w:vertAlign w:val="superscript"/>
        </w:rPr>
        <w:t>1</w:t>
      </w:r>
      <w:r w:rsidRPr="003D4669">
        <w:rPr>
          <w:rFonts w:ascii="Times New Roman" w:hAnsi="Times New Roman"/>
          <w:sz w:val="28"/>
          <w:szCs w:val="28"/>
        </w:rPr>
        <w:t xml:space="preserve"> п. 14.1 ст. 14 ПК містить визначення поняття «землі залізничного транспорту».</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rPr>
      </w:pPr>
      <w:r w:rsidRPr="003D4669">
        <w:rPr>
          <w:rFonts w:ascii="Times New Roman" w:eastAsia="Times New Roman" w:hAnsi="Times New Roman"/>
          <w:b/>
          <w:sz w:val="28"/>
          <w:szCs w:val="28"/>
        </w:rPr>
        <w:t>12.</w:t>
      </w:r>
      <w:r w:rsidRPr="003D4669">
        <w:rPr>
          <w:rFonts w:ascii="Times New Roman" w:eastAsia="Times New Roman" w:hAnsi="Times New Roman"/>
          <w:sz w:val="28"/>
          <w:szCs w:val="28"/>
        </w:rPr>
        <w:t xml:space="preserve"> Відповідно до оновленого </w:t>
      </w:r>
      <w:bookmarkStart w:id="6" w:name="_Hlk75430005"/>
      <w:r w:rsidRPr="003D4669">
        <w:rPr>
          <w:rFonts w:ascii="Times New Roman" w:eastAsia="Times New Roman" w:hAnsi="Times New Roman"/>
          <w:sz w:val="28"/>
          <w:szCs w:val="28"/>
        </w:rPr>
        <w:t xml:space="preserve">пп. 291.51.1 п. 291.51 ст. 291 ПК не можуть бути платниками єдиного податку четвертої групи </w:t>
      </w:r>
      <w:bookmarkEnd w:id="6"/>
      <w:r w:rsidRPr="003D4669">
        <w:rPr>
          <w:rFonts w:ascii="Times New Roman" w:eastAsia="Times New Roman" w:hAnsi="Times New Roman"/>
          <w:sz w:val="28"/>
          <w:szCs w:val="28"/>
        </w:rPr>
        <w:t xml:space="preserve">«суб’єкти господарювання, діяльність яких згідно з КВЕД-2010 </w:t>
      </w:r>
      <w:r w:rsidRPr="00835DBE">
        <w:rPr>
          <w:rFonts w:ascii="Times New Roman" w:eastAsia="Times New Roman" w:hAnsi="Times New Roman"/>
          <w:sz w:val="28"/>
          <w:szCs w:val="28"/>
        </w:rPr>
        <w:t>відноситься до класів 01.47 (розведення свійської птиці), 01.49 (в частині розведення та вирощування перепелів і страусів) та 10.12 (виробництво м’яса свійської птиці)».</w:t>
      </w:r>
      <w:r w:rsidR="00D84D73" w:rsidRPr="00835DBE">
        <w:rPr>
          <w:rFonts w:ascii="Times New Roman" w:eastAsia="Times New Roman" w:hAnsi="Times New Roman"/>
          <w:sz w:val="28"/>
          <w:szCs w:val="28"/>
        </w:rPr>
        <w:t xml:space="preserve"> </w:t>
      </w:r>
      <w:r w:rsidRPr="00835DBE">
        <w:rPr>
          <w:rFonts w:ascii="Times New Roman" w:eastAsia="Times New Roman" w:hAnsi="Times New Roman"/>
          <w:sz w:val="28"/>
          <w:szCs w:val="28"/>
        </w:rPr>
        <w:t>У цілому не заперечуючи щодо вказаних змін, разом із тим, зауважимо, що встановлення вказаних обмежень стосуватиметься не тільки великих та середніх виробників, які використовують на сьогодні спрощену систему оподаткування, обліку та звітності для сільськогосподарських товаровиробників в Україні (4 група платників єдиного податку) для мінімізації податків, але й може негативно позначитись на малих виробниках, що, у тому числі, може призвести до зниження конкуренції у цій сфері та, як наслідок, зростання ціни на відповідні</w:t>
      </w:r>
      <w:r w:rsidRPr="003D4669">
        <w:rPr>
          <w:rFonts w:ascii="Times New Roman" w:eastAsia="Times New Roman" w:hAnsi="Times New Roman"/>
          <w:sz w:val="28"/>
          <w:szCs w:val="28"/>
        </w:rPr>
        <w:t xml:space="preserve"> товари.</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rPr>
      </w:pPr>
      <w:r w:rsidRPr="003D4669">
        <w:rPr>
          <w:rFonts w:ascii="Times New Roman" w:eastAsia="Times New Roman" w:hAnsi="Times New Roman"/>
          <w:sz w:val="28"/>
          <w:szCs w:val="28"/>
        </w:rPr>
        <w:t>Принагідно зауважимо, що, на наш погляд, застосування 4 групи платників єдиного податку потребує суттєвого вдосконалення, оскільки за своєю природою має застосовуватися виключно суб’єктами малого підприємництва з невеликими доходом, чисельністю працівників тощо, для яких ведення повноцінного податкового обліку є складним та економічно обтяжливим, а не поширюватись на будь-якого сільськогосподарського товаровиробника без обмежень обсягу доходу, розміру земельної ділянки, як це передбачено чинною редакцією ПК. Зазначене на сьогодні фактично використовується великими та середніми сільськогосподарськими виробниками для мінімізації податків та зборів, призводить до суттєвого зменшення бюджетних надходжень та нерівномірного податкового навантаження на виробників різних організаційно-правових форм.</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rPr>
      </w:pPr>
      <w:r w:rsidRPr="003D4669">
        <w:rPr>
          <w:rFonts w:ascii="Times New Roman" w:eastAsia="Times New Roman" w:hAnsi="Times New Roman"/>
          <w:sz w:val="28"/>
          <w:szCs w:val="28"/>
        </w:rPr>
        <w:t>Що ж стосується пропозиції вказаного пп. 291.5</w:t>
      </w:r>
      <w:r w:rsidRPr="003D4669">
        <w:rPr>
          <w:rFonts w:ascii="Times New Roman" w:eastAsia="Times New Roman" w:hAnsi="Times New Roman"/>
          <w:sz w:val="28"/>
          <w:szCs w:val="28"/>
          <w:vertAlign w:val="superscript"/>
        </w:rPr>
        <w:t>1</w:t>
      </w:r>
      <w:r w:rsidRPr="003D4669">
        <w:rPr>
          <w:rFonts w:ascii="Times New Roman" w:eastAsia="Times New Roman" w:hAnsi="Times New Roman"/>
          <w:sz w:val="28"/>
          <w:szCs w:val="28"/>
        </w:rPr>
        <w:t xml:space="preserve">.1, згідно із якою не можуть бути платниками єдиного податку четвертої групи «суб’єкти господарювання, </w:t>
      </w:r>
      <w:r w:rsidRPr="003D4669">
        <w:rPr>
          <w:rFonts w:ascii="Times New Roman" w:eastAsia="Times New Roman" w:hAnsi="Times New Roman"/>
          <w:i/>
          <w:sz w:val="28"/>
          <w:szCs w:val="28"/>
        </w:rPr>
        <w:t xml:space="preserve">які провадять діяльність з </w:t>
      </w:r>
      <w:r w:rsidRPr="003D4669">
        <w:rPr>
          <w:rFonts w:ascii="Times New Roman" w:eastAsia="Times New Roman" w:hAnsi="Times New Roman"/>
          <w:i/>
          <w:sz w:val="28"/>
          <w:szCs w:val="28"/>
          <w:u w:val="single"/>
        </w:rPr>
        <w:t xml:space="preserve">переробки </w:t>
      </w:r>
      <w:r w:rsidRPr="003D4669">
        <w:rPr>
          <w:rFonts w:ascii="Times New Roman" w:eastAsia="Times New Roman" w:hAnsi="Times New Roman"/>
          <w:i/>
          <w:sz w:val="28"/>
          <w:szCs w:val="28"/>
        </w:rPr>
        <w:t xml:space="preserve">насіння та плодів олійних культур (арахісу, сої, соняшнику, кользи, рапсу, рижію тощо) та діяльність з </w:t>
      </w:r>
      <w:r w:rsidRPr="003D4669">
        <w:rPr>
          <w:rFonts w:ascii="Times New Roman" w:eastAsia="Times New Roman" w:hAnsi="Times New Roman"/>
          <w:i/>
          <w:sz w:val="28"/>
          <w:szCs w:val="28"/>
          <w:u w:val="single"/>
        </w:rPr>
        <w:t>виробництва</w:t>
      </w:r>
      <w:r w:rsidRPr="003D4669">
        <w:rPr>
          <w:rFonts w:ascii="Times New Roman" w:eastAsia="Times New Roman" w:hAnsi="Times New Roman"/>
          <w:i/>
          <w:sz w:val="28"/>
          <w:szCs w:val="28"/>
        </w:rPr>
        <w:t xml:space="preserve"> олій з вказаних насінь та плодів олійних культур</w:t>
      </w:r>
      <w:r w:rsidRPr="003D4669">
        <w:rPr>
          <w:rFonts w:ascii="Times New Roman" w:eastAsia="Times New Roman" w:hAnsi="Times New Roman"/>
          <w:sz w:val="28"/>
          <w:szCs w:val="28"/>
        </w:rPr>
        <w:t xml:space="preserve">», зауважимо, що вказана пропозиція не повною мірою узгоджується із загальними положеннями застосування спрощеної системи оподаткування, обліку та звітності, а також справляння єдиного податку. </w:t>
      </w:r>
    </w:p>
    <w:p w:rsidR="003D4669" w:rsidRPr="00835DBE" w:rsidRDefault="003D4669" w:rsidP="003D4669">
      <w:pPr>
        <w:tabs>
          <w:tab w:val="left" w:pos="709"/>
          <w:tab w:val="left" w:pos="1134"/>
        </w:tabs>
        <w:spacing w:after="0" w:line="240" w:lineRule="auto"/>
        <w:ind w:firstLine="709"/>
        <w:jc w:val="both"/>
        <w:rPr>
          <w:rFonts w:ascii="Times New Roman" w:eastAsia="Times New Roman" w:hAnsi="Times New Roman"/>
          <w:sz w:val="28"/>
          <w:szCs w:val="28"/>
        </w:rPr>
      </w:pPr>
      <w:r w:rsidRPr="003D4669">
        <w:rPr>
          <w:rFonts w:ascii="Times New Roman" w:eastAsia="Times New Roman" w:hAnsi="Times New Roman"/>
          <w:sz w:val="28"/>
          <w:szCs w:val="28"/>
        </w:rPr>
        <w:t xml:space="preserve">Зокрема, відповідно до пп. 4 п. 291.4 ст. 291 ПК до четвертої групи віднесені </w:t>
      </w:r>
      <w:r w:rsidRPr="003D4669">
        <w:rPr>
          <w:rFonts w:ascii="Times New Roman" w:eastAsia="Times New Roman" w:hAnsi="Times New Roman"/>
          <w:i/>
          <w:sz w:val="28"/>
          <w:szCs w:val="28"/>
        </w:rPr>
        <w:t>сільськогосподарські товаровиробники</w:t>
      </w:r>
      <w:r w:rsidRPr="003D4669">
        <w:rPr>
          <w:rFonts w:ascii="Times New Roman" w:eastAsia="Times New Roman" w:hAnsi="Times New Roman"/>
          <w:sz w:val="28"/>
          <w:szCs w:val="28"/>
        </w:rPr>
        <w:t xml:space="preserve">, а саме: «а) юридичні особи незалежно від організаційно-правової форми, у яких частка сільськогосподарського товаровиробництва за попередній податковий (звітний) </w:t>
      </w:r>
      <w:r w:rsidRPr="003D4669">
        <w:rPr>
          <w:rFonts w:ascii="Times New Roman" w:eastAsia="Times New Roman" w:hAnsi="Times New Roman"/>
          <w:sz w:val="28"/>
          <w:szCs w:val="28"/>
        </w:rPr>
        <w:lastRenderedPageBreak/>
        <w:t xml:space="preserve">рік дорівнює або перевищує 75 відсотків;б) фізичні особи - підприємці, які провадять діяльність виключно в межах фермерського господарства, зареєстрованого відповідно до Закону України «Про фермерське господарство» …». Згідно із пп. 14.1.235 п. 14.1 ст. 14 ПК  сільськогосподарський товаровиробник для цілей глави 1 розділу XIV цього Кодексу – юридична особа незалежно від організаційно-правової форми або фізична особа - підприємець, яка займається виробництвом сільськогосподарської продукції та/або розведенням, вирощуванням та виловом риби у внутрішніх водоймах (озерах, ставках та водосховищах) та її переробкою на власних чи орендованих потужностях, у тому числі власно виробленої сировини </w:t>
      </w:r>
      <w:r w:rsidRPr="00835DBE">
        <w:rPr>
          <w:rFonts w:ascii="Times New Roman" w:eastAsia="Times New Roman" w:hAnsi="Times New Roman"/>
          <w:sz w:val="28"/>
          <w:szCs w:val="28"/>
        </w:rPr>
        <w:t>на давальницьких умовах, та здійснює операції з її постачання. При цьому</w:t>
      </w:r>
      <w:r w:rsidR="00D84D73" w:rsidRPr="00835DBE">
        <w:rPr>
          <w:rFonts w:ascii="Times New Roman" w:eastAsia="Times New Roman" w:hAnsi="Times New Roman"/>
          <w:sz w:val="28"/>
          <w:szCs w:val="28"/>
        </w:rPr>
        <w:t>,</w:t>
      </w:r>
      <w:r w:rsidRPr="00835DBE">
        <w:rPr>
          <w:rFonts w:ascii="Times New Roman" w:eastAsia="Times New Roman" w:hAnsi="Times New Roman"/>
          <w:sz w:val="28"/>
          <w:szCs w:val="28"/>
        </w:rPr>
        <w:t xml:space="preserve"> зауважимо, що у супровідних до проекту документах відсутнє належне обґрунтування доцільності пропонованих змін. </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rPr>
      </w:pPr>
      <w:r w:rsidRPr="00835DBE">
        <w:rPr>
          <w:rFonts w:ascii="Times New Roman" w:eastAsia="Times New Roman" w:hAnsi="Times New Roman"/>
          <w:b/>
          <w:sz w:val="28"/>
          <w:szCs w:val="28"/>
        </w:rPr>
        <w:t>13.</w:t>
      </w:r>
      <w:r w:rsidRPr="00835DBE">
        <w:rPr>
          <w:rFonts w:ascii="Times New Roman" w:eastAsia="Times New Roman" w:hAnsi="Times New Roman"/>
          <w:sz w:val="28"/>
          <w:szCs w:val="28"/>
        </w:rPr>
        <w:t xml:space="preserve"> Потребує належного обґрунтування пропозиція щодо встановлення граничного розміру державної допомоги для виробника сільськогосподарської продукції за ко</w:t>
      </w:r>
      <w:r w:rsidR="00D84D73" w:rsidRPr="00835DBE">
        <w:rPr>
          <w:rFonts w:ascii="Times New Roman" w:eastAsia="Times New Roman" w:hAnsi="Times New Roman"/>
          <w:sz w:val="28"/>
          <w:szCs w:val="28"/>
        </w:rPr>
        <w:t xml:space="preserve">жним видом державної підтримки </w:t>
      </w:r>
      <w:r w:rsidRPr="00835DBE">
        <w:rPr>
          <w:rFonts w:ascii="Times New Roman" w:eastAsia="Times New Roman" w:hAnsi="Times New Roman"/>
          <w:sz w:val="28"/>
          <w:szCs w:val="28"/>
        </w:rPr>
        <w:t xml:space="preserve">в абсолютному розмірі – </w:t>
      </w:r>
      <w:r w:rsidRPr="00835DBE">
        <w:rPr>
          <w:rFonts w:ascii="Times New Roman" w:eastAsia="Times New Roman" w:hAnsi="Times New Roman"/>
          <w:sz w:val="28"/>
          <w:szCs w:val="28"/>
        </w:rPr>
        <w:br/>
        <w:t>30 млн. грн. на рік (за чинною нормою  – не більше ніж 10 тисяч розмірів мінімальної заробітної плати, встановленої на 1 січня відповідного року) (зміни до Закону України «Про державну підтримку сільського господарства України»).</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rPr>
      </w:pP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rPr>
      </w:pP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rPr>
      </w:pPr>
      <w:r w:rsidRPr="003D4669">
        <w:rPr>
          <w:rFonts w:ascii="Times New Roman" w:eastAsia="Times New Roman" w:hAnsi="Times New Roman"/>
          <w:sz w:val="28"/>
          <w:szCs w:val="28"/>
        </w:rPr>
        <w:t>Керівник Головного управління</w:t>
      </w:r>
      <w:r w:rsidRPr="003D4669">
        <w:rPr>
          <w:rFonts w:ascii="Times New Roman" w:eastAsia="Times New Roman" w:hAnsi="Times New Roman"/>
          <w:sz w:val="28"/>
          <w:szCs w:val="28"/>
        </w:rPr>
        <w:tab/>
      </w:r>
      <w:r w:rsidRPr="003D4669">
        <w:rPr>
          <w:rFonts w:ascii="Times New Roman" w:eastAsia="Times New Roman" w:hAnsi="Times New Roman"/>
          <w:sz w:val="28"/>
          <w:szCs w:val="28"/>
        </w:rPr>
        <w:tab/>
      </w:r>
      <w:r w:rsidRPr="003D4669">
        <w:rPr>
          <w:rFonts w:ascii="Times New Roman" w:eastAsia="Times New Roman" w:hAnsi="Times New Roman"/>
          <w:sz w:val="28"/>
          <w:szCs w:val="28"/>
        </w:rPr>
        <w:tab/>
      </w:r>
      <w:r w:rsidRPr="003D4669">
        <w:rPr>
          <w:rFonts w:ascii="Times New Roman" w:eastAsia="Times New Roman" w:hAnsi="Times New Roman"/>
          <w:sz w:val="28"/>
          <w:szCs w:val="28"/>
        </w:rPr>
        <w:tab/>
      </w:r>
      <w:r w:rsidRPr="003D4669">
        <w:rPr>
          <w:rFonts w:ascii="Times New Roman" w:eastAsia="Times New Roman" w:hAnsi="Times New Roman"/>
          <w:sz w:val="28"/>
          <w:szCs w:val="28"/>
        </w:rPr>
        <w:tab/>
      </w:r>
      <w:r w:rsidR="002A2481">
        <w:rPr>
          <w:rFonts w:ascii="Times New Roman" w:eastAsia="Times New Roman" w:hAnsi="Times New Roman"/>
          <w:sz w:val="28"/>
          <w:szCs w:val="28"/>
        </w:rPr>
        <w:t xml:space="preserve">     </w:t>
      </w:r>
      <w:r w:rsidRPr="003D4669">
        <w:rPr>
          <w:rFonts w:ascii="Times New Roman" w:eastAsia="Times New Roman" w:hAnsi="Times New Roman"/>
          <w:sz w:val="28"/>
          <w:szCs w:val="28"/>
        </w:rPr>
        <w:t>С. Тихонюк</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rPr>
      </w:pP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rPr>
      </w:pP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0"/>
          <w:szCs w:val="20"/>
        </w:rPr>
      </w:pPr>
      <w:r w:rsidRPr="003D4669">
        <w:rPr>
          <w:rFonts w:ascii="Times New Roman" w:eastAsia="Times New Roman" w:hAnsi="Times New Roman"/>
          <w:sz w:val="20"/>
          <w:szCs w:val="20"/>
        </w:rPr>
        <w:t>Вик.: Н. Пархоменко, Є. Гришко, М. Муравська</w:t>
      </w:r>
    </w:p>
    <w:p w:rsidR="003D4669" w:rsidRPr="003D4669" w:rsidRDefault="003D4669" w:rsidP="003D4669">
      <w:pPr>
        <w:tabs>
          <w:tab w:val="left" w:pos="709"/>
          <w:tab w:val="left" w:pos="1134"/>
        </w:tabs>
        <w:spacing w:after="0" w:line="240" w:lineRule="auto"/>
        <w:ind w:firstLine="709"/>
        <w:jc w:val="both"/>
        <w:rPr>
          <w:rFonts w:ascii="Times New Roman" w:eastAsia="Times New Roman" w:hAnsi="Times New Roman"/>
          <w:sz w:val="28"/>
          <w:szCs w:val="28"/>
        </w:rPr>
      </w:pPr>
    </w:p>
    <w:p w:rsidR="003D4669" w:rsidRPr="003D4669" w:rsidRDefault="003D4669" w:rsidP="008E47AE">
      <w:pPr>
        <w:spacing w:after="0" w:line="240" w:lineRule="auto"/>
        <w:ind w:firstLine="709"/>
        <w:jc w:val="both"/>
        <w:rPr>
          <w:rFonts w:ascii="Times New Roman" w:hAnsi="Times New Roman"/>
          <w:b/>
          <w:sz w:val="28"/>
          <w:szCs w:val="28"/>
        </w:rPr>
      </w:pPr>
    </w:p>
    <w:p w:rsidR="003D4669" w:rsidRPr="003D4669" w:rsidRDefault="003D4669" w:rsidP="008E47AE">
      <w:pPr>
        <w:spacing w:after="0" w:line="240" w:lineRule="auto"/>
        <w:ind w:firstLine="709"/>
        <w:jc w:val="both"/>
        <w:rPr>
          <w:rFonts w:ascii="Times New Roman" w:hAnsi="Times New Roman"/>
          <w:b/>
          <w:sz w:val="28"/>
          <w:szCs w:val="28"/>
          <w:lang w:val="ru-RU"/>
        </w:rPr>
      </w:pPr>
    </w:p>
    <w:bookmarkEnd w:id="0"/>
    <w:p w:rsidR="003D4669" w:rsidRPr="003D4669" w:rsidRDefault="003D4669" w:rsidP="008E47AE">
      <w:pPr>
        <w:spacing w:after="0" w:line="240" w:lineRule="auto"/>
        <w:ind w:firstLine="709"/>
        <w:jc w:val="both"/>
        <w:rPr>
          <w:rFonts w:ascii="Times New Roman" w:eastAsia="Times New Roman" w:hAnsi="Times New Roman"/>
          <w:sz w:val="20"/>
          <w:szCs w:val="20"/>
          <w:lang w:val="ru-RU" w:eastAsia="uk-UA"/>
        </w:rPr>
      </w:pPr>
    </w:p>
    <w:sectPr w:rsidR="003D4669" w:rsidRPr="003D4669" w:rsidSect="00C732E4">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2E8A" w:rsidRDefault="007A2E8A" w:rsidP="00CE324E">
      <w:pPr>
        <w:spacing w:after="0" w:line="240" w:lineRule="auto"/>
      </w:pPr>
      <w:r>
        <w:separator/>
      </w:r>
    </w:p>
  </w:endnote>
  <w:endnote w:type="continuationSeparator" w:id="0">
    <w:p w:rsidR="007A2E8A" w:rsidRDefault="007A2E8A" w:rsidP="00CE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2E8A" w:rsidRDefault="007A2E8A" w:rsidP="00CE324E">
      <w:pPr>
        <w:spacing w:after="0" w:line="240" w:lineRule="auto"/>
      </w:pPr>
      <w:r>
        <w:separator/>
      </w:r>
    </w:p>
  </w:footnote>
  <w:footnote w:type="continuationSeparator" w:id="0">
    <w:p w:rsidR="007A2E8A" w:rsidRDefault="007A2E8A" w:rsidP="00CE3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FA0" w:rsidRPr="00927520" w:rsidRDefault="00327095" w:rsidP="00C732E4">
    <w:pPr>
      <w:pStyle w:val="a5"/>
      <w:jc w:val="center"/>
      <w:rPr>
        <w:rFonts w:ascii="Times New Roman" w:hAnsi="Times New Roman"/>
        <w:sz w:val="24"/>
      </w:rPr>
    </w:pPr>
    <w:r w:rsidRPr="00927520">
      <w:rPr>
        <w:rFonts w:ascii="Times New Roman" w:hAnsi="Times New Roman"/>
        <w:sz w:val="24"/>
      </w:rPr>
      <w:fldChar w:fldCharType="begin"/>
    </w:r>
    <w:r w:rsidR="00FC5FA0" w:rsidRPr="00927520">
      <w:rPr>
        <w:rFonts w:ascii="Times New Roman" w:hAnsi="Times New Roman"/>
        <w:sz w:val="24"/>
      </w:rPr>
      <w:instrText>PAGE   \* MERGEFORMAT</w:instrText>
    </w:r>
    <w:r w:rsidRPr="00927520">
      <w:rPr>
        <w:rFonts w:ascii="Times New Roman" w:hAnsi="Times New Roman"/>
        <w:sz w:val="24"/>
      </w:rPr>
      <w:fldChar w:fldCharType="separate"/>
    </w:r>
    <w:r w:rsidR="002668E3">
      <w:rPr>
        <w:rFonts w:ascii="Times New Roman" w:hAnsi="Times New Roman"/>
        <w:noProof/>
        <w:sz w:val="24"/>
      </w:rPr>
      <w:t>11</w:t>
    </w:r>
    <w:r w:rsidRPr="00927520">
      <w:rPr>
        <w:rFonts w:ascii="Times New Roman" w:hAnsi="Times New Roman"/>
        <w:noProof/>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FA0" w:rsidRPr="00835DBE" w:rsidRDefault="00FC5FA0" w:rsidP="00F96051">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835DBE">
      <w:rPr>
        <w:rFonts w:ascii="Times New Roman" w:eastAsia="Times New Roman" w:hAnsi="Times New Roman"/>
        <w:sz w:val="20"/>
        <w:szCs w:val="20"/>
        <w:lang w:eastAsia="ru-RU"/>
      </w:rPr>
      <w:t xml:space="preserve">До реєстр. № </w:t>
    </w:r>
    <w:r w:rsidR="00D84D73" w:rsidRPr="00835DBE">
      <w:rPr>
        <w:rFonts w:ascii="Times New Roman" w:eastAsia="Times New Roman" w:hAnsi="Times New Roman"/>
        <w:sz w:val="20"/>
        <w:szCs w:val="20"/>
        <w:lang w:eastAsia="ru-RU"/>
      </w:rPr>
      <w:t>5600-7 від 18</w:t>
    </w:r>
    <w:r w:rsidR="00E357E3" w:rsidRPr="00835DBE">
      <w:rPr>
        <w:rFonts w:ascii="Times New Roman" w:eastAsia="Times New Roman" w:hAnsi="Times New Roman"/>
        <w:sz w:val="20"/>
        <w:szCs w:val="20"/>
        <w:lang w:eastAsia="ru-RU"/>
      </w:rPr>
      <w:t>.06.2021</w:t>
    </w:r>
  </w:p>
  <w:p w:rsidR="00FC5FA0" w:rsidRPr="00835DBE" w:rsidRDefault="00E357E3" w:rsidP="00F96051">
    <w:pPr>
      <w:keepNext/>
      <w:tabs>
        <w:tab w:val="left" w:pos="5670"/>
        <w:tab w:val="right" w:pos="9354"/>
      </w:tabs>
      <w:spacing w:after="0" w:line="240" w:lineRule="auto"/>
      <w:ind w:left="5670" w:hanging="992"/>
      <w:jc w:val="right"/>
      <w:outlineLvl w:val="5"/>
      <w:rPr>
        <w:rFonts w:ascii="Times New Roman" w:eastAsia="Times New Roman" w:hAnsi="Times New Roman"/>
        <w:sz w:val="20"/>
        <w:szCs w:val="20"/>
        <w:lang w:eastAsia="ru-RU"/>
      </w:rPr>
    </w:pPr>
    <w:r w:rsidRPr="00835DBE">
      <w:rPr>
        <w:rFonts w:ascii="Times New Roman" w:eastAsia="Times New Roman" w:hAnsi="Times New Roman"/>
        <w:sz w:val="20"/>
        <w:szCs w:val="20"/>
        <w:lang w:eastAsia="ru-RU"/>
      </w:rPr>
      <w:t>Народний депутат</w:t>
    </w:r>
    <w:r w:rsidR="00FC5FA0" w:rsidRPr="00835DBE">
      <w:rPr>
        <w:rFonts w:ascii="Times New Roman" w:eastAsia="Times New Roman" w:hAnsi="Times New Roman"/>
        <w:sz w:val="20"/>
        <w:szCs w:val="20"/>
        <w:lang w:eastAsia="ru-RU"/>
      </w:rPr>
      <w:t xml:space="preserve"> України</w:t>
    </w:r>
  </w:p>
  <w:p w:rsidR="00FC5FA0" w:rsidRPr="00F96051" w:rsidRDefault="00D84D73" w:rsidP="00F96051">
    <w:pPr>
      <w:keepNext/>
      <w:tabs>
        <w:tab w:val="left" w:pos="5670"/>
        <w:tab w:val="right" w:pos="9354"/>
      </w:tabs>
      <w:spacing w:after="0" w:line="240" w:lineRule="auto"/>
      <w:ind w:left="5670" w:hanging="992"/>
      <w:jc w:val="right"/>
      <w:outlineLvl w:val="5"/>
      <w:rPr>
        <w:rFonts w:ascii="Times New Roman" w:hAnsi="Times New Roman"/>
        <w:sz w:val="20"/>
        <w:szCs w:val="20"/>
      </w:rPr>
    </w:pPr>
    <w:r w:rsidRPr="00835DBE">
      <w:rPr>
        <w:rFonts w:ascii="Times New Roman" w:eastAsia="Times New Roman" w:hAnsi="Times New Roman"/>
        <w:sz w:val="20"/>
        <w:szCs w:val="20"/>
        <w:lang w:eastAsia="ru-RU"/>
      </w:rPr>
      <w:t>О. Дануца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F5DB9"/>
    <w:multiLevelType w:val="hybridMultilevel"/>
    <w:tmpl w:val="67EC581A"/>
    <w:lvl w:ilvl="0" w:tplc="B718C70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84857C8"/>
    <w:multiLevelType w:val="hybridMultilevel"/>
    <w:tmpl w:val="B1F218D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 w15:restartNumberingAfterBreak="0">
    <w:nsid w:val="0B6E20DA"/>
    <w:multiLevelType w:val="hybridMultilevel"/>
    <w:tmpl w:val="B08A0D52"/>
    <w:lvl w:ilvl="0" w:tplc="2A2AE4DE">
      <w:start w:val="1"/>
      <w:numFmt w:val="decimal"/>
      <w:lvlText w:val="%1."/>
      <w:lvlJc w:val="left"/>
      <w:pPr>
        <w:ind w:left="1069" w:hanging="360"/>
      </w:pPr>
      <w:rPr>
        <w:rFonts w:cs="Calibri"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15700DEE"/>
    <w:multiLevelType w:val="hybridMultilevel"/>
    <w:tmpl w:val="25BE72D8"/>
    <w:lvl w:ilvl="0" w:tplc="A75E75E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15993E8E"/>
    <w:multiLevelType w:val="hybridMultilevel"/>
    <w:tmpl w:val="6F4EA150"/>
    <w:lvl w:ilvl="0" w:tplc="065A1D7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1BA67627"/>
    <w:multiLevelType w:val="hybridMultilevel"/>
    <w:tmpl w:val="1D662D8A"/>
    <w:lvl w:ilvl="0" w:tplc="6042552A">
      <w:start w:val="1"/>
      <w:numFmt w:val="decimal"/>
      <w:lvlText w:val="(%1)"/>
      <w:lvlJc w:val="left"/>
      <w:pPr>
        <w:ind w:left="1318" w:hanging="313"/>
      </w:pPr>
      <w:rPr>
        <w:rFonts w:ascii="Times New Roman" w:eastAsia="Times New Roman" w:hAnsi="Times New Roman" w:hint="default"/>
        <w:sz w:val="19"/>
        <w:szCs w:val="19"/>
      </w:rPr>
    </w:lvl>
    <w:lvl w:ilvl="1" w:tplc="9FDE7EF0">
      <w:start w:val="1"/>
      <w:numFmt w:val="lowerLetter"/>
      <w:lvlText w:val="(%2)"/>
      <w:lvlJc w:val="left"/>
      <w:pPr>
        <w:ind w:left="1634" w:hanging="315"/>
      </w:pPr>
      <w:rPr>
        <w:rFonts w:ascii="Times New Roman" w:eastAsia="Times New Roman" w:hAnsi="Times New Roman" w:hint="default"/>
        <w:sz w:val="19"/>
        <w:szCs w:val="19"/>
      </w:rPr>
    </w:lvl>
    <w:lvl w:ilvl="2" w:tplc="40CA01A4">
      <w:start w:val="1"/>
      <w:numFmt w:val="bullet"/>
      <w:lvlText w:val="•"/>
      <w:lvlJc w:val="left"/>
      <w:pPr>
        <w:ind w:left="2500" w:hanging="315"/>
      </w:pPr>
      <w:rPr>
        <w:rFonts w:hint="default"/>
      </w:rPr>
    </w:lvl>
    <w:lvl w:ilvl="3" w:tplc="4FCE0174">
      <w:start w:val="1"/>
      <w:numFmt w:val="bullet"/>
      <w:lvlText w:val="•"/>
      <w:lvlJc w:val="left"/>
      <w:pPr>
        <w:ind w:left="3365" w:hanging="315"/>
      </w:pPr>
      <w:rPr>
        <w:rFonts w:hint="default"/>
      </w:rPr>
    </w:lvl>
    <w:lvl w:ilvl="4" w:tplc="32F8C316">
      <w:start w:val="1"/>
      <w:numFmt w:val="bullet"/>
      <w:lvlText w:val="•"/>
      <w:lvlJc w:val="left"/>
      <w:pPr>
        <w:ind w:left="4231" w:hanging="315"/>
      </w:pPr>
      <w:rPr>
        <w:rFonts w:hint="default"/>
      </w:rPr>
    </w:lvl>
    <w:lvl w:ilvl="5" w:tplc="C6E85F72">
      <w:start w:val="1"/>
      <w:numFmt w:val="bullet"/>
      <w:lvlText w:val="•"/>
      <w:lvlJc w:val="left"/>
      <w:pPr>
        <w:ind w:left="5097" w:hanging="315"/>
      </w:pPr>
      <w:rPr>
        <w:rFonts w:hint="default"/>
      </w:rPr>
    </w:lvl>
    <w:lvl w:ilvl="6" w:tplc="22768660">
      <w:start w:val="1"/>
      <w:numFmt w:val="bullet"/>
      <w:lvlText w:val="•"/>
      <w:lvlJc w:val="left"/>
      <w:pPr>
        <w:ind w:left="5962" w:hanging="315"/>
      </w:pPr>
      <w:rPr>
        <w:rFonts w:hint="default"/>
      </w:rPr>
    </w:lvl>
    <w:lvl w:ilvl="7" w:tplc="7BAAA826">
      <w:start w:val="1"/>
      <w:numFmt w:val="bullet"/>
      <w:lvlText w:val="•"/>
      <w:lvlJc w:val="left"/>
      <w:pPr>
        <w:ind w:left="6828" w:hanging="315"/>
      </w:pPr>
      <w:rPr>
        <w:rFonts w:hint="default"/>
      </w:rPr>
    </w:lvl>
    <w:lvl w:ilvl="8" w:tplc="446C67EE">
      <w:start w:val="1"/>
      <w:numFmt w:val="bullet"/>
      <w:lvlText w:val="•"/>
      <w:lvlJc w:val="left"/>
      <w:pPr>
        <w:ind w:left="7694" w:hanging="315"/>
      </w:pPr>
      <w:rPr>
        <w:rFonts w:hint="default"/>
      </w:rPr>
    </w:lvl>
  </w:abstractNum>
  <w:abstractNum w:abstractNumId="6" w15:restartNumberingAfterBreak="0">
    <w:nsid w:val="1D4D4AC2"/>
    <w:multiLevelType w:val="hybridMultilevel"/>
    <w:tmpl w:val="C3C274D4"/>
    <w:lvl w:ilvl="0" w:tplc="77F08F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1FE13565"/>
    <w:multiLevelType w:val="hybridMultilevel"/>
    <w:tmpl w:val="42A03EFE"/>
    <w:lvl w:ilvl="0" w:tplc="FCC8494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2EF10DE9"/>
    <w:multiLevelType w:val="hybridMultilevel"/>
    <w:tmpl w:val="5A9A3306"/>
    <w:lvl w:ilvl="0" w:tplc="8C1820A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46D0554C"/>
    <w:multiLevelType w:val="hybridMultilevel"/>
    <w:tmpl w:val="3C2CBB3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573F5F1D"/>
    <w:multiLevelType w:val="hybridMultilevel"/>
    <w:tmpl w:val="ADBEE5A8"/>
    <w:lvl w:ilvl="0" w:tplc="EAF8D898">
      <w:start w:val="1"/>
      <w:numFmt w:val="decimal"/>
      <w:lvlText w:val="%1."/>
      <w:lvlJc w:val="left"/>
      <w:pPr>
        <w:ind w:left="1069" w:hanging="360"/>
      </w:pPr>
      <w:rPr>
        <w:rFonts w:hint="default"/>
        <w:color w:val="auto"/>
        <w:sz w:val="2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5760415A"/>
    <w:multiLevelType w:val="hybridMultilevel"/>
    <w:tmpl w:val="69486066"/>
    <w:lvl w:ilvl="0" w:tplc="A6C423EE">
      <w:start w:val="1"/>
      <w:numFmt w:val="decimal"/>
      <w:lvlText w:val="%1."/>
      <w:lvlJc w:val="left"/>
      <w:pPr>
        <w:ind w:left="1068" w:hanging="360"/>
      </w:pPr>
      <w:rPr>
        <w:rFonts w:hint="default"/>
        <w:b/>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2" w15:restartNumberingAfterBreak="0">
    <w:nsid w:val="5B7022AD"/>
    <w:multiLevelType w:val="hybridMultilevel"/>
    <w:tmpl w:val="EAC089A0"/>
    <w:lvl w:ilvl="0" w:tplc="0312027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 w15:restartNumberingAfterBreak="0">
    <w:nsid w:val="61651C9E"/>
    <w:multiLevelType w:val="hybridMultilevel"/>
    <w:tmpl w:val="C686B7D6"/>
    <w:lvl w:ilvl="0" w:tplc="6A0846C8">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4" w15:restartNumberingAfterBreak="0">
    <w:nsid w:val="71964FEF"/>
    <w:multiLevelType w:val="hybridMultilevel"/>
    <w:tmpl w:val="9A1E215C"/>
    <w:lvl w:ilvl="0" w:tplc="77F08F4E">
      <w:start w:val="1"/>
      <w:numFmt w:val="decimal"/>
      <w:lvlText w:val="%1."/>
      <w:lvlJc w:val="left"/>
      <w:pPr>
        <w:ind w:left="1778"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5" w15:restartNumberingAfterBreak="0">
    <w:nsid w:val="79241A36"/>
    <w:multiLevelType w:val="hybridMultilevel"/>
    <w:tmpl w:val="18D85B36"/>
    <w:lvl w:ilvl="0" w:tplc="77F08F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15:restartNumberingAfterBreak="0">
    <w:nsid w:val="79737ECF"/>
    <w:multiLevelType w:val="hybridMultilevel"/>
    <w:tmpl w:val="1B1682AC"/>
    <w:lvl w:ilvl="0" w:tplc="EAF8D898">
      <w:start w:val="1"/>
      <w:numFmt w:val="decimal"/>
      <w:lvlText w:val="%1."/>
      <w:lvlJc w:val="left"/>
      <w:pPr>
        <w:ind w:left="1069" w:hanging="360"/>
      </w:pPr>
      <w:rPr>
        <w:rFonts w:hint="default"/>
        <w:color w:val="auto"/>
        <w:sz w:val="2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7B9D0F37"/>
    <w:multiLevelType w:val="hybridMultilevel"/>
    <w:tmpl w:val="9C68F1F6"/>
    <w:lvl w:ilvl="0" w:tplc="FB326CE4">
      <w:start w:val="1"/>
      <w:numFmt w:val="decimal"/>
      <w:lvlText w:val="%1."/>
      <w:lvlJc w:val="left"/>
      <w:pPr>
        <w:ind w:left="1069" w:hanging="360"/>
      </w:pPr>
      <w:rPr>
        <w:rFonts w:ascii="Times New Roman" w:hAnsi="Times New Roman" w:cs="Times New Roman" w:hint="default"/>
        <w:b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3"/>
  </w:num>
  <w:num w:numId="2">
    <w:abstractNumId w:val="4"/>
  </w:num>
  <w:num w:numId="3">
    <w:abstractNumId w:val="13"/>
  </w:num>
  <w:num w:numId="4">
    <w:abstractNumId w:val="0"/>
  </w:num>
  <w:num w:numId="5">
    <w:abstractNumId w:val="10"/>
  </w:num>
  <w:num w:numId="6">
    <w:abstractNumId w:val="5"/>
  </w:num>
  <w:num w:numId="7">
    <w:abstractNumId w:val="16"/>
  </w:num>
  <w:num w:numId="8">
    <w:abstractNumId w:val="8"/>
  </w:num>
  <w:num w:numId="9">
    <w:abstractNumId w:val="9"/>
  </w:num>
  <w:num w:numId="10">
    <w:abstractNumId w:val="15"/>
  </w:num>
  <w:num w:numId="11">
    <w:abstractNumId w:val="14"/>
  </w:num>
  <w:num w:numId="12">
    <w:abstractNumId w:val="6"/>
  </w:num>
  <w:num w:numId="13">
    <w:abstractNumId w:val="2"/>
  </w:num>
  <w:num w:numId="14">
    <w:abstractNumId w:val="1"/>
  </w:num>
  <w:num w:numId="15">
    <w:abstractNumId w:val="12"/>
  </w:num>
  <w:num w:numId="16">
    <w:abstractNumId w:val="17"/>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ED4"/>
    <w:rsid w:val="00000AA5"/>
    <w:rsid w:val="000010AF"/>
    <w:rsid w:val="00013E29"/>
    <w:rsid w:val="00015C7F"/>
    <w:rsid w:val="00020287"/>
    <w:rsid w:val="000239B3"/>
    <w:rsid w:val="00024B3D"/>
    <w:rsid w:val="00025380"/>
    <w:rsid w:val="00025A15"/>
    <w:rsid w:val="000278D5"/>
    <w:rsid w:val="00031CA0"/>
    <w:rsid w:val="00031D10"/>
    <w:rsid w:val="000332A3"/>
    <w:rsid w:val="00033826"/>
    <w:rsid w:val="00034CA6"/>
    <w:rsid w:val="0003725B"/>
    <w:rsid w:val="00037F56"/>
    <w:rsid w:val="00047ED3"/>
    <w:rsid w:val="000519D8"/>
    <w:rsid w:val="000527B3"/>
    <w:rsid w:val="00052B39"/>
    <w:rsid w:val="00052EC8"/>
    <w:rsid w:val="00053FA5"/>
    <w:rsid w:val="00057B76"/>
    <w:rsid w:val="000603AB"/>
    <w:rsid w:val="0006109C"/>
    <w:rsid w:val="00061AF0"/>
    <w:rsid w:val="00070A7E"/>
    <w:rsid w:val="00072B9B"/>
    <w:rsid w:val="00073C8D"/>
    <w:rsid w:val="0007594D"/>
    <w:rsid w:val="00077B78"/>
    <w:rsid w:val="000815BE"/>
    <w:rsid w:val="000923AC"/>
    <w:rsid w:val="0009498B"/>
    <w:rsid w:val="00095093"/>
    <w:rsid w:val="00097CCD"/>
    <w:rsid w:val="000A06F0"/>
    <w:rsid w:val="000A73B3"/>
    <w:rsid w:val="000B373A"/>
    <w:rsid w:val="000B4336"/>
    <w:rsid w:val="000B6620"/>
    <w:rsid w:val="000C650A"/>
    <w:rsid w:val="000C727C"/>
    <w:rsid w:val="000D2245"/>
    <w:rsid w:val="000D4343"/>
    <w:rsid w:val="000D4C02"/>
    <w:rsid w:val="000D6028"/>
    <w:rsid w:val="000D61E1"/>
    <w:rsid w:val="000D7507"/>
    <w:rsid w:val="000D75A0"/>
    <w:rsid w:val="000E03AA"/>
    <w:rsid w:val="000E10A3"/>
    <w:rsid w:val="000E2EC8"/>
    <w:rsid w:val="000E4149"/>
    <w:rsid w:val="000E6DAD"/>
    <w:rsid w:val="000F6A12"/>
    <w:rsid w:val="000F7794"/>
    <w:rsid w:val="001053ED"/>
    <w:rsid w:val="00112C17"/>
    <w:rsid w:val="0012332C"/>
    <w:rsid w:val="001248E9"/>
    <w:rsid w:val="00127A15"/>
    <w:rsid w:val="00133426"/>
    <w:rsid w:val="00136B79"/>
    <w:rsid w:val="00156247"/>
    <w:rsid w:val="00156A92"/>
    <w:rsid w:val="00161106"/>
    <w:rsid w:val="00166F1F"/>
    <w:rsid w:val="00167572"/>
    <w:rsid w:val="001702F4"/>
    <w:rsid w:val="001706AD"/>
    <w:rsid w:val="001736AA"/>
    <w:rsid w:val="001768D2"/>
    <w:rsid w:val="00177439"/>
    <w:rsid w:val="001814AB"/>
    <w:rsid w:val="001826C0"/>
    <w:rsid w:val="00182990"/>
    <w:rsid w:val="00183EA2"/>
    <w:rsid w:val="001841B3"/>
    <w:rsid w:val="00186D87"/>
    <w:rsid w:val="0018756F"/>
    <w:rsid w:val="00190F98"/>
    <w:rsid w:val="00193320"/>
    <w:rsid w:val="00193A2C"/>
    <w:rsid w:val="00197147"/>
    <w:rsid w:val="001A1BDA"/>
    <w:rsid w:val="001A22AF"/>
    <w:rsid w:val="001A372F"/>
    <w:rsid w:val="001A4403"/>
    <w:rsid w:val="001B0568"/>
    <w:rsid w:val="001B1C37"/>
    <w:rsid w:val="001B2C5B"/>
    <w:rsid w:val="001B423C"/>
    <w:rsid w:val="001D0C2C"/>
    <w:rsid w:val="001D1BB3"/>
    <w:rsid w:val="001D3935"/>
    <w:rsid w:val="001D5B8F"/>
    <w:rsid w:val="001D7ED6"/>
    <w:rsid w:val="001E2F09"/>
    <w:rsid w:val="001E672B"/>
    <w:rsid w:val="001F25F1"/>
    <w:rsid w:val="001F3BD9"/>
    <w:rsid w:val="00200BC4"/>
    <w:rsid w:val="00200E8A"/>
    <w:rsid w:val="00203455"/>
    <w:rsid w:val="00204469"/>
    <w:rsid w:val="00210307"/>
    <w:rsid w:val="002151E5"/>
    <w:rsid w:val="002218B5"/>
    <w:rsid w:val="00223145"/>
    <w:rsid w:val="00232BB4"/>
    <w:rsid w:val="00233C1D"/>
    <w:rsid w:val="00233F65"/>
    <w:rsid w:val="00235CD5"/>
    <w:rsid w:val="00243A0E"/>
    <w:rsid w:val="00246F88"/>
    <w:rsid w:val="0025321C"/>
    <w:rsid w:val="0025481F"/>
    <w:rsid w:val="00256F5C"/>
    <w:rsid w:val="00257BD0"/>
    <w:rsid w:val="002618E4"/>
    <w:rsid w:val="00261E1B"/>
    <w:rsid w:val="00265B58"/>
    <w:rsid w:val="002668E3"/>
    <w:rsid w:val="002728B1"/>
    <w:rsid w:val="00276C20"/>
    <w:rsid w:val="00280664"/>
    <w:rsid w:val="00283B20"/>
    <w:rsid w:val="002841F6"/>
    <w:rsid w:val="0028473F"/>
    <w:rsid w:val="00284B27"/>
    <w:rsid w:val="002866D5"/>
    <w:rsid w:val="00286702"/>
    <w:rsid w:val="00286DB4"/>
    <w:rsid w:val="00287C8E"/>
    <w:rsid w:val="00291B43"/>
    <w:rsid w:val="0029520C"/>
    <w:rsid w:val="00295874"/>
    <w:rsid w:val="00297DF0"/>
    <w:rsid w:val="002A0069"/>
    <w:rsid w:val="002A2481"/>
    <w:rsid w:val="002A2FB0"/>
    <w:rsid w:val="002A3CA8"/>
    <w:rsid w:val="002A47E5"/>
    <w:rsid w:val="002A6D9D"/>
    <w:rsid w:val="002B38F2"/>
    <w:rsid w:val="002B3DC8"/>
    <w:rsid w:val="002B5E9F"/>
    <w:rsid w:val="002B71BF"/>
    <w:rsid w:val="002C0365"/>
    <w:rsid w:val="002C307C"/>
    <w:rsid w:val="002C4DBA"/>
    <w:rsid w:val="002D1E80"/>
    <w:rsid w:val="002D6953"/>
    <w:rsid w:val="002D77EA"/>
    <w:rsid w:val="002E0F34"/>
    <w:rsid w:val="002E10EC"/>
    <w:rsid w:val="002E51C6"/>
    <w:rsid w:val="002E7AE4"/>
    <w:rsid w:val="002F227F"/>
    <w:rsid w:val="002F31A8"/>
    <w:rsid w:val="002F60F4"/>
    <w:rsid w:val="002F7931"/>
    <w:rsid w:val="002F7DB6"/>
    <w:rsid w:val="00300CC4"/>
    <w:rsid w:val="00302C30"/>
    <w:rsid w:val="00305AA0"/>
    <w:rsid w:val="00306E67"/>
    <w:rsid w:val="003117E1"/>
    <w:rsid w:val="003132E7"/>
    <w:rsid w:val="003175FB"/>
    <w:rsid w:val="00325067"/>
    <w:rsid w:val="00327095"/>
    <w:rsid w:val="0032790D"/>
    <w:rsid w:val="00330F49"/>
    <w:rsid w:val="003315CE"/>
    <w:rsid w:val="00332B2F"/>
    <w:rsid w:val="003349D5"/>
    <w:rsid w:val="00340240"/>
    <w:rsid w:val="00341990"/>
    <w:rsid w:val="00341A58"/>
    <w:rsid w:val="003430D5"/>
    <w:rsid w:val="0035198A"/>
    <w:rsid w:val="00352B83"/>
    <w:rsid w:val="00352FF9"/>
    <w:rsid w:val="00354B8B"/>
    <w:rsid w:val="00355A7E"/>
    <w:rsid w:val="003608EE"/>
    <w:rsid w:val="00360E2A"/>
    <w:rsid w:val="003611B7"/>
    <w:rsid w:val="0036174F"/>
    <w:rsid w:val="00362629"/>
    <w:rsid w:val="003666FA"/>
    <w:rsid w:val="00373079"/>
    <w:rsid w:val="003821F4"/>
    <w:rsid w:val="003823CB"/>
    <w:rsid w:val="00385FB0"/>
    <w:rsid w:val="0038736B"/>
    <w:rsid w:val="00387A28"/>
    <w:rsid w:val="00387A41"/>
    <w:rsid w:val="003900F0"/>
    <w:rsid w:val="00392676"/>
    <w:rsid w:val="003931DF"/>
    <w:rsid w:val="003965FD"/>
    <w:rsid w:val="003975FF"/>
    <w:rsid w:val="003A05ED"/>
    <w:rsid w:val="003A26B0"/>
    <w:rsid w:val="003A3D6B"/>
    <w:rsid w:val="003A436A"/>
    <w:rsid w:val="003A44FD"/>
    <w:rsid w:val="003A4CEA"/>
    <w:rsid w:val="003A5C2C"/>
    <w:rsid w:val="003B0343"/>
    <w:rsid w:val="003B0D42"/>
    <w:rsid w:val="003B152C"/>
    <w:rsid w:val="003B155E"/>
    <w:rsid w:val="003B1EEB"/>
    <w:rsid w:val="003B5EB3"/>
    <w:rsid w:val="003C1167"/>
    <w:rsid w:val="003C4794"/>
    <w:rsid w:val="003C4D1B"/>
    <w:rsid w:val="003C7759"/>
    <w:rsid w:val="003C7C25"/>
    <w:rsid w:val="003D0D0D"/>
    <w:rsid w:val="003D1432"/>
    <w:rsid w:val="003D15AF"/>
    <w:rsid w:val="003D19EA"/>
    <w:rsid w:val="003D25F2"/>
    <w:rsid w:val="003D2CF1"/>
    <w:rsid w:val="003D4669"/>
    <w:rsid w:val="003D7A5A"/>
    <w:rsid w:val="003E3DDE"/>
    <w:rsid w:val="003E4239"/>
    <w:rsid w:val="003E4EFF"/>
    <w:rsid w:val="003E5137"/>
    <w:rsid w:val="003E5618"/>
    <w:rsid w:val="003E6BEE"/>
    <w:rsid w:val="003E7784"/>
    <w:rsid w:val="003F2D3D"/>
    <w:rsid w:val="003F2D9B"/>
    <w:rsid w:val="003F6767"/>
    <w:rsid w:val="003F67DA"/>
    <w:rsid w:val="003F7E26"/>
    <w:rsid w:val="00400BF0"/>
    <w:rsid w:val="00403DF6"/>
    <w:rsid w:val="00404EA5"/>
    <w:rsid w:val="0040672C"/>
    <w:rsid w:val="004077B2"/>
    <w:rsid w:val="00416A88"/>
    <w:rsid w:val="004175B4"/>
    <w:rsid w:val="00432E4E"/>
    <w:rsid w:val="00437A17"/>
    <w:rsid w:val="00441BFB"/>
    <w:rsid w:val="00441FEC"/>
    <w:rsid w:val="004437F4"/>
    <w:rsid w:val="00444231"/>
    <w:rsid w:val="00445021"/>
    <w:rsid w:val="004455EF"/>
    <w:rsid w:val="00454940"/>
    <w:rsid w:val="0045545D"/>
    <w:rsid w:val="0046224F"/>
    <w:rsid w:val="00463ED9"/>
    <w:rsid w:val="0046531D"/>
    <w:rsid w:val="00466C43"/>
    <w:rsid w:val="00472E31"/>
    <w:rsid w:val="004746A0"/>
    <w:rsid w:val="004775E8"/>
    <w:rsid w:val="0048012D"/>
    <w:rsid w:val="00481004"/>
    <w:rsid w:val="00483366"/>
    <w:rsid w:val="00483C31"/>
    <w:rsid w:val="00484F6D"/>
    <w:rsid w:val="004863F8"/>
    <w:rsid w:val="00486AA3"/>
    <w:rsid w:val="004927B1"/>
    <w:rsid w:val="00495610"/>
    <w:rsid w:val="004959DC"/>
    <w:rsid w:val="004A0431"/>
    <w:rsid w:val="004A7B68"/>
    <w:rsid w:val="004B2C1E"/>
    <w:rsid w:val="004B3BCA"/>
    <w:rsid w:val="004B4038"/>
    <w:rsid w:val="004C2A9C"/>
    <w:rsid w:val="004C2CA5"/>
    <w:rsid w:val="004C33D7"/>
    <w:rsid w:val="004C55E1"/>
    <w:rsid w:val="004C673D"/>
    <w:rsid w:val="004C6A4D"/>
    <w:rsid w:val="004C731D"/>
    <w:rsid w:val="004D166C"/>
    <w:rsid w:val="004D23F8"/>
    <w:rsid w:val="004D462C"/>
    <w:rsid w:val="004E15DE"/>
    <w:rsid w:val="004E621A"/>
    <w:rsid w:val="004E6DC4"/>
    <w:rsid w:val="004E7B87"/>
    <w:rsid w:val="004F1AD9"/>
    <w:rsid w:val="004F4F27"/>
    <w:rsid w:val="004F5277"/>
    <w:rsid w:val="005028ED"/>
    <w:rsid w:val="00502901"/>
    <w:rsid w:val="00505107"/>
    <w:rsid w:val="00507B4B"/>
    <w:rsid w:val="0051102A"/>
    <w:rsid w:val="00511477"/>
    <w:rsid w:val="00514167"/>
    <w:rsid w:val="005222CE"/>
    <w:rsid w:val="005261C2"/>
    <w:rsid w:val="005327B5"/>
    <w:rsid w:val="00533EC2"/>
    <w:rsid w:val="005348D9"/>
    <w:rsid w:val="00534F38"/>
    <w:rsid w:val="00536CB9"/>
    <w:rsid w:val="00541E0B"/>
    <w:rsid w:val="0054322C"/>
    <w:rsid w:val="005457A8"/>
    <w:rsid w:val="00546B6F"/>
    <w:rsid w:val="00552FE4"/>
    <w:rsid w:val="00553980"/>
    <w:rsid w:val="00555F98"/>
    <w:rsid w:val="00560C59"/>
    <w:rsid w:val="00562358"/>
    <w:rsid w:val="005659EB"/>
    <w:rsid w:val="00567BDF"/>
    <w:rsid w:val="0057149C"/>
    <w:rsid w:val="0057445D"/>
    <w:rsid w:val="00574B15"/>
    <w:rsid w:val="0057544B"/>
    <w:rsid w:val="00582AA6"/>
    <w:rsid w:val="0058441A"/>
    <w:rsid w:val="00587182"/>
    <w:rsid w:val="005873B5"/>
    <w:rsid w:val="0059007D"/>
    <w:rsid w:val="0059366B"/>
    <w:rsid w:val="00597F62"/>
    <w:rsid w:val="005A41F8"/>
    <w:rsid w:val="005A6746"/>
    <w:rsid w:val="005B0CC6"/>
    <w:rsid w:val="005B1263"/>
    <w:rsid w:val="005B1A07"/>
    <w:rsid w:val="005B1B82"/>
    <w:rsid w:val="005B205F"/>
    <w:rsid w:val="005B4BB2"/>
    <w:rsid w:val="005B6958"/>
    <w:rsid w:val="005C180B"/>
    <w:rsid w:val="005C26FE"/>
    <w:rsid w:val="005C3633"/>
    <w:rsid w:val="005C3699"/>
    <w:rsid w:val="005C3DDB"/>
    <w:rsid w:val="005C652B"/>
    <w:rsid w:val="005D04D0"/>
    <w:rsid w:val="005D1B8A"/>
    <w:rsid w:val="005D2D15"/>
    <w:rsid w:val="005D3DDC"/>
    <w:rsid w:val="005E16E5"/>
    <w:rsid w:val="005E4F2D"/>
    <w:rsid w:val="005E58B2"/>
    <w:rsid w:val="005F21A3"/>
    <w:rsid w:val="005F2D7A"/>
    <w:rsid w:val="005F2F13"/>
    <w:rsid w:val="005F300E"/>
    <w:rsid w:val="005F4816"/>
    <w:rsid w:val="006006C7"/>
    <w:rsid w:val="0060330F"/>
    <w:rsid w:val="006062D7"/>
    <w:rsid w:val="006064F5"/>
    <w:rsid w:val="00610E86"/>
    <w:rsid w:val="0062130E"/>
    <w:rsid w:val="006247F8"/>
    <w:rsid w:val="00625ABD"/>
    <w:rsid w:val="006277B2"/>
    <w:rsid w:val="00627B8A"/>
    <w:rsid w:val="00630C5B"/>
    <w:rsid w:val="006317C0"/>
    <w:rsid w:val="0063796C"/>
    <w:rsid w:val="00640A0E"/>
    <w:rsid w:val="00643260"/>
    <w:rsid w:val="006510E5"/>
    <w:rsid w:val="00653AF0"/>
    <w:rsid w:val="00653C3C"/>
    <w:rsid w:val="00662162"/>
    <w:rsid w:val="006636BE"/>
    <w:rsid w:val="006647A4"/>
    <w:rsid w:val="0067204F"/>
    <w:rsid w:val="00672F4F"/>
    <w:rsid w:val="00675733"/>
    <w:rsid w:val="00675E8B"/>
    <w:rsid w:val="00682C60"/>
    <w:rsid w:val="00683526"/>
    <w:rsid w:val="006840E1"/>
    <w:rsid w:val="006865EE"/>
    <w:rsid w:val="0068682D"/>
    <w:rsid w:val="00692A24"/>
    <w:rsid w:val="006945C6"/>
    <w:rsid w:val="00695CC2"/>
    <w:rsid w:val="006967D0"/>
    <w:rsid w:val="006A06B3"/>
    <w:rsid w:val="006A09EF"/>
    <w:rsid w:val="006A2430"/>
    <w:rsid w:val="006A3D17"/>
    <w:rsid w:val="006A3E17"/>
    <w:rsid w:val="006A758A"/>
    <w:rsid w:val="006B2B2C"/>
    <w:rsid w:val="006B3987"/>
    <w:rsid w:val="006B61E5"/>
    <w:rsid w:val="006B63B2"/>
    <w:rsid w:val="006B6F5E"/>
    <w:rsid w:val="006C54BC"/>
    <w:rsid w:val="006C55DE"/>
    <w:rsid w:val="006C7256"/>
    <w:rsid w:val="006D2D1C"/>
    <w:rsid w:val="006E0137"/>
    <w:rsid w:val="006E0C32"/>
    <w:rsid w:val="006E28C4"/>
    <w:rsid w:val="006E2E23"/>
    <w:rsid w:val="006F1921"/>
    <w:rsid w:val="006F29D8"/>
    <w:rsid w:val="006F34AB"/>
    <w:rsid w:val="006F74A2"/>
    <w:rsid w:val="006F781D"/>
    <w:rsid w:val="00703AA4"/>
    <w:rsid w:val="00710064"/>
    <w:rsid w:val="00711667"/>
    <w:rsid w:val="007204A2"/>
    <w:rsid w:val="0072098E"/>
    <w:rsid w:val="00725848"/>
    <w:rsid w:val="00725D35"/>
    <w:rsid w:val="00725D5E"/>
    <w:rsid w:val="00726ADC"/>
    <w:rsid w:val="00731EAA"/>
    <w:rsid w:val="0073336A"/>
    <w:rsid w:val="00740C13"/>
    <w:rsid w:val="00742141"/>
    <w:rsid w:val="00745D4D"/>
    <w:rsid w:val="00746FE4"/>
    <w:rsid w:val="00750C4B"/>
    <w:rsid w:val="007531CB"/>
    <w:rsid w:val="00756702"/>
    <w:rsid w:val="0076026C"/>
    <w:rsid w:val="00761A11"/>
    <w:rsid w:val="00764975"/>
    <w:rsid w:val="00766BA7"/>
    <w:rsid w:val="00767CB8"/>
    <w:rsid w:val="00770E66"/>
    <w:rsid w:val="00774CCA"/>
    <w:rsid w:val="00776C0B"/>
    <w:rsid w:val="0078014C"/>
    <w:rsid w:val="007829BA"/>
    <w:rsid w:val="00782D81"/>
    <w:rsid w:val="00786322"/>
    <w:rsid w:val="007874A9"/>
    <w:rsid w:val="00787731"/>
    <w:rsid w:val="00790D08"/>
    <w:rsid w:val="00793FD6"/>
    <w:rsid w:val="00796200"/>
    <w:rsid w:val="00796EDE"/>
    <w:rsid w:val="007A080F"/>
    <w:rsid w:val="007A2DA4"/>
    <w:rsid w:val="007A2E8A"/>
    <w:rsid w:val="007A36CC"/>
    <w:rsid w:val="007A428D"/>
    <w:rsid w:val="007A60BF"/>
    <w:rsid w:val="007B304C"/>
    <w:rsid w:val="007B4A1E"/>
    <w:rsid w:val="007B616A"/>
    <w:rsid w:val="007B6C1B"/>
    <w:rsid w:val="007C01AF"/>
    <w:rsid w:val="007C455C"/>
    <w:rsid w:val="007D0DD2"/>
    <w:rsid w:val="007D14B8"/>
    <w:rsid w:val="007D31F2"/>
    <w:rsid w:val="007D35B0"/>
    <w:rsid w:val="007D4DC1"/>
    <w:rsid w:val="007D4DC3"/>
    <w:rsid w:val="007D5DD5"/>
    <w:rsid w:val="007D7A5D"/>
    <w:rsid w:val="007E0D39"/>
    <w:rsid w:val="007E126E"/>
    <w:rsid w:val="007E1C64"/>
    <w:rsid w:val="007E1CA2"/>
    <w:rsid w:val="007E26C6"/>
    <w:rsid w:val="007E26F1"/>
    <w:rsid w:val="007E38B3"/>
    <w:rsid w:val="007E6E32"/>
    <w:rsid w:val="007F4E65"/>
    <w:rsid w:val="00803693"/>
    <w:rsid w:val="00810B43"/>
    <w:rsid w:val="00812D84"/>
    <w:rsid w:val="008156D0"/>
    <w:rsid w:val="00815B1F"/>
    <w:rsid w:val="00815CD3"/>
    <w:rsid w:val="0081626E"/>
    <w:rsid w:val="008164E0"/>
    <w:rsid w:val="00820F68"/>
    <w:rsid w:val="00822CBD"/>
    <w:rsid w:val="0082686D"/>
    <w:rsid w:val="008329C0"/>
    <w:rsid w:val="00833101"/>
    <w:rsid w:val="00834ECD"/>
    <w:rsid w:val="00835C91"/>
    <w:rsid w:val="00835DBE"/>
    <w:rsid w:val="00835E9A"/>
    <w:rsid w:val="00840425"/>
    <w:rsid w:val="008417E3"/>
    <w:rsid w:val="00843674"/>
    <w:rsid w:val="00846D16"/>
    <w:rsid w:val="00854BCF"/>
    <w:rsid w:val="00855596"/>
    <w:rsid w:val="008572A3"/>
    <w:rsid w:val="008613EF"/>
    <w:rsid w:val="00862D57"/>
    <w:rsid w:val="00863AA5"/>
    <w:rsid w:val="00865156"/>
    <w:rsid w:val="0087010A"/>
    <w:rsid w:val="008716D8"/>
    <w:rsid w:val="008772A1"/>
    <w:rsid w:val="00881D3E"/>
    <w:rsid w:val="00882779"/>
    <w:rsid w:val="0088330C"/>
    <w:rsid w:val="00883609"/>
    <w:rsid w:val="00890E3C"/>
    <w:rsid w:val="0089107A"/>
    <w:rsid w:val="00891C1A"/>
    <w:rsid w:val="00894B4F"/>
    <w:rsid w:val="008A2578"/>
    <w:rsid w:val="008A46F8"/>
    <w:rsid w:val="008A5591"/>
    <w:rsid w:val="008A7152"/>
    <w:rsid w:val="008B3B33"/>
    <w:rsid w:val="008B4D87"/>
    <w:rsid w:val="008B4D8D"/>
    <w:rsid w:val="008B6422"/>
    <w:rsid w:val="008B67CC"/>
    <w:rsid w:val="008B6F52"/>
    <w:rsid w:val="008C1F59"/>
    <w:rsid w:val="008C24A0"/>
    <w:rsid w:val="008C3149"/>
    <w:rsid w:val="008C4185"/>
    <w:rsid w:val="008C622B"/>
    <w:rsid w:val="008C69D0"/>
    <w:rsid w:val="008C6F31"/>
    <w:rsid w:val="008C7BB5"/>
    <w:rsid w:val="008D00A5"/>
    <w:rsid w:val="008D057D"/>
    <w:rsid w:val="008D691D"/>
    <w:rsid w:val="008E12F6"/>
    <w:rsid w:val="008E47AE"/>
    <w:rsid w:val="008F558B"/>
    <w:rsid w:val="008F6591"/>
    <w:rsid w:val="00901238"/>
    <w:rsid w:val="009034CA"/>
    <w:rsid w:val="009050F5"/>
    <w:rsid w:val="00905FF8"/>
    <w:rsid w:val="009063E9"/>
    <w:rsid w:val="00907C99"/>
    <w:rsid w:val="00910347"/>
    <w:rsid w:val="009104F2"/>
    <w:rsid w:val="00912D85"/>
    <w:rsid w:val="00913464"/>
    <w:rsid w:val="00914C4F"/>
    <w:rsid w:val="00916CEF"/>
    <w:rsid w:val="00917CF9"/>
    <w:rsid w:val="00917E2B"/>
    <w:rsid w:val="0092162D"/>
    <w:rsid w:val="00922708"/>
    <w:rsid w:val="00923335"/>
    <w:rsid w:val="00924884"/>
    <w:rsid w:val="00925F50"/>
    <w:rsid w:val="00927520"/>
    <w:rsid w:val="009346AB"/>
    <w:rsid w:val="00935A61"/>
    <w:rsid w:val="00937F3F"/>
    <w:rsid w:val="00940D97"/>
    <w:rsid w:val="0094284C"/>
    <w:rsid w:val="00943491"/>
    <w:rsid w:val="009452C0"/>
    <w:rsid w:val="00946B92"/>
    <w:rsid w:val="00950517"/>
    <w:rsid w:val="009523D1"/>
    <w:rsid w:val="009554A4"/>
    <w:rsid w:val="009563F3"/>
    <w:rsid w:val="00956940"/>
    <w:rsid w:val="009616A1"/>
    <w:rsid w:val="009618D2"/>
    <w:rsid w:val="009633A0"/>
    <w:rsid w:val="00963A60"/>
    <w:rsid w:val="00964560"/>
    <w:rsid w:val="0096504E"/>
    <w:rsid w:val="009653F2"/>
    <w:rsid w:val="009704E9"/>
    <w:rsid w:val="00970828"/>
    <w:rsid w:val="00973F65"/>
    <w:rsid w:val="00974587"/>
    <w:rsid w:val="00975809"/>
    <w:rsid w:val="00977B49"/>
    <w:rsid w:val="00984077"/>
    <w:rsid w:val="00984D38"/>
    <w:rsid w:val="00991B73"/>
    <w:rsid w:val="00992BFE"/>
    <w:rsid w:val="009943EA"/>
    <w:rsid w:val="00995620"/>
    <w:rsid w:val="0099585E"/>
    <w:rsid w:val="009961BC"/>
    <w:rsid w:val="009A08FA"/>
    <w:rsid w:val="009A7866"/>
    <w:rsid w:val="009B00B6"/>
    <w:rsid w:val="009B08D2"/>
    <w:rsid w:val="009B4102"/>
    <w:rsid w:val="009B7285"/>
    <w:rsid w:val="009B7561"/>
    <w:rsid w:val="009C33A2"/>
    <w:rsid w:val="009C41B1"/>
    <w:rsid w:val="009C46B9"/>
    <w:rsid w:val="009C4F5B"/>
    <w:rsid w:val="009C53ED"/>
    <w:rsid w:val="009C6447"/>
    <w:rsid w:val="009C6779"/>
    <w:rsid w:val="009C6FB6"/>
    <w:rsid w:val="009D0703"/>
    <w:rsid w:val="009D2F27"/>
    <w:rsid w:val="009D4558"/>
    <w:rsid w:val="009D6024"/>
    <w:rsid w:val="009E0065"/>
    <w:rsid w:val="009E197C"/>
    <w:rsid w:val="009E435D"/>
    <w:rsid w:val="009E58D0"/>
    <w:rsid w:val="009F319C"/>
    <w:rsid w:val="009F41B5"/>
    <w:rsid w:val="009F478A"/>
    <w:rsid w:val="009F613A"/>
    <w:rsid w:val="009F7A52"/>
    <w:rsid w:val="00A02F82"/>
    <w:rsid w:val="00A07EF1"/>
    <w:rsid w:val="00A100D5"/>
    <w:rsid w:val="00A14295"/>
    <w:rsid w:val="00A22BDA"/>
    <w:rsid w:val="00A250E1"/>
    <w:rsid w:val="00A27F49"/>
    <w:rsid w:val="00A30648"/>
    <w:rsid w:val="00A3096D"/>
    <w:rsid w:val="00A4101B"/>
    <w:rsid w:val="00A42405"/>
    <w:rsid w:val="00A4738C"/>
    <w:rsid w:val="00A47A48"/>
    <w:rsid w:val="00A515B6"/>
    <w:rsid w:val="00A52DEA"/>
    <w:rsid w:val="00A53012"/>
    <w:rsid w:val="00A553B0"/>
    <w:rsid w:val="00A579BF"/>
    <w:rsid w:val="00A63905"/>
    <w:rsid w:val="00A6442C"/>
    <w:rsid w:val="00A648F1"/>
    <w:rsid w:val="00A6587B"/>
    <w:rsid w:val="00A6712C"/>
    <w:rsid w:val="00A724FD"/>
    <w:rsid w:val="00A768F2"/>
    <w:rsid w:val="00A777F5"/>
    <w:rsid w:val="00A81627"/>
    <w:rsid w:val="00A81AD6"/>
    <w:rsid w:val="00A96801"/>
    <w:rsid w:val="00A97CF8"/>
    <w:rsid w:val="00AA30B1"/>
    <w:rsid w:val="00AA3EDD"/>
    <w:rsid w:val="00AA4069"/>
    <w:rsid w:val="00AA4AC0"/>
    <w:rsid w:val="00AA5DFA"/>
    <w:rsid w:val="00AA7194"/>
    <w:rsid w:val="00AB1909"/>
    <w:rsid w:val="00AB1E73"/>
    <w:rsid w:val="00AB22F2"/>
    <w:rsid w:val="00AB4872"/>
    <w:rsid w:val="00AB5379"/>
    <w:rsid w:val="00AB5FC8"/>
    <w:rsid w:val="00AC27E3"/>
    <w:rsid w:val="00AC36D3"/>
    <w:rsid w:val="00AD2B71"/>
    <w:rsid w:val="00AD40A0"/>
    <w:rsid w:val="00AD4F03"/>
    <w:rsid w:val="00AD58E3"/>
    <w:rsid w:val="00AD7B06"/>
    <w:rsid w:val="00AD7EE7"/>
    <w:rsid w:val="00AE0744"/>
    <w:rsid w:val="00AE0931"/>
    <w:rsid w:val="00AE3410"/>
    <w:rsid w:val="00AE3F24"/>
    <w:rsid w:val="00AE75B3"/>
    <w:rsid w:val="00AF0285"/>
    <w:rsid w:val="00AF4ED4"/>
    <w:rsid w:val="00AF4FEB"/>
    <w:rsid w:val="00B027CB"/>
    <w:rsid w:val="00B03F9F"/>
    <w:rsid w:val="00B12E39"/>
    <w:rsid w:val="00B135E1"/>
    <w:rsid w:val="00B14B03"/>
    <w:rsid w:val="00B20AFC"/>
    <w:rsid w:val="00B24926"/>
    <w:rsid w:val="00B264F4"/>
    <w:rsid w:val="00B30D77"/>
    <w:rsid w:val="00B36269"/>
    <w:rsid w:val="00B36D29"/>
    <w:rsid w:val="00B45010"/>
    <w:rsid w:val="00B450E7"/>
    <w:rsid w:val="00B66DC9"/>
    <w:rsid w:val="00B701FA"/>
    <w:rsid w:val="00B7051E"/>
    <w:rsid w:val="00B731E1"/>
    <w:rsid w:val="00B75C92"/>
    <w:rsid w:val="00B851BB"/>
    <w:rsid w:val="00B863E3"/>
    <w:rsid w:val="00B86652"/>
    <w:rsid w:val="00B87EEA"/>
    <w:rsid w:val="00B95359"/>
    <w:rsid w:val="00B9679F"/>
    <w:rsid w:val="00BA2567"/>
    <w:rsid w:val="00BA3729"/>
    <w:rsid w:val="00BA4FF6"/>
    <w:rsid w:val="00BA6824"/>
    <w:rsid w:val="00BB0D99"/>
    <w:rsid w:val="00BB4ED0"/>
    <w:rsid w:val="00BB6DC8"/>
    <w:rsid w:val="00BC3D5B"/>
    <w:rsid w:val="00BC3EBA"/>
    <w:rsid w:val="00BD0290"/>
    <w:rsid w:val="00BD1CEA"/>
    <w:rsid w:val="00BD1E5A"/>
    <w:rsid w:val="00BD2A39"/>
    <w:rsid w:val="00BE3026"/>
    <w:rsid w:val="00BE3532"/>
    <w:rsid w:val="00BE4077"/>
    <w:rsid w:val="00BF0B28"/>
    <w:rsid w:val="00BF220E"/>
    <w:rsid w:val="00C00A50"/>
    <w:rsid w:val="00C04E2F"/>
    <w:rsid w:val="00C060CF"/>
    <w:rsid w:val="00C07243"/>
    <w:rsid w:val="00C118FE"/>
    <w:rsid w:val="00C12D6F"/>
    <w:rsid w:val="00C220C4"/>
    <w:rsid w:val="00C23114"/>
    <w:rsid w:val="00C26D7D"/>
    <w:rsid w:val="00C26E19"/>
    <w:rsid w:val="00C307DD"/>
    <w:rsid w:val="00C32630"/>
    <w:rsid w:val="00C32EF0"/>
    <w:rsid w:val="00C335E0"/>
    <w:rsid w:val="00C35D7E"/>
    <w:rsid w:val="00C40266"/>
    <w:rsid w:val="00C61507"/>
    <w:rsid w:val="00C650FA"/>
    <w:rsid w:val="00C7043A"/>
    <w:rsid w:val="00C732E4"/>
    <w:rsid w:val="00C76CEA"/>
    <w:rsid w:val="00C8029E"/>
    <w:rsid w:val="00C8146B"/>
    <w:rsid w:val="00C91EB3"/>
    <w:rsid w:val="00C91F4F"/>
    <w:rsid w:val="00C93F1D"/>
    <w:rsid w:val="00CA4CF7"/>
    <w:rsid w:val="00CA4E14"/>
    <w:rsid w:val="00CA6BEF"/>
    <w:rsid w:val="00CB2DDC"/>
    <w:rsid w:val="00CB5159"/>
    <w:rsid w:val="00CB6030"/>
    <w:rsid w:val="00CC1987"/>
    <w:rsid w:val="00CD36A7"/>
    <w:rsid w:val="00CD52F8"/>
    <w:rsid w:val="00CD5689"/>
    <w:rsid w:val="00CD5CE0"/>
    <w:rsid w:val="00CD610A"/>
    <w:rsid w:val="00CE23AD"/>
    <w:rsid w:val="00CE324E"/>
    <w:rsid w:val="00CE4876"/>
    <w:rsid w:val="00CF7B4E"/>
    <w:rsid w:val="00D00E5E"/>
    <w:rsid w:val="00D0289C"/>
    <w:rsid w:val="00D04841"/>
    <w:rsid w:val="00D04D67"/>
    <w:rsid w:val="00D06329"/>
    <w:rsid w:val="00D06ED2"/>
    <w:rsid w:val="00D1087C"/>
    <w:rsid w:val="00D12755"/>
    <w:rsid w:val="00D23A44"/>
    <w:rsid w:val="00D23DEC"/>
    <w:rsid w:val="00D270F5"/>
    <w:rsid w:val="00D3089B"/>
    <w:rsid w:val="00D3108A"/>
    <w:rsid w:val="00D32A3D"/>
    <w:rsid w:val="00D36022"/>
    <w:rsid w:val="00D36439"/>
    <w:rsid w:val="00D445F2"/>
    <w:rsid w:val="00D46FA7"/>
    <w:rsid w:val="00D50DFE"/>
    <w:rsid w:val="00D5296F"/>
    <w:rsid w:val="00D536A3"/>
    <w:rsid w:val="00D53B82"/>
    <w:rsid w:val="00D570E9"/>
    <w:rsid w:val="00D57D4C"/>
    <w:rsid w:val="00D60D94"/>
    <w:rsid w:val="00D65376"/>
    <w:rsid w:val="00D65B48"/>
    <w:rsid w:val="00D80746"/>
    <w:rsid w:val="00D84D73"/>
    <w:rsid w:val="00D8581C"/>
    <w:rsid w:val="00D86039"/>
    <w:rsid w:val="00D86290"/>
    <w:rsid w:val="00D8695C"/>
    <w:rsid w:val="00D87916"/>
    <w:rsid w:val="00D936BC"/>
    <w:rsid w:val="00D939DC"/>
    <w:rsid w:val="00DA5E82"/>
    <w:rsid w:val="00DA671A"/>
    <w:rsid w:val="00DB4E8A"/>
    <w:rsid w:val="00DB643D"/>
    <w:rsid w:val="00DB7734"/>
    <w:rsid w:val="00DB7E31"/>
    <w:rsid w:val="00DC0CF4"/>
    <w:rsid w:val="00DC36F3"/>
    <w:rsid w:val="00DC5469"/>
    <w:rsid w:val="00DC5BBC"/>
    <w:rsid w:val="00DC79EF"/>
    <w:rsid w:val="00DC7F1D"/>
    <w:rsid w:val="00DD166F"/>
    <w:rsid w:val="00DD2617"/>
    <w:rsid w:val="00DD4C05"/>
    <w:rsid w:val="00DD63A0"/>
    <w:rsid w:val="00DE19E7"/>
    <w:rsid w:val="00DE3F50"/>
    <w:rsid w:val="00DE50FE"/>
    <w:rsid w:val="00DE5D2F"/>
    <w:rsid w:val="00DF42DA"/>
    <w:rsid w:val="00DF7E87"/>
    <w:rsid w:val="00E02D01"/>
    <w:rsid w:val="00E033A2"/>
    <w:rsid w:val="00E128E6"/>
    <w:rsid w:val="00E13DE4"/>
    <w:rsid w:val="00E141E8"/>
    <w:rsid w:val="00E1477F"/>
    <w:rsid w:val="00E20BF2"/>
    <w:rsid w:val="00E2328B"/>
    <w:rsid w:val="00E239BD"/>
    <w:rsid w:val="00E274E0"/>
    <w:rsid w:val="00E35042"/>
    <w:rsid w:val="00E357E3"/>
    <w:rsid w:val="00E359FD"/>
    <w:rsid w:val="00E36199"/>
    <w:rsid w:val="00E37DA1"/>
    <w:rsid w:val="00E400DB"/>
    <w:rsid w:val="00E425B7"/>
    <w:rsid w:val="00E44FB7"/>
    <w:rsid w:val="00E46916"/>
    <w:rsid w:val="00E47706"/>
    <w:rsid w:val="00E5144D"/>
    <w:rsid w:val="00E5218F"/>
    <w:rsid w:val="00E5700B"/>
    <w:rsid w:val="00E707B6"/>
    <w:rsid w:val="00E712EB"/>
    <w:rsid w:val="00E7133C"/>
    <w:rsid w:val="00E77F6D"/>
    <w:rsid w:val="00E84813"/>
    <w:rsid w:val="00E85430"/>
    <w:rsid w:val="00E85E73"/>
    <w:rsid w:val="00E9339F"/>
    <w:rsid w:val="00EA064E"/>
    <w:rsid w:val="00EA0936"/>
    <w:rsid w:val="00EA0C34"/>
    <w:rsid w:val="00EA462A"/>
    <w:rsid w:val="00EA4D0A"/>
    <w:rsid w:val="00EA4EAF"/>
    <w:rsid w:val="00EA5565"/>
    <w:rsid w:val="00EB1273"/>
    <w:rsid w:val="00EB42E4"/>
    <w:rsid w:val="00EB768D"/>
    <w:rsid w:val="00EB7828"/>
    <w:rsid w:val="00EC1A4A"/>
    <w:rsid w:val="00EC236B"/>
    <w:rsid w:val="00EC594B"/>
    <w:rsid w:val="00EC5A71"/>
    <w:rsid w:val="00EC5BFD"/>
    <w:rsid w:val="00ED1391"/>
    <w:rsid w:val="00ED4BC2"/>
    <w:rsid w:val="00ED5B78"/>
    <w:rsid w:val="00EE065C"/>
    <w:rsid w:val="00EF36FA"/>
    <w:rsid w:val="00EF48B3"/>
    <w:rsid w:val="00EF48F8"/>
    <w:rsid w:val="00EF6266"/>
    <w:rsid w:val="00EF7E11"/>
    <w:rsid w:val="00F00795"/>
    <w:rsid w:val="00F031FB"/>
    <w:rsid w:val="00F06834"/>
    <w:rsid w:val="00F07D53"/>
    <w:rsid w:val="00F10891"/>
    <w:rsid w:val="00F113CE"/>
    <w:rsid w:val="00F1168A"/>
    <w:rsid w:val="00F1515F"/>
    <w:rsid w:val="00F15833"/>
    <w:rsid w:val="00F21FB4"/>
    <w:rsid w:val="00F24AA8"/>
    <w:rsid w:val="00F25704"/>
    <w:rsid w:val="00F30256"/>
    <w:rsid w:val="00F323A5"/>
    <w:rsid w:val="00F32469"/>
    <w:rsid w:val="00F32A93"/>
    <w:rsid w:val="00F400C1"/>
    <w:rsid w:val="00F42824"/>
    <w:rsid w:val="00F44340"/>
    <w:rsid w:val="00F5745B"/>
    <w:rsid w:val="00F62777"/>
    <w:rsid w:val="00F63168"/>
    <w:rsid w:val="00F63856"/>
    <w:rsid w:val="00F74C6F"/>
    <w:rsid w:val="00F763B4"/>
    <w:rsid w:val="00F810F4"/>
    <w:rsid w:val="00F81718"/>
    <w:rsid w:val="00F8326A"/>
    <w:rsid w:val="00F84FC7"/>
    <w:rsid w:val="00F90277"/>
    <w:rsid w:val="00F96051"/>
    <w:rsid w:val="00FA3533"/>
    <w:rsid w:val="00FA45BE"/>
    <w:rsid w:val="00FA5F1B"/>
    <w:rsid w:val="00FB45A5"/>
    <w:rsid w:val="00FC15DB"/>
    <w:rsid w:val="00FC5FA0"/>
    <w:rsid w:val="00FD1E09"/>
    <w:rsid w:val="00FD52FA"/>
    <w:rsid w:val="00FD5701"/>
    <w:rsid w:val="00FD5D9B"/>
    <w:rsid w:val="00FD6D3A"/>
    <w:rsid w:val="00FE235A"/>
    <w:rsid w:val="00FE24FA"/>
    <w:rsid w:val="00FE3CA2"/>
    <w:rsid w:val="00FE3FCC"/>
    <w:rsid w:val="00FE4526"/>
    <w:rsid w:val="00FE5F53"/>
    <w:rsid w:val="00FF07BF"/>
    <w:rsid w:val="00FF1B6C"/>
    <w:rsid w:val="00FF3B96"/>
    <w:rsid w:val="00FF4B5F"/>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4F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ED4"/>
    <w:pPr>
      <w:spacing w:after="160" w:line="259" w:lineRule="auto"/>
    </w:pPr>
    <w:rPr>
      <w:sz w:val="22"/>
      <w:szCs w:val="22"/>
      <w:lang w:eastAsia="en-US"/>
    </w:rPr>
  </w:style>
  <w:style w:type="paragraph" w:styleId="1">
    <w:name w:val="heading 1"/>
    <w:basedOn w:val="a"/>
    <w:next w:val="a"/>
    <w:link w:val="10"/>
    <w:uiPriority w:val="9"/>
    <w:qFormat/>
    <w:rsid w:val="00C32630"/>
    <w:pPr>
      <w:keepNext/>
      <w:keepLines/>
      <w:spacing w:before="240" w:after="0"/>
      <w:outlineLvl w:val="0"/>
    </w:pPr>
    <w:rPr>
      <w:rFonts w:ascii="Calibri Light" w:eastAsia="Times New Roman" w:hAnsi="Calibri Light"/>
      <w:color w:val="2E74B5"/>
      <w:sz w:val="32"/>
      <w:szCs w:val="32"/>
    </w:rPr>
  </w:style>
  <w:style w:type="paragraph" w:styleId="3">
    <w:name w:val="heading 3"/>
    <w:basedOn w:val="a"/>
    <w:link w:val="30"/>
    <w:uiPriority w:val="9"/>
    <w:qFormat/>
    <w:rsid w:val="00AF4ED4"/>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rsid w:val="00AF4ED4"/>
    <w:rPr>
      <w:rFonts w:ascii="Times New Roman" w:eastAsia="Times New Roman" w:hAnsi="Times New Roman" w:cs="Times New Roman"/>
      <w:b/>
      <w:bCs/>
      <w:sz w:val="27"/>
      <w:szCs w:val="27"/>
      <w:lang w:eastAsia="uk-UA"/>
    </w:rPr>
  </w:style>
  <w:style w:type="character" w:customStyle="1" w:styleId="FontStyle">
    <w:name w:val="Font Style"/>
    <w:rsid w:val="00AF4ED4"/>
    <w:rPr>
      <w:rFonts w:cs="Courier New"/>
      <w:color w:val="000000"/>
      <w:sz w:val="20"/>
      <w:szCs w:val="20"/>
    </w:rPr>
  </w:style>
  <w:style w:type="character" w:customStyle="1" w:styleId="a3">
    <w:name w:val="Основний текст Знак"/>
    <w:link w:val="a4"/>
    <w:locked/>
    <w:rsid w:val="00AF4ED4"/>
    <w:rPr>
      <w:sz w:val="24"/>
      <w:szCs w:val="24"/>
      <w:lang w:val="ru-RU" w:eastAsia="ru-RU"/>
    </w:rPr>
  </w:style>
  <w:style w:type="paragraph" w:styleId="a4">
    <w:name w:val="Body Text"/>
    <w:basedOn w:val="a"/>
    <w:link w:val="a3"/>
    <w:rsid w:val="00AF4ED4"/>
    <w:pPr>
      <w:spacing w:after="120" w:line="240" w:lineRule="auto"/>
    </w:pPr>
    <w:rPr>
      <w:sz w:val="24"/>
      <w:szCs w:val="24"/>
      <w:lang w:val="ru-RU" w:eastAsia="ru-RU"/>
    </w:rPr>
  </w:style>
  <w:style w:type="character" w:customStyle="1" w:styleId="11">
    <w:name w:val="Основний текст Знак1"/>
    <w:uiPriority w:val="99"/>
    <w:semiHidden/>
    <w:rsid w:val="00AF4ED4"/>
    <w:rPr>
      <w:rFonts w:ascii="Calibri" w:eastAsia="Calibri" w:hAnsi="Calibri" w:cs="Times New Roman"/>
    </w:rPr>
  </w:style>
  <w:style w:type="character" w:customStyle="1" w:styleId="st42">
    <w:name w:val="st42"/>
    <w:uiPriority w:val="99"/>
    <w:rsid w:val="00AF4ED4"/>
    <w:rPr>
      <w:rFonts w:ascii="Times New Roman" w:hAnsi="Times New Roman"/>
      <w:color w:val="000000"/>
    </w:rPr>
  </w:style>
  <w:style w:type="character" w:customStyle="1" w:styleId="rvts0">
    <w:name w:val="rvts0"/>
    <w:basedOn w:val="a0"/>
    <w:rsid w:val="00AF4ED4"/>
  </w:style>
  <w:style w:type="paragraph" w:styleId="a5">
    <w:name w:val="header"/>
    <w:basedOn w:val="a"/>
    <w:link w:val="a6"/>
    <w:uiPriority w:val="99"/>
    <w:unhideWhenUsed/>
    <w:rsid w:val="00AF4ED4"/>
    <w:pPr>
      <w:tabs>
        <w:tab w:val="center" w:pos="4819"/>
        <w:tab w:val="right" w:pos="9639"/>
      </w:tabs>
      <w:spacing w:after="0" w:line="240" w:lineRule="auto"/>
    </w:pPr>
    <w:rPr>
      <w:sz w:val="20"/>
      <w:szCs w:val="20"/>
    </w:rPr>
  </w:style>
  <w:style w:type="character" w:customStyle="1" w:styleId="a6">
    <w:name w:val="Верхній колонтитул Знак"/>
    <w:link w:val="a5"/>
    <w:uiPriority w:val="99"/>
    <w:rsid w:val="00AF4ED4"/>
    <w:rPr>
      <w:rFonts w:ascii="Calibri" w:eastAsia="Calibri" w:hAnsi="Calibri" w:cs="Times New Roman"/>
      <w:szCs w:val="20"/>
    </w:rPr>
  </w:style>
  <w:style w:type="paragraph" w:styleId="a7">
    <w:name w:val="List Paragraph"/>
    <w:basedOn w:val="a"/>
    <w:uiPriority w:val="34"/>
    <w:qFormat/>
    <w:rsid w:val="00AF4ED4"/>
    <w:pPr>
      <w:ind w:left="720"/>
      <w:contextualSpacing/>
    </w:pPr>
  </w:style>
  <w:style w:type="paragraph" w:styleId="a8">
    <w:name w:val="footer"/>
    <w:basedOn w:val="a"/>
    <w:link w:val="a9"/>
    <w:uiPriority w:val="99"/>
    <w:unhideWhenUsed/>
    <w:rsid w:val="00CE324E"/>
    <w:pPr>
      <w:tabs>
        <w:tab w:val="center" w:pos="4819"/>
        <w:tab w:val="right" w:pos="9639"/>
      </w:tabs>
      <w:spacing w:after="0" w:line="240" w:lineRule="auto"/>
    </w:pPr>
    <w:rPr>
      <w:sz w:val="20"/>
      <w:szCs w:val="20"/>
    </w:rPr>
  </w:style>
  <w:style w:type="character" w:customStyle="1" w:styleId="a9">
    <w:name w:val="Нижній колонтитул Знак"/>
    <w:link w:val="a8"/>
    <w:uiPriority w:val="99"/>
    <w:rsid w:val="00CE324E"/>
    <w:rPr>
      <w:rFonts w:ascii="Calibri" w:eastAsia="Calibri" w:hAnsi="Calibri" w:cs="Times New Roman"/>
    </w:rPr>
  </w:style>
  <w:style w:type="character" w:customStyle="1" w:styleId="rvts15">
    <w:name w:val="rvts15"/>
    <w:basedOn w:val="a0"/>
    <w:rsid w:val="00C12D6F"/>
  </w:style>
  <w:style w:type="character" w:styleId="aa">
    <w:name w:val="Hyperlink"/>
    <w:uiPriority w:val="99"/>
    <w:unhideWhenUsed/>
    <w:rsid w:val="00C335E0"/>
    <w:rPr>
      <w:color w:val="0000FF"/>
      <w:u w:val="single"/>
    </w:rPr>
  </w:style>
  <w:style w:type="paragraph" w:styleId="ab">
    <w:name w:val="Normal (Web)"/>
    <w:basedOn w:val="a"/>
    <w:uiPriority w:val="99"/>
    <w:semiHidden/>
    <w:unhideWhenUsed/>
    <w:rsid w:val="0045545D"/>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10">
    <w:name w:val="Заголовок 1 Знак"/>
    <w:link w:val="1"/>
    <w:uiPriority w:val="9"/>
    <w:rsid w:val="00C32630"/>
    <w:rPr>
      <w:rFonts w:ascii="Calibri Light" w:eastAsia="Times New Roman" w:hAnsi="Calibri Light" w:cs="Times New Roman"/>
      <w:color w:val="2E74B5"/>
      <w:sz w:val="32"/>
      <w:szCs w:val="32"/>
    </w:rPr>
  </w:style>
  <w:style w:type="character" w:customStyle="1" w:styleId="statsitem">
    <w:name w:val="stats__item"/>
    <w:basedOn w:val="a0"/>
    <w:rsid w:val="00C32630"/>
  </w:style>
  <w:style w:type="paragraph" w:styleId="ac">
    <w:name w:val="Balloon Text"/>
    <w:basedOn w:val="a"/>
    <w:link w:val="ad"/>
    <w:uiPriority w:val="99"/>
    <w:semiHidden/>
    <w:unhideWhenUsed/>
    <w:rsid w:val="009034CA"/>
    <w:pPr>
      <w:spacing w:after="0" w:line="240" w:lineRule="auto"/>
    </w:pPr>
    <w:rPr>
      <w:rFonts w:ascii="Segoe UI" w:hAnsi="Segoe UI"/>
      <w:sz w:val="18"/>
      <w:szCs w:val="18"/>
    </w:rPr>
  </w:style>
  <w:style w:type="character" w:customStyle="1" w:styleId="ad">
    <w:name w:val="Текст у виносці Знак"/>
    <w:link w:val="ac"/>
    <w:uiPriority w:val="99"/>
    <w:semiHidden/>
    <w:rsid w:val="009034CA"/>
    <w:rPr>
      <w:rFonts w:ascii="Segoe UI" w:eastAsia="Calibri" w:hAnsi="Segoe UI" w:cs="Segoe UI"/>
      <w:sz w:val="18"/>
      <w:szCs w:val="18"/>
    </w:rPr>
  </w:style>
  <w:style w:type="paragraph" w:customStyle="1" w:styleId="rvps2">
    <w:name w:val="rvps2"/>
    <w:basedOn w:val="a"/>
    <w:rsid w:val="009034CA"/>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11">
    <w:name w:val="rvts11"/>
    <w:basedOn w:val="a0"/>
    <w:rsid w:val="009034CA"/>
  </w:style>
  <w:style w:type="character" w:styleId="ae">
    <w:name w:val="annotation reference"/>
    <w:uiPriority w:val="99"/>
    <w:semiHidden/>
    <w:unhideWhenUsed/>
    <w:rsid w:val="004437F4"/>
    <w:rPr>
      <w:sz w:val="16"/>
      <w:szCs w:val="16"/>
    </w:rPr>
  </w:style>
  <w:style w:type="paragraph" w:styleId="af">
    <w:name w:val="annotation text"/>
    <w:basedOn w:val="a"/>
    <w:link w:val="af0"/>
    <w:uiPriority w:val="99"/>
    <w:unhideWhenUsed/>
    <w:rsid w:val="004437F4"/>
    <w:pPr>
      <w:widowControl w:val="0"/>
      <w:spacing w:after="0" w:line="240" w:lineRule="auto"/>
    </w:pPr>
    <w:rPr>
      <w:rFonts w:cs="Arial"/>
      <w:sz w:val="20"/>
      <w:szCs w:val="20"/>
      <w:lang w:bidi="uk-UA"/>
    </w:rPr>
  </w:style>
  <w:style w:type="character" w:customStyle="1" w:styleId="af0">
    <w:name w:val="Текст примітки Знак"/>
    <w:link w:val="af"/>
    <w:uiPriority w:val="99"/>
    <w:rsid w:val="004437F4"/>
    <w:rPr>
      <w:rFonts w:cs="Arial"/>
      <w:lang w:bidi="uk-UA"/>
    </w:rPr>
  </w:style>
  <w:style w:type="paragraph" w:styleId="af1">
    <w:name w:val="footnote text"/>
    <w:basedOn w:val="a"/>
    <w:link w:val="af2"/>
    <w:uiPriority w:val="99"/>
    <w:semiHidden/>
    <w:unhideWhenUsed/>
    <w:rsid w:val="00AB22F2"/>
    <w:rPr>
      <w:sz w:val="20"/>
      <w:szCs w:val="20"/>
    </w:rPr>
  </w:style>
  <w:style w:type="character" w:customStyle="1" w:styleId="af2">
    <w:name w:val="Текст виноски Знак"/>
    <w:link w:val="af1"/>
    <w:uiPriority w:val="99"/>
    <w:semiHidden/>
    <w:rsid w:val="00AB22F2"/>
    <w:rPr>
      <w:lang w:eastAsia="en-US"/>
    </w:rPr>
  </w:style>
  <w:style w:type="character" w:styleId="af3">
    <w:name w:val="footnote reference"/>
    <w:uiPriority w:val="99"/>
    <w:semiHidden/>
    <w:unhideWhenUsed/>
    <w:rsid w:val="00AB22F2"/>
    <w:rPr>
      <w:vertAlign w:val="superscript"/>
    </w:rPr>
  </w:style>
  <w:style w:type="character" w:customStyle="1" w:styleId="rvts37">
    <w:name w:val="rvts37"/>
    <w:basedOn w:val="a0"/>
    <w:rsid w:val="009633A0"/>
  </w:style>
  <w:style w:type="character" w:customStyle="1" w:styleId="rvts46">
    <w:name w:val="rvts46"/>
    <w:basedOn w:val="a0"/>
    <w:rsid w:val="009633A0"/>
  </w:style>
  <w:style w:type="character" w:customStyle="1" w:styleId="rvts9">
    <w:name w:val="rvts9"/>
    <w:basedOn w:val="a0"/>
    <w:rsid w:val="00437A17"/>
  </w:style>
  <w:style w:type="character" w:customStyle="1" w:styleId="st161">
    <w:name w:val="st161"/>
    <w:uiPriority w:val="99"/>
    <w:rsid w:val="00CE23AD"/>
    <w:rPr>
      <w:rFonts w:ascii="Times New Roman" w:hAnsi="Times New Roman" w:cs="Times New Roman"/>
      <w:b/>
      <w:bCs/>
      <w:color w:val="000000"/>
      <w:sz w:val="32"/>
      <w:szCs w:val="32"/>
    </w:rPr>
  </w:style>
  <w:style w:type="paragraph" w:customStyle="1" w:styleId="af4">
    <w:name w:val="Нормальний текст"/>
    <w:basedOn w:val="a"/>
    <w:rsid w:val="005222CE"/>
    <w:pPr>
      <w:spacing w:before="120" w:after="0" w:line="240" w:lineRule="auto"/>
      <w:ind w:firstLine="567"/>
      <w:jc w:val="both"/>
    </w:pPr>
    <w:rPr>
      <w:rFonts w:ascii="Antiqua" w:eastAsia="Times New Roman" w:hAnsi="Antiqua"/>
      <w:sz w:val="26"/>
      <w:szCs w:val="20"/>
      <w:lang w:eastAsia="ru-RU"/>
    </w:rPr>
  </w:style>
  <w:style w:type="paragraph" w:customStyle="1" w:styleId="rvps17">
    <w:name w:val="rvps17"/>
    <w:basedOn w:val="a"/>
    <w:rsid w:val="009618D2"/>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23">
    <w:name w:val="rvts23"/>
    <w:basedOn w:val="a0"/>
    <w:rsid w:val="009618D2"/>
  </w:style>
  <w:style w:type="character" w:customStyle="1" w:styleId="rvts64">
    <w:name w:val="rvts64"/>
    <w:basedOn w:val="a0"/>
    <w:rsid w:val="009618D2"/>
  </w:style>
  <w:style w:type="paragraph" w:customStyle="1" w:styleId="rvps7">
    <w:name w:val="rvps7"/>
    <w:basedOn w:val="a"/>
    <w:rsid w:val="009618D2"/>
    <w:pPr>
      <w:spacing w:before="100" w:beforeAutospacing="1" w:after="100" w:afterAutospacing="1" w:line="240" w:lineRule="auto"/>
    </w:pPr>
    <w:rPr>
      <w:rFonts w:ascii="Times New Roman" w:eastAsia="Times New Roman" w:hAnsi="Times New Roman"/>
      <w:sz w:val="24"/>
      <w:szCs w:val="24"/>
      <w:lang w:eastAsia="uk-UA"/>
    </w:rPr>
  </w:style>
  <w:style w:type="character" w:styleId="af5">
    <w:name w:val="Strong"/>
    <w:uiPriority w:val="22"/>
    <w:qFormat/>
    <w:rsid w:val="00133426"/>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29000">
      <w:bodyDiv w:val="1"/>
      <w:marLeft w:val="0"/>
      <w:marRight w:val="0"/>
      <w:marTop w:val="0"/>
      <w:marBottom w:val="0"/>
      <w:divBdr>
        <w:top w:val="none" w:sz="0" w:space="0" w:color="auto"/>
        <w:left w:val="none" w:sz="0" w:space="0" w:color="auto"/>
        <w:bottom w:val="none" w:sz="0" w:space="0" w:color="auto"/>
        <w:right w:val="none" w:sz="0" w:space="0" w:color="auto"/>
      </w:divBdr>
    </w:div>
    <w:div w:id="494149214">
      <w:bodyDiv w:val="1"/>
      <w:marLeft w:val="0"/>
      <w:marRight w:val="0"/>
      <w:marTop w:val="0"/>
      <w:marBottom w:val="0"/>
      <w:divBdr>
        <w:top w:val="none" w:sz="0" w:space="0" w:color="auto"/>
        <w:left w:val="none" w:sz="0" w:space="0" w:color="auto"/>
        <w:bottom w:val="none" w:sz="0" w:space="0" w:color="auto"/>
        <w:right w:val="none" w:sz="0" w:space="0" w:color="auto"/>
      </w:divBdr>
    </w:div>
    <w:div w:id="503133680">
      <w:bodyDiv w:val="1"/>
      <w:marLeft w:val="0"/>
      <w:marRight w:val="0"/>
      <w:marTop w:val="0"/>
      <w:marBottom w:val="0"/>
      <w:divBdr>
        <w:top w:val="none" w:sz="0" w:space="0" w:color="auto"/>
        <w:left w:val="none" w:sz="0" w:space="0" w:color="auto"/>
        <w:bottom w:val="none" w:sz="0" w:space="0" w:color="auto"/>
        <w:right w:val="none" w:sz="0" w:space="0" w:color="auto"/>
      </w:divBdr>
    </w:div>
    <w:div w:id="1046493021">
      <w:bodyDiv w:val="1"/>
      <w:marLeft w:val="0"/>
      <w:marRight w:val="0"/>
      <w:marTop w:val="0"/>
      <w:marBottom w:val="0"/>
      <w:divBdr>
        <w:top w:val="none" w:sz="0" w:space="0" w:color="auto"/>
        <w:left w:val="none" w:sz="0" w:space="0" w:color="auto"/>
        <w:bottom w:val="none" w:sz="0" w:space="0" w:color="auto"/>
        <w:right w:val="none" w:sz="0" w:space="0" w:color="auto"/>
      </w:divBdr>
    </w:div>
    <w:div w:id="1084961987">
      <w:bodyDiv w:val="1"/>
      <w:marLeft w:val="0"/>
      <w:marRight w:val="0"/>
      <w:marTop w:val="0"/>
      <w:marBottom w:val="0"/>
      <w:divBdr>
        <w:top w:val="none" w:sz="0" w:space="0" w:color="auto"/>
        <w:left w:val="none" w:sz="0" w:space="0" w:color="auto"/>
        <w:bottom w:val="none" w:sz="0" w:space="0" w:color="auto"/>
        <w:right w:val="none" w:sz="0" w:space="0" w:color="auto"/>
      </w:divBdr>
    </w:div>
    <w:div w:id="1198083950">
      <w:bodyDiv w:val="1"/>
      <w:marLeft w:val="0"/>
      <w:marRight w:val="0"/>
      <w:marTop w:val="0"/>
      <w:marBottom w:val="0"/>
      <w:divBdr>
        <w:top w:val="none" w:sz="0" w:space="0" w:color="auto"/>
        <w:left w:val="none" w:sz="0" w:space="0" w:color="auto"/>
        <w:bottom w:val="none" w:sz="0" w:space="0" w:color="auto"/>
        <w:right w:val="none" w:sz="0" w:space="0" w:color="auto"/>
      </w:divBdr>
    </w:div>
    <w:div w:id="1198660656">
      <w:bodyDiv w:val="1"/>
      <w:marLeft w:val="0"/>
      <w:marRight w:val="0"/>
      <w:marTop w:val="0"/>
      <w:marBottom w:val="0"/>
      <w:divBdr>
        <w:top w:val="none" w:sz="0" w:space="0" w:color="auto"/>
        <w:left w:val="none" w:sz="0" w:space="0" w:color="auto"/>
        <w:bottom w:val="none" w:sz="0" w:space="0" w:color="auto"/>
        <w:right w:val="none" w:sz="0" w:space="0" w:color="auto"/>
      </w:divBdr>
    </w:div>
    <w:div w:id="1224675353">
      <w:bodyDiv w:val="1"/>
      <w:marLeft w:val="0"/>
      <w:marRight w:val="0"/>
      <w:marTop w:val="0"/>
      <w:marBottom w:val="0"/>
      <w:divBdr>
        <w:top w:val="none" w:sz="0" w:space="0" w:color="auto"/>
        <w:left w:val="none" w:sz="0" w:space="0" w:color="auto"/>
        <w:bottom w:val="none" w:sz="0" w:space="0" w:color="auto"/>
        <w:right w:val="none" w:sz="0" w:space="0" w:color="auto"/>
      </w:divBdr>
    </w:div>
    <w:div w:id="1269194609">
      <w:bodyDiv w:val="1"/>
      <w:marLeft w:val="0"/>
      <w:marRight w:val="0"/>
      <w:marTop w:val="0"/>
      <w:marBottom w:val="0"/>
      <w:divBdr>
        <w:top w:val="none" w:sz="0" w:space="0" w:color="auto"/>
        <w:left w:val="none" w:sz="0" w:space="0" w:color="auto"/>
        <w:bottom w:val="none" w:sz="0" w:space="0" w:color="auto"/>
        <w:right w:val="none" w:sz="0" w:space="0" w:color="auto"/>
      </w:divBdr>
    </w:div>
    <w:div w:id="1295868212">
      <w:bodyDiv w:val="1"/>
      <w:marLeft w:val="0"/>
      <w:marRight w:val="0"/>
      <w:marTop w:val="0"/>
      <w:marBottom w:val="0"/>
      <w:divBdr>
        <w:top w:val="none" w:sz="0" w:space="0" w:color="auto"/>
        <w:left w:val="none" w:sz="0" w:space="0" w:color="auto"/>
        <w:bottom w:val="none" w:sz="0" w:space="0" w:color="auto"/>
        <w:right w:val="none" w:sz="0" w:space="0" w:color="auto"/>
      </w:divBdr>
      <w:divsChild>
        <w:div w:id="1762870095">
          <w:marLeft w:val="0"/>
          <w:marRight w:val="0"/>
          <w:marTop w:val="0"/>
          <w:marBottom w:val="0"/>
          <w:divBdr>
            <w:top w:val="none" w:sz="0" w:space="0" w:color="auto"/>
            <w:left w:val="none" w:sz="0" w:space="0" w:color="auto"/>
            <w:bottom w:val="none" w:sz="0" w:space="0" w:color="auto"/>
            <w:right w:val="none" w:sz="0" w:space="0" w:color="auto"/>
          </w:divBdr>
          <w:divsChild>
            <w:div w:id="54352491">
              <w:marLeft w:val="0"/>
              <w:marRight w:val="0"/>
              <w:marTop w:val="0"/>
              <w:marBottom w:val="0"/>
              <w:divBdr>
                <w:top w:val="none" w:sz="0" w:space="0" w:color="auto"/>
                <w:left w:val="none" w:sz="0" w:space="0" w:color="auto"/>
                <w:bottom w:val="none" w:sz="0" w:space="0" w:color="auto"/>
                <w:right w:val="none" w:sz="0" w:space="0" w:color="auto"/>
              </w:divBdr>
              <w:divsChild>
                <w:div w:id="58676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681642">
      <w:bodyDiv w:val="1"/>
      <w:marLeft w:val="0"/>
      <w:marRight w:val="0"/>
      <w:marTop w:val="0"/>
      <w:marBottom w:val="0"/>
      <w:divBdr>
        <w:top w:val="none" w:sz="0" w:space="0" w:color="auto"/>
        <w:left w:val="none" w:sz="0" w:space="0" w:color="auto"/>
        <w:bottom w:val="none" w:sz="0" w:space="0" w:color="auto"/>
        <w:right w:val="none" w:sz="0" w:space="0" w:color="auto"/>
      </w:divBdr>
    </w:div>
    <w:div w:id="1466117791">
      <w:bodyDiv w:val="1"/>
      <w:marLeft w:val="0"/>
      <w:marRight w:val="0"/>
      <w:marTop w:val="0"/>
      <w:marBottom w:val="0"/>
      <w:divBdr>
        <w:top w:val="none" w:sz="0" w:space="0" w:color="auto"/>
        <w:left w:val="none" w:sz="0" w:space="0" w:color="auto"/>
        <w:bottom w:val="none" w:sz="0" w:space="0" w:color="auto"/>
        <w:right w:val="none" w:sz="0" w:space="0" w:color="auto"/>
      </w:divBdr>
    </w:div>
    <w:div w:id="1527330014">
      <w:bodyDiv w:val="1"/>
      <w:marLeft w:val="0"/>
      <w:marRight w:val="0"/>
      <w:marTop w:val="0"/>
      <w:marBottom w:val="0"/>
      <w:divBdr>
        <w:top w:val="none" w:sz="0" w:space="0" w:color="auto"/>
        <w:left w:val="none" w:sz="0" w:space="0" w:color="auto"/>
        <w:bottom w:val="none" w:sz="0" w:space="0" w:color="auto"/>
        <w:right w:val="none" w:sz="0" w:space="0" w:color="auto"/>
      </w:divBdr>
      <w:divsChild>
        <w:div w:id="431124003">
          <w:marLeft w:val="0"/>
          <w:marRight w:val="0"/>
          <w:marTop w:val="0"/>
          <w:marBottom w:val="0"/>
          <w:divBdr>
            <w:top w:val="none" w:sz="0" w:space="0" w:color="auto"/>
            <w:left w:val="none" w:sz="0" w:space="0" w:color="auto"/>
            <w:bottom w:val="none" w:sz="0" w:space="0" w:color="auto"/>
            <w:right w:val="none" w:sz="0" w:space="0" w:color="auto"/>
          </w:divBdr>
        </w:div>
      </w:divsChild>
    </w:div>
    <w:div w:id="1537037295">
      <w:bodyDiv w:val="1"/>
      <w:marLeft w:val="0"/>
      <w:marRight w:val="0"/>
      <w:marTop w:val="0"/>
      <w:marBottom w:val="0"/>
      <w:divBdr>
        <w:top w:val="none" w:sz="0" w:space="0" w:color="auto"/>
        <w:left w:val="none" w:sz="0" w:space="0" w:color="auto"/>
        <w:bottom w:val="none" w:sz="0" w:space="0" w:color="auto"/>
        <w:right w:val="none" w:sz="0" w:space="0" w:color="auto"/>
      </w:divBdr>
      <w:divsChild>
        <w:div w:id="332298458">
          <w:marLeft w:val="0"/>
          <w:marRight w:val="0"/>
          <w:marTop w:val="0"/>
          <w:marBottom w:val="0"/>
          <w:divBdr>
            <w:top w:val="none" w:sz="0" w:space="0" w:color="auto"/>
            <w:left w:val="none" w:sz="0" w:space="0" w:color="auto"/>
            <w:bottom w:val="none" w:sz="0" w:space="0" w:color="auto"/>
            <w:right w:val="none" w:sz="0" w:space="0" w:color="auto"/>
          </w:divBdr>
        </w:div>
        <w:div w:id="542908856">
          <w:marLeft w:val="0"/>
          <w:marRight w:val="0"/>
          <w:marTop w:val="0"/>
          <w:marBottom w:val="0"/>
          <w:divBdr>
            <w:top w:val="none" w:sz="0" w:space="0" w:color="auto"/>
            <w:left w:val="none" w:sz="0" w:space="0" w:color="auto"/>
            <w:bottom w:val="none" w:sz="0" w:space="0" w:color="auto"/>
            <w:right w:val="none" w:sz="0" w:space="0" w:color="auto"/>
          </w:divBdr>
        </w:div>
        <w:div w:id="592206380">
          <w:marLeft w:val="0"/>
          <w:marRight w:val="0"/>
          <w:marTop w:val="0"/>
          <w:marBottom w:val="0"/>
          <w:divBdr>
            <w:top w:val="none" w:sz="0" w:space="0" w:color="auto"/>
            <w:left w:val="none" w:sz="0" w:space="0" w:color="auto"/>
            <w:bottom w:val="none" w:sz="0" w:space="0" w:color="auto"/>
            <w:right w:val="none" w:sz="0" w:space="0" w:color="auto"/>
          </w:divBdr>
          <w:divsChild>
            <w:div w:id="159273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327256">
      <w:bodyDiv w:val="1"/>
      <w:marLeft w:val="0"/>
      <w:marRight w:val="0"/>
      <w:marTop w:val="0"/>
      <w:marBottom w:val="0"/>
      <w:divBdr>
        <w:top w:val="none" w:sz="0" w:space="0" w:color="auto"/>
        <w:left w:val="none" w:sz="0" w:space="0" w:color="auto"/>
        <w:bottom w:val="none" w:sz="0" w:space="0" w:color="auto"/>
        <w:right w:val="none" w:sz="0" w:space="0" w:color="auto"/>
      </w:divBdr>
    </w:div>
    <w:div w:id="1602764663">
      <w:bodyDiv w:val="1"/>
      <w:marLeft w:val="0"/>
      <w:marRight w:val="0"/>
      <w:marTop w:val="0"/>
      <w:marBottom w:val="0"/>
      <w:divBdr>
        <w:top w:val="none" w:sz="0" w:space="0" w:color="auto"/>
        <w:left w:val="none" w:sz="0" w:space="0" w:color="auto"/>
        <w:bottom w:val="none" w:sz="0" w:space="0" w:color="auto"/>
        <w:right w:val="none" w:sz="0" w:space="0" w:color="auto"/>
      </w:divBdr>
    </w:div>
    <w:div w:id="1647198592">
      <w:bodyDiv w:val="1"/>
      <w:marLeft w:val="0"/>
      <w:marRight w:val="0"/>
      <w:marTop w:val="0"/>
      <w:marBottom w:val="0"/>
      <w:divBdr>
        <w:top w:val="none" w:sz="0" w:space="0" w:color="auto"/>
        <w:left w:val="none" w:sz="0" w:space="0" w:color="auto"/>
        <w:bottom w:val="none" w:sz="0" w:space="0" w:color="auto"/>
        <w:right w:val="none" w:sz="0" w:space="0" w:color="auto"/>
      </w:divBdr>
    </w:div>
    <w:div w:id="1665162642">
      <w:bodyDiv w:val="1"/>
      <w:marLeft w:val="0"/>
      <w:marRight w:val="0"/>
      <w:marTop w:val="0"/>
      <w:marBottom w:val="0"/>
      <w:divBdr>
        <w:top w:val="none" w:sz="0" w:space="0" w:color="auto"/>
        <w:left w:val="none" w:sz="0" w:space="0" w:color="auto"/>
        <w:bottom w:val="none" w:sz="0" w:space="0" w:color="auto"/>
        <w:right w:val="none" w:sz="0" w:space="0" w:color="auto"/>
      </w:divBdr>
    </w:div>
    <w:div w:id="1912502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1F63F-EA5E-4E91-BB11-D1DBC4670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19626</Words>
  <Characters>11188</Characters>
  <Application>Microsoft Office Word</Application>
  <DocSecurity>0</DocSecurity>
  <Lines>93</Lines>
  <Paragraphs>61</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30753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2021-06-24T13:13:00Z</dcterms:created>
  <dcterms:modified xsi:type="dcterms:W3CDTF">2021-06-24T13:13:00Z</dcterms:modified>
</cp:coreProperties>
</file>