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BF3" w:rsidRPr="00EF3385" w:rsidRDefault="00252BF3" w:rsidP="00F411E6">
      <w:pPr>
        <w:spacing w:after="0" w:line="240" w:lineRule="auto"/>
        <w:ind w:left="5040"/>
        <w:jc w:val="center"/>
        <w:rPr>
          <w:rFonts w:ascii="Times New Roman" w:hAnsi="Times New Roman"/>
          <w:b/>
          <w:sz w:val="28"/>
          <w:szCs w:val="28"/>
          <w:lang w:eastAsia="ru-RU"/>
        </w:rPr>
      </w:pPr>
      <w:bookmarkStart w:id="0" w:name="_GoBack"/>
      <w:bookmarkEnd w:id="0"/>
      <w:r w:rsidRPr="00EF3385">
        <w:rPr>
          <w:rFonts w:ascii="Times New Roman" w:hAnsi="Times New Roman"/>
          <w:b/>
          <w:sz w:val="28"/>
          <w:szCs w:val="28"/>
          <w:lang w:eastAsia="ru-RU"/>
        </w:rPr>
        <w:t>Проект</w:t>
      </w:r>
    </w:p>
    <w:p w:rsidR="00F411E6" w:rsidRPr="00EF3385" w:rsidRDefault="00F411E6" w:rsidP="00252BF3">
      <w:pPr>
        <w:spacing w:before="120" w:after="0" w:line="240" w:lineRule="auto"/>
        <w:ind w:firstLine="3686"/>
        <w:jc w:val="right"/>
        <w:rPr>
          <w:rFonts w:ascii="Times New Roman" w:hAnsi="Times New Roman"/>
          <w:b/>
          <w:sz w:val="28"/>
          <w:szCs w:val="28"/>
          <w:lang w:eastAsia="ru-RU"/>
        </w:rPr>
      </w:pPr>
      <w:r w:rsidRPr="00EF3385">
        <w:rPr>
          <w:rFonts w:ascii="Times New Roman" w:hAnsi="Times New Roman"/>
          <w:b/>
          <w:sz w:val="28"/>
          <w:szCs w:val="28"/>
          <w:lang w:eastAsia="ru-RU"/>
        </w:rPr>
        <w:t xml:space="preserve">        </w:t>
      </w:r>
      <w:r w:rsidR="00EF3385">
        <w:rPr>
          <w:rFonts w:ascii="Times New Roman" w:hAnsi="Times New Roman"/>
          <w:b/>
          <w:sz w:val="28"/>
          <w:szCs w:val="28"/>
          <w:lang w:eastAsia="ru-RU"/>
        </w:rPr>
        <w:t xml:space="preserve">           </w:t>
      </w:r>
      <w:r w:rsidRPr="00EF3385">
        <w:rPr>
          <w:rFonts w:ascii="Times New Roman" w:hAnsi="Times New Roman"/>
          <w:b/>
          <w:sz w:val="28"/>
          <w:szCs w:val="28"/>
          <w:lang w:eastAsia="ru-RU"/>
        </w:rPr>
        <w:t>в</w:t>
      </w:r>
      <w:r w:rsidR="00252BF3" w:rsidRPr="00EF3385">
        <w:rPr>
          <w:rFonts w:ascii="Times New Roman" w:hAnsi="Times New Roman"/>
          <w:b/>
          <w:sz w:val="28"/>
          <w:szCs w:val="28"/>
          <w:lang w:eastAsia="ru-RU"/>
        </w:rPr>
        <w:t xml:space="preserve">носиться народними </w:t>
      </w:r>
    </w:p>
    <w:p w:rsidR="00252BF3" w:rsidRPr="00EF3385" w:rsidRDefault="00F411E6" w:rsidP="00F411E6">
      <w:pPr>
        <w:spacing w:before="120" w:after="0" w:line="240" w:lineRule="auto"/>
        <w:ind w:firstLine="3686"/>
        <w:jc w:val="center"/>
        <w:rPr>
          <w:rFonts w:ascii="Times New Roman" w:hAnsi="Times New Roman"/>
          <w:b/>
        </w:rPr>
      </w:pPr>
      <w:r w:rsidRPr="00EF3385">
        <w:rPr>
          <w:rFonts w:ascii="Times New Roman" w:hAnsi="Times New Roman"/>
          <w:b/>
          <w:sz w:val="28"/>
          <w:szCs w:val="28"/>
          <w:lang w:eastAsia="ru-RU"/>
        </w:rPr>
        <w:t xml:space="preserve">             </w:t>
      </w:r>
      <w:r w:rsidR="00EF3385">
        <w:rPr>
          <w:rFonts w:ascii="Times New Roman" w:hAnsi="Times New Roman"/>
          <w:b/>
          <w:sz w:val="28"/>
          <w:szCs w:val="28"/>
          <w:lang w:eastAsia="ru-RU"/>
        </w:rPr>
        <w:t xml:space="preserve">                              </w:t>
      </w:r>
      <w:r w:rsidR="00252BF3" w:rsidRPr="00EF3385">
        <w:rPr>
          <w:rFonts w:ascii="Times New Roman" w:hAnsi="Times New Roman"/>
          <w:b/>
          <w:sz w:val="28"/>
          <w:szCs w:val="28"/>
          <w:lang w:eastAsia="ru-RU"/>
        </w:rPr>
        <w:t>депутатами України</w:t>
      </w:r>
    </w:p>
    <w:p w:rsidR="00252BF3" w:rsidRPr="00133FC3" w:rsidRDefault="00252BF3" w:rsidP="00252BF3">
      <w:pPr>
        <w:spacing w:before="120" w:after="0" w:line="240" w:lineRule="auto"/>
        <w:ind w:firstLine="5579"/>
        <w:jc w:val="right"/>
        <w:rPr>
          <w:rFonts w:ascii="Times New Roman" w:hAnsi="Times New Roman"/>
        </w:rPr>
      </w:pPr>
    </w:p>
    <w:p w:rsidR="00252BF3" w:rsidRPr="00133FC3" w:rsidRDefault="00252BF3" w:rsidP="00252BF3">
      <w:pPr>
        <w:spacing w:before="120" w:after="0" w:line="240" w:lineRule="auto"/>
        <w:ind w:firstLine="5579"/>
        <w:jc w:val="right"/>
        <w:rPr>
          <w:rFonts w:ascii="Times New Roman" w:hAnsi="Times New Roman"/>
        </w:rPr>
      </w:pPr>
    </w:p>
    <w:p w:rsidR="00C80BB8" w:rsidRPr="00133FC3" w:rsidRDefault="00C80BB8" w:rsidP="00252BF3">
      <w:pPr>
        <w:pStyle w:val="a3"/>
        <w:spacing w:before="120" w:after="0"/>
        <w:rPr>
          <w:rFonts w:ascii="Times New Roman" w:hAnsi="Times New Roman"/>
          <w:sz w:val="28"/>
          <w:szCs w:val="28"/>
        </w:rPr>
      </w:pPr>
    </w:p>
    <w:p w:rsidR="00C80BB8" w:rsidRPr="00133FC3" w:rsidRDefault="00C80BB8" w:rsidP="00252BF3">
      <w:pPr>
        <w:pStyle w:val="a3"/>
        <w:spacing w:before="120" w:after="0"/>
        <w:rPr>
          <w:rFonts w:ascii="Times New Roman" w:hAnsi="Times New Roman"/>
          <w:sz w:val="28"/>
          <w:szCs w:val="28"/>
        </w:rPr>
      </w:pPr>
    </w:p>
    <w:p w:rsidR="00C80BB8" w:rsidRPr="00133FC3" w:rsidRDefault="00C80BB8" w:rsidP="00252BF3">
      <w:pPr>
        <w:pStyle w:val="a3"/>
        <w:spacing w:before="120" w:after="0"/>
        <w:rPr>
          <w:rFonts w:ascii="Times New Roman" w:hAnsi="Times New Roman"/>
          <w:sz w:val="28"/>
          <w:szCs w:val="28"/>
        </w:rPr>
      </w:pPr>
    </w:p>
    <w:p w:rsidR="00D977AE" w:rsidRPr="00133FC3" w:rsidRDefault="00D977AE" w:rsidP="00252BF3">
      <w:pPr>
        <w:pStyle w:val="a3"/>
        <w:spacing w:before="120" w:after="0"/>
        <w:rPr>
          <w:rFonts w:ascii="Times New Roman" w:hAnsi="Times New Roman"/>
          <w:sz w:val="28"/>
          <w:szCs w:val="28"/>
        </w:rPr>
      </w:pPr>
    </w:p>
    <w:p w:rsidR="00252BF3" w:rsidRPr="00133FC3" w:rsidRDefault="00252BF3" w:rsidP="00252BF3">
      <w:pPr>
        <w:pStyle w:val="a3"/>
        <w:spacing w:before="120" w:after="0"/>
        <w:rPr>
          <w:rFonts w:ascii="Times New Roman" w:hAnsi="Times New Roman"/>
          <w:b w:val="0"/>
          <w:sz w:val="28"/>
          <w:szCs w:val="28"/>
        </w:rPr>
      </w:pPr>
      <w:r w:rsidRPr="00133FC3">
        <w:rPr>
          <w:rFonts w:ascii="Times New Roman" w:hAnsi="Times New Roman"/>
          <w:sz w:val="28"/>
          <w:szCs w:val="28"/>
        </w:rPr>
        <w:t>ЗАКОН УКРАЇНИ</w:t>
      </w:r>
    </w:p>
    <w:p w:rsidR="00252BF3" w:rsidRPr="00133FC3" w:rsidRDefault="00252BF3" w:rsidP="00252BF3">
      <w:pPr>
        <w:pStyle w:val="a3"/>
        <w:spacing w:before="120" w:after="0"/>
        <w:rPr>
          <w:rFonts w:ascii="Times New Roman" w:hAnsi="Times New Roman"/>
          <w:b w:val="0"/>
          <w:sz w:val="28"/>
          <w:szCs w:val="28"/>
        </w:rPr>
      </w:pPr>
      <w:r w:rsidRPr="00133FC3">
        <w:rPr>
          <w:rFonts w:ascii="Times New Roman" w:hAnsi="Times New Roman"/>
          <w:sz w:val="28"/>
          <w:szCs w:val="28"/>
        </w:rPr>
        <w:t>Про внесення змін до Податкового кодексу України щодо створення сприятливих умов для залучення масштабних інвестицій у промислове виробництво</w:t>
      </w:r>
      <w:r w:rsidRPr="00133FC3">
        <w:rPr>
          <w:rFonts w:ascii="Times New Roman" w:hAnsi="Times New Roman"/>
          <w:sz w:val="28"/>
          <w:szCs w:val="28"/>
        </w:rPr>
        <w:br/>
      </w:r>
      <w:r w:rsidRPr="00133FC3">
        <w:rPr>
          <w:rFonts w:ascii="Times New Roman" w:hAnsi="Times New Roman"/>
          <w:b w:val="0"/>
          <w:sz w:val="28"/>
          <w:szCs w:val="28"/>
        </w:rPr>
        <w:t>_________________________________________________</w:t>
      </w:r>
    </w:p>
    <w:p w:rsidR="00252BF3" w:rsidRPr="00133FC3" w:rsidRDefault="00252BF3" w:rsidP="00252BF3">
      <w:pPr>
        <w:spacing w:before="120" w:after="0" w:line="240" w:lineRule="auto"/>
        <w:ind w:firstLine="567"/>
        <w:jc w:val="both"/>
        <w:rPr>
          <w:rFonts w:ascii="Times New Roman" w:hAnsi="Times New Roman"/>
          <w:b/>
          <w:sz w:val="21"/>
          <w:szCs w:val="21"/>
          <w:lang w:eastAsia="uk-UA"/>
        </w:rPr>
      </w:pP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 xml:space="preserve">Верховна Рада України </w:t>
      </w:r>
      <w:r w:rsidRPr="00133FC3">
        <w:rPr>
          <w:rFonts w:ascii="Times New Roman" w:hAnsi="Times New Roman"/>
          <w:b/>
          <w:sz w:val="28"/>
          <w:szCs w:val="28"/>
        </w:rPr>
        <w:t>постановляє</w:t>
      </w:r>
      <w:r w:rsidRPr="00133FC3">
        <w:rPr>
          <w:rFonts w:ascii="Times New Roman" w:hAnsi="Times New Roman"/>
          <w:sz w:val="28"/>
          <w:szCs w:val="28"/>
        </w:rPr>
        <w:t>:</w:t>
      </w:r>
    </w:p>
    <w:p w:rsidR="00252BF3" w:rsidRPr="00133FC3" w:rsidRDefault="00252BF3" w:rsidP="00252BF3">
      <w:pPr>
        <w:spacing w:before="120" w:after="0" w:line="240" w:lineRule="auto"/>
        <w:ind w:firstLine="709"/>
        <w:jc w:val="both"/>
        <w:rPr>
          <w:rFonts w:ascii="Times New Roman" w:hAnsi="Times New Roman"/>
          <w:sz w:val="28"/>
          <w:szCs w:val="28"/>
        </w:rPr>
      </w:pP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1. Внести до Податкового кодексу України (Відомості Верховної Ради України, 2011 р., №№ 13 - 17, ст. 112) такі зміни:</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1) статтю 142 доповнити новим пунктом 142.4 такого змісту:</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 xml:space="preserve">"142.4. Прибуток учасника індустріального парку, включеного до Реєстру індустріальних парків, від здійснення господарської діяльності у сферах переробної промисловості (розділ 10, клас 11.07 розділу 11, розділи 13-17, 19-33, крім виробництва підакцизних товарів), або науково-дослідної діяльності (розділ 72 КВЕД 009:2010) виключно на території (в межах) індустріальних парків,  звільняється від оподаткування податком на прибуток підприємств протягом </w:t>
      </w:r>
      <w:r w:rsidR="006465AE" w:rsidRPr="00133FC3">
        <w:rPr>
          <w:rFonts w:ascii="Times New Roman" w:hAnsi="Times New Roman"/>
          <w:sz w:val="28"/>
          <w:szCs w:val="28"/>
        </w:rPr>
        <w:t xml:space="preserve">десяти </w:t>
      </w:r>
      <w:r w:rsidRPr="00133FC3">
        <w:rPr>
          <w:rFonts w:ascii="Times New Roman" w:hAnsi="Times New Roman"/>
          <w:sz w:val="28"/>
          <w:szCs w:val="28"/>
        </w:rPr>
        <w:t xml:space="preserve">послідовних років починаючи з першого числа першого місяця календарного кварталу, який визначено платником податку – учасником індустріального парку у поданій ним до контролюючого органу за місцем реєстрації такого платника податку у довільній формі заяві про використання права на застосування передбаченого цим пунктом звільнення, але не раніше дати подання такої заяви. </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У разі якщо контролюючим органом протягом десяти робочих днів з дня отримання заяви не надано відмову про застосування звільнення, визначеного цим пунктом, така заява вважається прийнятою. Заява подається платником у порядку, визначеному пунктом 42.4 статті 42 цього Кодексу. Повідомлення про відмову у наданні звільнення надається контролюючим органом у порядку, визначеному пунктом 42.4 статті 42 цього Кодексу.</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lastRenderedPageBreak/>
        <w:t>Застосування правил оподаткування цього пункту допускається за умови що учасник індустріального парку матиме статус такого учасника впродовж не менше 10 років і протягом цих 10 років:</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здійснює господарську діяльність виключно на території і в межах індустріального парку. Для підтвердження статусу учасника індустріального парку застосовуються дані з Реєстру індустріальних парків.</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не нараховує і не виплачує дивіденди (</w:t>
      </w:r>
      <w:r w:rsidR="00F12D1D" w:rsidRPr="00133FC3">
        <w:rPr>
          <w:rFonts w:ascii="Times New Roman" w:hAnsi="Times New Roman"/>
          <w:sz w:val="28"/>
          <w:szCs w:val="28"/>
        </w:rPr>
        <w:t>прирівняні</w:t>
      </w:r>
      <w:r w:rsidRPr="00133FC3">
        <w:rPr>
          <w:rFonts w:ascii="Times New Roman" w:hAnsi="Times New Roman"/>
          <w:sz w:val="28"/>
          <w:szCs w:val="28"/>
        </w:rPr>
        <w:t xml:space="preserve"> до них платежі) на користь власника корпоративних прав. </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Отриманий прибуток направляється на розвиток діяльності учасника індустріального парку в межах індустріального парку. Порядок використання прибутку на розвиток індустріального парку, затверджується Кабінетом Міністрів України. Не використання коштів отриманого прибутку на розвиток індустріального парку є підставою  для втрати статусу учасника індустріального парку.</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Центральний орган виконавчої влади, що реалізує державну податкову політику, та центральний орган виконавчої влади, що реалізує державну політику щодо створення і функціонування індустріальних парків на території України, здійснюють автоматичний обмін інформацією, що міститься/має міститися в Реєстрі індустріальних парків, у тому числі щодо переліку учасників індустріальних парків, в обсязі та порядку, визначених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забезпечує формування та реалізує державну інвестиційну політику.</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Для платників, визначених цим пунктом, податковими (звітними) періодами є календарні: квартал, півріччя, три квартали, рік. При цьому податкова декларація розраховується наростаючим підсумком. Платники, визначені цим пунктом, не можуть застосовувати виключно річний податковий (звітний) період.</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У разі дострокового припинення (втрати) статусу учасника індустріального парку або перебування у статусі учасника індустріального парку менше 10 років платник податку втрачає право на застосування встановлених цим пунктом правил оподаткування. При цьому такий платник зобов’язаний за підсумками податкового (звітного) періоду, в якому припинений (втрачений) статус учасника індустріального парку, визначити податкове зобов’язання з податку на прибуток підприємств у загальному порядку.</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 xml:space="preserve">За всі інші попередні періоди застосування звільнення від податку на прибуток підприємств відповідно до цього пункту платник податку зобов’язаний у строк, визначений для квартального податкового (звітного) періоду, починаючи з першого дня місяця, наступного за місяцем, у якому припинений (втрачений) статус учасника індустріального парку, подати уточнюючу (уточнюючі) податкову декларацію з податку на прибуток підприємств, </w:t>
      </w:r>
      <w:r w:rsidRPr="00133FC3">
        <w:rPr>
          <w:rFonts w:ascii="Times New Roman" w:hAnsi="Times New Roman"/>
          <w:sz w:val="28"/>
          <w:szCs w:val="28"/>
        </w:rPr>
        <w:lastRenderedPageBreak/>
        <w:t>нарахувати та сплатити податкове зобов’язання з податку на прибуток підприємств, штрафні санкції та пеню відповідно до норм цього Кодексу.</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Незалежно від особливостей, визначених цим пунктом, якщо платник податку – учасник індустріального парку здійснює в рамках господарської діяльності у сферах переробної промисловості (розділ 10, клас 11.07 розділу 11, розділи 13-17, 19-33, крім виробництва підакцизних товарів), або науково-дослідної діяльності (розділ 72 КВЕД 009:2010), операції, визначені статтею 39 цього Кодексу, об’єкт оподаткування податком на прибуток підприємств, що оподатковується за базовою (основною) ставкою, визначається окремо на рівні:</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перевищення ціни, визначеної за принципом "витягнутої руки", над договірною (контрактною) вартістю (вартістю, за якою відповідна операція повинна відображатися відповідно до національних положень (стандартів) бухгалтерського обліку або міжнародних стандартів фінансової звітності) реалізованих товарів (робіт, послуг);</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перевищення договірної (контрактної) вартості (вартості, за якою відповідна операція повинна відображатися відповідно до національних положень (стандартів) бухгалтерського обліку або міжнародних стандартів фінансової звітності) придбаних товарів (робіт, послуг) над ціною, визначеною за принципом "витягнутої руки".</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Якщо платник податку учасник індустріального парку є контролюючою особою, окремим об’єктом оподаткування податком на прибуток підприємств, що оподатковується за базовою (основною) ставкою, є скоригований прибуток контрольованої іноземної компанії, визначений відповідно до статті 39-2 цього Кодексу.</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Об’єкти оподаткування, визначені абзацами восьмим та одинадцятим цього пункту, не звільняються від оподаткування та підлягають оподаткуванню в загальному порядку.";</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2) статтю 197 доповнити новим пунктом 197.26 такого змісту:</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"197.26. Звільняються від оподаткування податком на додану вартість операції з ввезення на митну територію України у митному режимі імпорту нового устаткування (обладнання), визначені в частині шостій статті 287 Митного кодексу України, що ввозяться учасниками індустріальних парків, включених до Реєстру індустріальних парків, виключно для власного використання під здійснення ними діяльності у сферах переробної промисловості (розділ 10, клас 11.07 розділу 11, розділи 13-17, 19-33, крім виробництва підакцизних товарів), або науково-дослідної діяльності (розділ 72 КВЕД 009:2010) на території (в межах) індустріального парку (без права надання в оренду, лізинг чи передачу в користування третім особам на будь-яких інших умовах), за умови, що відповідні товари виготовлені не раніше ніж за три роки до дати їх ввезення на митну територію України, не були у використанні.</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lastRenderedPageBreak/>
        <w:t>Порядок ввезення та цільового використання зазначених товарів визначається Кабінетом Міністрів України.</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 xml:space="preserve">Відчуження устаткування (обладнання) та комплектуючих виробів до нього, ввезених на митну територію України у порядку, визначеному цим пунктом, раніше п’яти років з дати ввезення їх на митну територію України чи у разі їх нецільового використання (у тому числі передання в користування іншим особам) раніше п’яти років з дати ввезення їх на митну територію України або дострокове припинення (втрата) статусу учасника індустріального парку тягне за собою виникнення обов’язку зі сплати податкових </w:t>
      </w:r>
      <w:r w:rsidR="00133FC3" w:rsidRPr="00133FC3">
        <w:rPr>
          <w:rFonts w:ascii="Times New Roman" w:hAnsi="Times New Roman"/>
          <w:sz w:val="28"/>
          <w:szCs w:val="28"/>
        </w:rPr>
        <w:t>зобов’язань</w:t>
      </w:r>
      <w:r w:rsidRPr="00133FC3">
        <w:rPr>
          <w:rFonts w:ascii="Times New Roman" w:hAnsi="Times New Roman"/>
          <w:sz w:val="28"/>
          <w:szCs w:val="28"/>
        </w:rPr>
        <w:t xml:space="preserve"> за результатами податкового періоду, на який припадає таке відчуження, нецільове використання чи дострокове припинення (втрати) статусу учасника індустріального парку, на суму податку на додану вартість, що мала бути сплачена при ввезені на митну територію України таких товарів, а також зобов’язань зі сплати пені відповідно до цього Кодексу, розрахованої з дня ввезення на митну територію України до дня збільшення податкового зобов’язання. При цьому встановлені статтею 102  цього Кодексу строки давності не застосовуються.</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Положення цього підпункту не поширюються на товари, що мають походження з країни,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w:t>
      </w:r>
      <w:r w:rsidR="00432FF6" w:rsidRPr="00133FC3">
        <w:rPr>
          <w:rFonts w:ascii="Times New Roman" w:hAnsi="Times New Roman"/>
          <w:sz w:val="28"/>
          <w:szCs w:val="28"/>
        </w:rPr>
        <w:t>.</w:t>
      </w:r>
      <w:r w:rsidRPr="00133FC3">
        <w:rPr>
          <w:rFonts w:ascii="Times New Roman" w:hAnsi="Times New Roman"/>
          <w:sz w:val="28"/>
          <w:szCs w:val="28"/>
        </w:rPr>
        <w:t>";</w:t>
      </w:r>
    </w:p>
    <w:p w:rsidR="00252BF3" w:rsidRPr="00133FC3" w:rsidRDefault="00252BF3" w:rsidP="00252BF3">
      <w:pPr>
        <w:spacing w:before="120" w:after="0" w:line="240" w:lineRule="auto"/>
        <w:ind w:firstLine="709"/>
        <w:jc w:val="both"/>
        <w:rPr>
          <w:rFonts w:ascii="Times New Roman" w:hAnsi="Times New Roman"/>
          <w:sz w:val="28"/>
          <w:szCs w:val="28"/>
        </w:rPr>
      </w:pPr>
      <w:bookmarkStart w:id="1" w:name="_Hlk65750384"/>
      <w:r w:rsidRPr="00133FC3">
        <w:rPr>
          <w:rFonts w:ascii="Times New Roman" w:hAnsi="Times New Roman"/>
          <w:sz w:val="28"/>
          <w:szCs w:val="28"/>
        </w:rPr>
        <w:t>3) підпункт 266.4.2 пункту 266.4 статті 266 доповнити нов</w:t>
      </w:r>
      <w:r w:rsidR="009109E2" w:rsidRPr="00133FC3">
        <w:rPr>
          <w:rFonts w:ascii="Times New Roman" w:hAnsi="Times New Roman"/>
          <w:sz w:val="28"/>
          <w:szCs w:val="28"/>
        </w:rPr>
        <w:t xml:space="preserve">им абзацом </w:t>
      </w:r>
      <w:r w:rsidRPr="00133FC3">
        <w:rPr>
          <w:rFonts w:ascii="Times New Roman" w:hAnsi="Times New Roman"/>
          <w:sz w:val="28"/>
          <w:szCs w:val="28"/>
        </w:rPr>
        <w:t xml:space="preserve"> такого змісту:</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"Сільські, селищні, міські ради та ради об’єднаних територіальних громад, що створені згідно із законом та перспективним планом формування територій громад, мають право встановлювати пільги з податку, що сплачується на відповідній території, з об’єктів нежитлової нерухомості, що знаходяться на території індустріального парку та перебувають у власності учасників індустріального парку, включеного до Реєстру індустріальних парків. На такі рішення не поширюється підпункт 4.1.9 пункту 4.1 та пункт 4.5 статті 4, підпункт 12.3.4 пункту 12.3, підпункт 12.4.3 пункту 12.4 (у частині строку прийняття та набрання чинності рішень) та пункт 12.5 (у частині строку набрання чинності рішеннями) статті 12 Податкового кодексу України, Закон України "Про засади державної регуляторної політики у сфері господарської діяльності", частина третя статті 15 Закону України "Про доступ до публічної інформації", Закон України "Про державну допомогу суб’єктам господарювання";</w:t>
      </w:r>
    </w:p>
    <w:bookmarkEnd w:id="1"/>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 xml:space="preserve">4) статтю 284 доповнити новим </w:t>
      </w:r>
      <w:r w:rsidR="00133FC3" w:rsidRPr="00133FC3">
        <w:rPr>
          <w:rFonts w:ascii="Times New Roman" w:hAnsi="Times New Roman"/>
          <w:sz w:val="28"/>
          <w:szCs w:val="28"/>
        </w:rPr>
        <w:t>пунктом</w:t>
      </w:r>
      <w:r w:rsidRPr="00133FC3">
        <w:rPr>
          <w:rFonts w:ascii="Times New Roman" w:hAnsi="Times New Roman"/>
          <w:sz w:val="28"/>
          <w:szCs w:val="28"/>
        </w:rPr>
        <w:t xml:space="preserve"> 284.5 такого змісту:</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 xml:space="preserve">"284.5. В частині плати за землю за земельні ділянки, що входять до складу території індустріальних парків, включених до Реєстру індустріальних парків, нормативну грошову оцінку яких проведено, що використовуються ініціаторами </w:t>
      </w:r>
      <w:r w:rsidRPr="00133FC3">
        <w:rPr>
          <w:rFonts w:ascii="Times New Roman" w:hAnsi="Times New Roman"/>
          <w:sz w:val="28"/>
          <w:szCs w:val="28"/>
        </w:rPr>
        <w:lastRenderedPageBreak/>
        <w:t>створення індустріального парку, керуючою  компанією індустріального парку та учасниками індустріальних парків, органи місцевого самоврядування можуть:</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встановлювати ставки земельного податку та орендну плату за землі державної та комунальної власності в розмірі, меншому ніж розмір земельного податку, встановлений рішенням відповідного органу місцевого самоврядування для певної категорії земель, що сплачується на відповідній території;</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звільняти від сплати земельного податку.</w:t>
      </w:r>
    </w:p>
    <w:p w:rsidR="00252BF3" w:rsidRPr="00133FC3" w:rsidRDefault="00252BF3" w:rsidP="00252BF3">
      <w:pPr>
        <w:spacing w:before="120" w:after="0" w:line="240" w:lineRule="auto"/>
        <w:ind w:firstLine="709"/>
        <w:jc w:val="both"/>
        <w:rPr>
          <w:rFonts w:ascii="Times New Roman" w:hAnsi="Times New Roman"/>
          <w:sz w:val="28"/>
          <w:szCs w:val="28"/>
        </w:rPr>
      </w:pPr>
      <w:r w:rsidRPr="00133FC3">
        <w:rPr>
          <w:rFonts w:ascii="Times New Roman" w:hAnsi="Times New Roman"/>
          <w:sz w:val="28"/>
          <w:szCs w:val="28"/>
        </w:rPr>
        <w:t>До таких рішень органів місцевого самоврядування та/або рішень про внесення змін до таких рішень не застосовуються вимоги підпункту 4.1.9 пункту 4.1 та пункту 4.5 статті 4, підпунктів 12.3.3, 12.3.4 і 12.3.7 пункту 12.3, підпункту 12.4.3 пункту 12.4 та пункту 12.5 статті 12 цього Кодексу та Закону України "Про засади державної регуляторної політики у сфері господарської діяльності"</w:t>
      </w:r>
      <w:r w:rsidR="00655086" w:rsidRPr="00133FC3">
        <w:rPr>
          <w:rFonts w:ascii="Times New Roman" w:hAnsi="Times New Roman"/>
          <w:sz w:val="28"/>
          <w:szCs w:val="28"/>
        </w:rPr>
        <w:t>.</w:t>
      </w:r>
    </w:p>
    <w:p w:rsidR="00252BF3" w:rsidRPr="00133FC3" w:rsidRDefault="00252BF3" w:rsidP="00252BF3">
      <w:pPr>
        <w:spacing w:before="120" w:after="0" w:line="240" w:lineRule="auto"/>
        <w:ind w:firstLine="708"/>
        <w:jc w:val="both"/>
        <w:rPr>
          <w:rFonts w:ascii="Times New Roman" w:hAnsi="Times New Roman"/>
          <w:sz w:val="28"/>
          <w:szCs w:val="28"/>
          <w:lang w:eastAsia="uk-UA"/>
        </w:rPr>
      </w:pPr>
      <w:r w:rsidRPr="00133FC3">
        <w:rPr>
          <w:rFonts w:ascii="Times New Roman" w:hAnsi="Times New Roman"/>
          <w:sz w:val="28"/>
          <w:szCs w:val="28"/>
          <w:lang w:eastAsia="uk-UA"/>
        </w:rPr>
        <w:t>2. Цей Закон набирає чинності з 1 січня 2022 року.</w:t>
      </w:r>
    </w:p>
    <w:p w:rsidR="00252BF3" w:rsidRPr="00133FC3" w:rsidRDefault="00252BF3" w:rsidP="00252BF3">
      <w:pPr>
        <w:spacing w:before="120" w:after="0" w:line="240" w:lineRule="auto"/>
        <w:ind w:firstLine="708"/>
        <w:rPr>
          <w:rFonts w:ascii="Times New Roman" w:hAnsi="Times New Roman"/>
          <w:sz w:val="28"/>
          <w:szCs w:val="28"/>
          <w:lang w:eastAsia="uk-UA"/>
        </w:rPr>
      </w:pPr>
    </w:p>
    <w:p w:rsidR="00C80BB8" w:rsidRPr="00133FC3" w:rsidRDefault="00C80BB8" w:rsidP="00C80BB8">
      <w:pPr>
        <w:spacing w:before="120" w:after="0" w:line="240" w:lineRule="auto"/>
        <w:ind w:firstLine="708"/>
        <w:rPr>
          <w:rFonts w:ascii="Times New Roman" w:hAnsi="Times New Roman"/>
          <w:b/>
          <w:bCs/>
          <w:sz w:val="28"/>
          <w:szCs w:val="28"/>
          <w:lang w:eastAsia="uk-UA"/>
        </w:rPr>
      </w:pPr>
      <w:r w:rsidRPr="00133FC3">
        <w:rPr>
          <w:rFonts w:ascii="Times New Roman" w:hAnsi="Times New Roman"/>
          <w:b/>
          <w:bCs/>
          <w:sz w:val="28"/>
          <w:szCs w:val="28"/>
          <w:lang w:eastAsia="uk-UA"/>
        </w:rPr>
        <w:t>Голова Верховної Ради                                                      Д. РАЗУМКОВ</w:t>
      </w:r>
    </w:p>
    <w:p w:rsidR="00C80BB8" w:rsidRPr="00133FC3" w:rsidRDefault="00C80BB8" w:rsidP="00C80BB8">
      <w:pPr>
        <w:spacing w:before="120" w:after="0" w:line="240" w:lineRule="auto"/>
        <w:ind w:firstLine="708"/>
        <w:rPr>
          <w:rFonts w:ascii="Times New Roman" w:hAnsi="Times New Roman"/>
          <w:b/>
          <w:bCs/>
          <w:sz w:val="28"/>
          <w:szCs w:val="28"/>
          <w:lang w:eastAsia="uk-UA"/>
        </w:rPr>
      </w:pPr>
      <w:r w:rsidRPr="00133FC3">
        <w:rPr>
          <w:rFonts w:ascii="Times New Roman" w:hAnsi="Times New Roman"/>
          <w:b/>
          <w:bCs/>
          <w:sz w:val="28"/>
          <w:szCs w:val="28"/>
          <w:lang w:eastAsia="uk-UA"/>
        </w:rPr>
        <w:t xml:space="preserve">             України</w:t>
      </w:r>
    </w:p>
    <w:p w:rsidR="00C80BB8" w:rsidRPr="00133FC3" w:rsidRDefault="00C80BB8" w:rsidP="00C80BB8">
      <w:pPr>
        <w:rPr>
          <w:rFonts w:ascii="Times New Roman" w:hAnsi="Times New Roman"/>
          <w:sz w:val="28"/>
          <w:szCs w:val="28"/>
        </w:rPr>
      </w:pPr>
    </w:p>
    <w:p w:rsidR="00BB6A84" w:rsidRPr="00133FC3" w:rsidRDefault="00BB6A84" w:rsidP="00C80BB8">
      <w:pPr>
        <w:spacing w:before="120" w:after="0" w:line="240" w:lineRule="auto"/>
        <w:ind w:firstLine="708"/>
      </w:pPr>
    </w:p>
    <w:sectPr w:rsidR="00BB6A84" w:rsidRPr="00133FC3" w:rsidSect="000B51C5">
      <w:headerReference w:type="default" r:id="rId9"/>
      <w:pgSz w:w="11906" w:h="16838"/>
      <w:pgMar w:top="567"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1911" w:rsidRDefault="00F11911">
      <w:pPr>
        <w:spacing w:after="0" w:line="240" w:lineRule="auto"/>
      </w:pPr>
      <w:r>
        <w:separator/>
      </w:r>
    </w:p>
  </w:endnote>
  <w:endnote w:type="continuationSeparator" w:id="0">
    <w:p w:rsidR="00F11911" w:rsidRDefault="00F11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1911" w:rsidRDefault="00F11911">
      <w:pPr>
        <w:spacing w:after="0" w:line="240" w:lineRule="auto"/>
      </w:pPr>
      <w:r>
        <w:separator/>
      </w:r>
    </w:p>
  </w:footnote>
  <w:footnote w:type="continuationSeparator" w:id="0">
    <w:p w:rsidR="00F11911" w:rsidRDefault="00F119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CBC" w:rsidRDefault="00252BF3">
    <w:pPr>
      <w:pStyle w:val="a4"/>
      <w:jc w:val="center"/>
    </w:pPr>
    <w:r>
      <w:fldChar w:fldCharType="begin"/>
    </w:r>
    <w:r>
      <w:instrText xml:space="preserve"> PAGE   \* MERGEFORMAT </w:instrText>
    </w:r>
    <w:r>
      <w:fldChar w:fldCharType="separate"/>
    </w:r>
    <w:r w:rsidR="007D258C">
      <w:rPr>
        <w:noProof/>
      </w:rPr>
      <w:t>2</w:t>
    </w:r>
    <w:r>
      <w:fldChar w:fldCharType="end"/>
    </w:r>
  </w:p>
  <w:p w:rsidR="000C0CBC" w:rsidRDefault="00F11911">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BF3"/>
    <w:rsid w:val="00023827"/>
    <w:rsid w:val="00133FC3"/>
    <w:rsid w:val="00146052"/>
    <w:rsid w:val="00252BF3"/>
    <w:rsid w:val="00382073"/>
    <w:rsid w:val="00432FF6"/>
    <w:rsid w:val="00591714"/>
    <w:rsid w:val="006465AE"/>
    <w:rsid w:val="00655086"/>
    <w:rsid w:val="006F042C"/>
    <w:rsid w:val="007752C6"/>
    <w:rsid w:val="007A1B97"/>
    <w:rsid w:val="007D258C"/>
    <w:rsid w:val="008F3F0D"/>
    <w:rsid w:val="009109E2"/>
    <w:rsid w:val="009F114A"/>
    <w:rsid w:val="00A54474"/>
    <w:rsid w:val="00A85D82"/>
    <w:rsid w:val="00B76637"/>
    <w:rsid w:val="00BB6A84"/>
    <w:rsid w:val="00C4632B"/>
    <w:rsid w:val="00C571C4"/>
    <w:rsid w:val="00C80BB8"/>
    <w:rsid w:val="00CF1553"/>
    <w:rsid w:val="00D977AE"/>
    <w:rsid w:val="00E129A0"/>
    <w:rsid w:val="00EF3385"/>
    <w:rsid w:val="00F11911"/>
    <w:rsid w:val="00F12D1D"/>
    <w:rsid w:val="00F411E6"/>
    <w:rsid w:val="00F84E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FE6D08-E992-445F-B533-C63CCC139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2BF3"/>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uiPriority w:val="99"/>
    <w:rsid w:val="00252BF3"/>
    <w:pPr>
      <w:keepNext/>
      <w:keepLines/>
      <w:spacing w:before="360" w:after="360" w:line="240" w:lineRule="auto"/>
      <w:jc w:val="center"/>
    </w:pPr>
    <w:rPr>
      <w:rFonts w:ascii="Antiqua" w:hAnsi="Antiqua"/>
      <w:b/>
      <w:sz w:val="26"/>
      <w:szCs w:val="20"/>
      <w:lang w:eastAsia="ru-RU"/>
    </w:rPr>
  </w:style>
  <w:style w:type="paragraph" w:styleId="a4">
    <w:name w:val="header"/>
    <w:basedOn w:val="a"/>
    <w:link w:val="a5"/>
    <w:uiPriority w:val="99"/>
    <w:rsid w:val="00252BF3"/>
    <w:pPr>
      <w:tabs>
        <w:tab w:val="center" w:pos="4819"/>
        <w:tab w:val="right" w:pos="9639"/>
      </w:tabs>
      <w:spacing w:after="0" w:line="240" w:lineRule="auto"/>
      <w:jc w:val="both"/>
    </w:pPr>
    <w:rPr>
      <w:rFonts w:ascii="Times New Roman" w:hAnsi="Times New Roman"/>
      <w:sz w:val="28"/>
      <w:szCs w:val="20"/>
      <w:lang w:eastAsia="uk-UA"/>
    </w:rPr>
  </w:style>
  <w:style w:type="character" w:customStyle="1" w:styleId="a5">
    <w:name w:val="Верхній колонтитул Знак"/>
    <w:basedOn w:val="a0"/>
    <w:link w:val="a4"/>
    <w:uiPriority w:val="99"/>
    <w:rsid w:val="00252BF3"/>
    <w:rPr>
      <w:rFonts w:ascii="Times New Roman" w:eastAsia="Times New Roman" w:hAnsi="Times New Roman" w:cs="Times New Roman"/>
      <w:sz w:val="28"/>
      <w:szCs w:val="20"/>
      <w:lang w:val="uk-UA" w:eastAsia="uk-UA"/>
    </w:rPr>
  </w:style>
  <w:style w:type="paragraph" w:styleId="a6">
    <w:name w:val="Balloon Text"/>
    <w:basedOn w:val="a"/>
    <w:link w:val="a7"/>
    <w:uiPriority w:val="99"/>
    <w:semiHidden/>
    <w:unhideWhenUsed/>
    <w:rsid w:val="00B76637"/>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B7663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3B94AF-B11C-4ACF-8FB4-56E297B12179}">
  <ds:schemaRefs>
    <ds:schemaRef ds:uri="http://schemas.microsoft.com/sharepoint/v3/contenttype/forms"/>
  </ds:schemaRefs>
</ds:datastoreItem>
</file>

<file path=customXml/itemProps2.xml><?xml version="1.0" encoding="utf-8"?>
<ds:datastoreItem xmlns:ds="http://schemas.openxmlformats.org/officeDocument/2006/customXml" ds:itemID="{7E269C15-9B59-43F8-AE30-DF7623793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6B92E1-79FD-4CF1-9046-42CC06A9674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7008</Words>
  <Characters>3995</Characters>
  <Application>Microsoft Office Word</Application>
  <DocSecurity>0</DocSecurity>
  <Lines>33</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2021-06-23T12:19:00Z</dcterms:created>
  <dcterms:modified xsi:type="dcterms:W3CDTF">2021-06-23T12:19:00Z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