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20AF" w:rsidRPr="00C618FD" w:rsidRDefault="00D820AF" w:rsidP="00D820AF">
      <w:pPr>
        <w:jc w:val="center"/>
        <w:rPr>
          <w:rFonts w:ascii="Times New Roman" w:hAnsi="Times New Roman"/>
          <w:b/>
          <w:sz w:val="28"/>
          <w:szCs w:val="28"/>
          <w:lang w:val="uk-UA"/>
        </w:rPr>
      </w:pPr>
      <w:bookmarkStart w:id="0" w:name="_GoBack"/>
      <w:bookmarkEnd w:id="0"/>
      <w:r w:rsidRPr="00C618FD">
        <w:rPr>
          <w:rFonts w:ascii="Times New Roman" w:hAnsi="Times New Roman"/>
          <w:b/>
          <w:sz w:val="28"/>
          <w:szCs w:val="28"/>
          <w:lang w:val="uk-UA"/>
        </w:rPr>
        <w:t>Порівняльна таблиця</w:t>
      </w:r>
      <w:r w:rsidRPr="00C618FD">
        <w:rPr>
          <w:rFonts w:ascii="Times New Roman" w:hAnsi="Times New Roman"/>
          <w:b/>
          <w:sz w:val="28"/>
          <w:szCs w:val="28"/>
          <w:lang w:val="uk-UA"/>
        </w:rPr>
        <w:br/>
        <w:t xml:space="preserve">до проекту Закону України </w:t>
      </w:r>
      <w:r w:rsidR="00674FC0">
        <w:rPr>
          <w:rFonts w:ascii="Times New Roman" w:hAnsi="Times New Roman"/>
          <w:b/>
          <w:sz w:val="28"/>
          <w:szCs w:val="28"/>
          <w:lang w:val="uk-UA"/>
        </w:rPr>
        <w:t>«П</w:t>
      </w:r>
      <w:r w:rsidRPr="00C618FD">
        <w:rPr>
          <w:rFonts w:ascii="Times New Roman" w:hAnsi="Times New Roman"/>
          <w:b/>
          <w:sz w:val="28"/>
          <w:szCs w:val="28"/>
          <w:lang w:val="uk-UA"/>
        </w:rPr>
        <w:t>ро внесення змін до Податкового кодексу України щодо створення сприятливих умов для залучення масштабних інве</w:t>
      </w:r>
      <w:r w:rsidR="00674FC0">
        <w:rPr>
          <w:rFonts w:ascii="Times New Roman" w:hAnsi="Times New Roman"/>
          <w:b/>
          <w:sz w:val="28"/>
          <w:szCs w:val="28"/>
          <w:lang w:val="uk-UA"/>
        </w:rPr>
        <w:t>стицій у промислове виробництво»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2"/>
        <w:gridCol w:w="7596"/>
      </w:tblGrid>
      <w:tr w:rsidR="00D820AF" w:rsidRPr="00C618FD" w:rsidTr="002170FA">
        <w:tc>
          <w:tcPr>
            <w:tcW w:w="7792" w:type="dxa"/>
            <w:shd w:val="clear" w:color="auto" w:fill="auto"/>
          </w:tcPr>
          <w:p w:rsidR="00D820AF" w:rsidRPr="00C618FD" w:rsidRDefault="00D820AF" w:rsidP="002170FA">
            <w:pPr>
              <w:pStyle w:val="StyleZakonu"/>
              <w:spacing w:before="60" w:line="276" w:lineRule="auto"/>
              <w:ind w:firstLine="0"/>
              <w:jc w:val="center"/>
              <w:rPr>
                <w:b/>
                <w:sz w:val="28"/>
                <w:szCs w:val="28"/>
              </w:rPr>
            </w:pPr>
            <w:r w:rsidRPr="00C618FD">
              <w:rPr>
                <w:b/>
                <w:sz w:val="28"/>
                <w:szCs w:val="28"/>
              </w:rPr>
              <w:t>Зміст положення (норми) чинного акта законодавства</w:t>
            </w:r>
          </w:p>
        </w:tc>
        <w:tc>
          <w:tcPr>
            <w:tcW w:w="7596" w:type="dxa"/>
            <w:shd w:val="clear" w:color="auto" w:fill="auto"/>
          </w:tcPr>
          <w:p w:rsidR="00D820AF" w:rsidRPr="00C618FD" w:rsidRDefault="00D820AF" w:rsidP="002170FA">
            <w:pPr>
              <w:pStyle w:val="StyleZakonu"/>
              <w:spacing w:before="60" w:line="276" w:lineRule="auto"/>
              <w:ind w:firstLine="0"/>
              <w:jc w:val="center"/>
              <w:rPr>
                <w:b/>
                <w:sz w:val="28"/>
                <w:szCs w:val="28"/>
              </w:rPr>
            </w:pPr>
            <w:r w:rsidRPr="00C618FD">
              <w:rPr>
                <w:b/>
                <w:sz w:val="28"/>
                <w:szCs w:val="28"/>
              </w:rPr>
              <w:t>Зміст відповідного положення (норми) проекту акта</w:t>
            </w:r>
          </w:p>
        </w:tc>
      </w:tr>
      <w:tr w:rsidR="00D820AF" w:rsidRPr="00C618FD" w:rsidTr="002170FA">
        <w:tc>
          <w:tcPr>
            <w:tcW w:w="0" w:type="auto"/>
            <w:gridSpan w:val="2"/>
            <w:shd w:val="clear" w:color="auto" w:fill="auto"/>
          </w:tcPr>
          <w:p w:rsidR="00D820AF" w:rsidRPr="00C618FD" w:rsidRDefault="00D820AF" w:rsidP="002170FA">
            <w:pPr>
              <w:pStyle w:val="StyleZakonu"/>
              <w:spacing w:before="60" w:line="276" w:lineRule="auto"/>
              <w:ind w:firstLine="486"/>
              <w:jc w:val="center"/>
              <w:rPr>
                <w:b/>
                <w:sz w:val="28"/>
                <w:szCs w:val="28"/>
              </w:rPr>
            </w:pPr>
            <w:r w:rsidRPr="00C618FD">
              <w:rPr>
                <w:rFonts w:cs="Calibri"/>
                <w:b/>
                <w:sz w:val="28"/>
                <w:szCs w:val="28"/>
              </w:rPr>
              <w:t>Податковий кодекс України</w:t>
            </w:r>
          </w:p>
        </w:tc>
      </w:tr>
      <w:tr w:rsidR="00D820AF" w:rsidRPr="00C618FD" w:rsidTr="002170FA">
        <w:tc>
          <w:tcPr>
            <w:tcW w:w="0" w:type="auto"/>
            <w:gridSpan w:val="2"/>
            <w:shd w:val="clear" w:color="auto" w:fill="auto"/>
          </w:tcPr>
          <w:p w:rsidR="00D820AF" w:rsidRPr="00C618FD" w:rsidRDefault="00D820AF" w:rsidP="002170FA">
            <w:pPr>
              <w:pStyle w:val="StyleZakonu"/>
              <w:spacing w:before="60" w:line="276" w:lineRule="auto"/>
              <w:ind w:firstLine="486"/>
              <w:jc w:val="center"/>
              <w:rPr>
                <w:sz w:val="28"/>
                <w:szCs w:val="28"/>
              </w:rPr>
            </w:pPr>
            <w:r w:rsidRPr="00C618FD">
              <w:rPr>
                <w:rStyle w:val="rvts9"/>
                <w:b/>
                <w:bCs/>
                <w:color w:val="333333"/>
                <w:sz w:val="28"/>
                <w:szCs w:val="28"/>
                <w:shd w:val="clear" w:color="auto" w:fill="FFFFFF"/>
              </w:rPr>
              <w:t>Стаття 142.</w:t>
            </w:r>
            <w:r w:rsidRPr="00C618FD">
              <w:rPr>
                <w:color w:val="333333"/>
                <w:sz w:val="28"/>
                <w:szCs w:val="28"/>
                <w:shd w:val="clear" w:color="auto" w:fill="FFFFFF"/>
              </w:rPr>
              <w:t> Звільнення від оподаткування</w:t>
            </w:r>
          </w:p>
        </w:tc>
      </w:tr>
      <w:tr w:rsidR="00D820AF" w:rsidRPr="008D5077" w:rsidTr="002170FA">
        <w:tc>
          <w:tcPr>
            <w:tcW w:w="7792" w:type="dxa"/>
            <w:shd w:val="clear" w:color="auto" w:fill="auto"/>
          </w:tcPr>
          <w:p w:rsidR="00F44C70" w:rsidRPr="008D5077" w:rsidRDefault="00F44C70" w:rsidP="002170FA">
            <w:pPr>
              <w:pStyle w:val="StyleZakonu"/>
              <w:spacing w:before="60" w:line="276" w:lineRule="auto"/>
              <w:ind w:firstLine="540"/>
              <w:rPr>
                <w:rFonts w:cs="Calibri"/>
                <w:sz w:val="28"/>
                <w:szCs w:val="28"/>
              </w:rPr>
            </w:pPr>
            <w:r w:rsidRPr="008D5077">
              <w:rPr>
                <w:rFonts w:cs="Calibri"/>
                <w:sz w:val="28"/>
                <w:szCs w:val="28"/>
              </w:rPr>
              <w:t>…</w:t>
            </w:r>
          </w:p>
          <w:p w:rsidR="00D820AF" w:rsidRPr="008D5077" w:rsidRDefault="00D820AF" w:rsidP="002170FA">
            <w:pPr>
              <w:pStyle w:val="StyleZakonu"/>
              <w:spacing w:before="60" w:line="276" w:lineRule="auto"/>
              <w:ind w:firstLine="540"/>
              <w:rPr>
                <w:rFonts w:cs="Calibri"/>
                <w:sz w:val="28"/>
                <w:szCs w:val="28"/>
              </w:rPr>
            </w:pPr>
            <w:r w:rsidRPr="008D5077">
              <w:rPr>
                <w:rFonts w:cs="Calibri"/>
                <w:b/>
                <w:sz w:val="28"/>
                <w:szCs w:val="28"/>
              </w:rPr>
              <w:t>142.4.</w:t>
            </w:r>
            <w:r w:rsidRPr="008D5077">
              <w:rPr>
                <w:rFonts w:cs="Calibri"/>
                <w:sz w:val="28"/>
                <w:szCs w:val="28"/>
              </w:rPr>
              <w:t xml:space="preserve"> </w:t>
            </w:r>
            <w:r w:rsidRPr="008D5077">
              <w:rPr>
                <w:rFonts w:cs="Calibri"/>
                <w:b/>
                <w:sz w:val="28"/>
                <w:szCs w:val="28"/>
              </w:rPr>
              <w:t xml:space="preserve">Відсутній </w:t>
            </w:r>
          </w:p>
        </w:tc>
        <w:tc>
          <w:tcPr>
            <w:tcW w:w="7596" w:type="dxa"/>
            <w:shd w:val="clear" w:color="auto" w:fill="auto"/>
          </w:tcPr>
          <w:p w:rsidR="00F44C70" w:rsidRPr="008D5077" w:rsidRDefault="00F44C70" w:rsidP="002170FA">
            <w:pPr>
              <w:pStyle w:val="StyleZakonu"/>
              <w:spacing w:before="60" w:line="276" w:lineRule="auto"/>
              <w:ind w:firstLine="486"/>
              <w:rPr>
                <w:sz w:val="28"/>
                <w:szCs w:val="28"/>
              </w:rPr>
            </w:pPr>
            <w:r w:rsidRPr="008D5077">
              <w:rPr>
                <w:sz w:val="28"/>
                <w:szCs w:val="28"/>
              </w:rPr>
              <w:t>…</w:t>
            </w:r>
          </w:p>
          <w:p w:rsidR="00D820AF" w:rsidRPr="008D5077" w:rsidRDefault="00D820AF" w:rsidP="002170FA">
            <w:pPr>
              <w:pStyle w:val="StyleZakonu"/>
              <w:spacing w:before="60" w:line="276" w:lineRule="auto"/>
              <w:ind w:firstLine="486"/>
              <w:rPr>
                <w:b/>
                <w:sz w:val="28"/>
                <w:szCs w:val="28"/>
              </w:rPr>
            </w:pPr>
            <w:r w:rsidRPr="008D5077">
              <w:rPr>
                <w:b/>
                <w:sz w:val="28"/>
                <w:szCs w:val="28"/>
              </w:rPr>
              <w:t>142.4. Прибуток учасника індустріального парку, включеного до Реєстру індустріальних парків, від здійснення господарської діяльності у сферах переробної промисловості (</w:t>
            </w:r>
            <w:r w:rsidRPr="008D5077">
              <w:rPr>
                <w:b/>
                <w:sz w:val="28"/>
                <w:szCs w:val="28"/>
                <w:shd w:val="clear" w:color="auto" w:fill="FFFFFF"/>
              </w:rPr>
              <w:t>розділ 10, клас 11.07 розділу 11, розділи 13-17, 19-33, крім виробництва підакцизних товарів), або науково-дослідної діяльності (розділ 72 КВЕД 009:2010) виключно на території (в межах) індустріальних парків</w:t>
            </w:r>
            <w:r w:rsidRPr="008D5077">
              <w:rPr>
                <w:b/>
                <w:sz w:val="28"/>
                <w:szCs w:val="28"/>
              </w:rPr>
              <w:t xml:space="preserve">, звільняється від оподаткування податком на прибуток підприємств протягом </w:t>
            </w:r>
            <w:r w:rsidR="006A2BB7" w:rsidRPr="008D5077">
              <w:rPr>
                <w:b/>
                <w:sz w:val="28"/>
                <w:szCs w:val="28"/>
              </w:rPr>
              <w:t>десяти</w:t>
            </w:r>
            <w:r w:rsidRPr="008D5077">
              <w:rPr>
                <w:b/>
                <w:sz w:val="28"/>
                <w:szCs w:val="28"/>
              </w:rPr>
              <w:t xml:space="preserve"> послідовних років починаючи з першого числа першого місяця календарного кварталу, який визначено платником податку – учасником індустріального парку у поданій ним до контролюючого органу за місцем реєстрації такого платника податку у довільній формі заяві про використання права на застосування передбаченого цим пунктом звільнення, але не раніше дати подання такої заяви. </w:t>
            </w:r>
          </w:p>
          <w:p w:rsidR="00D820AF" w:rsidRPr="008D5077" w:rsidRDefault="00D820AF" w:rsidP="002170FA">
            <w:pPr>
              <w:pStyle w:val="StyleZakonu"/>
              <w:spacing w:before="60" w:line="276" w:lineRule="auto"/>
              <w:ind w:firstLine="486"/>
              <w:rPr>
                <w:b/>
                <w:sz w:val="28"/>
                <w:szCs w:val="28"/>
              </w:rPr>
            </w:pPr>
            <w:r w:rsidRPr="008D5077">
              <w:rPr>
                <w:b/>
                <w:sz w:val="28"/>
                <w:szCs w:val="28"/>
              </w:rPr>
              <w:lastRenderedPageBreak/>
              <w:t>У разі якщо контролюючим органом протягом десяти робочих днів з дня отримання заяви не надано відмову про застосування звільнення, визначеного цим пунктом, така заява вважається прийнятою. Заява подається платником у порядку, визначеному </w:t>
            </w:r>
            <w:hyperlink r:id="rId9" w:anchor="n1097" w:tgtFrame="_blank" w:history="1">
              <w:r w:rsidRPr="008D5077">
                <w:rPr>
                  <w:b/>
                  <w:sz w:val="28"/>
                  <w:szCs w:val="28"/>
                </w:rPr>
                <w:t>пунктом 42.4</w:t>
              </w:r>
            </w:hyperlink>
            <w:r w:rsidRPr="008D5077">
              <w:rPr>
                <w:b/>
                <w:sz w:val="28"/>
                <w:szCs w:val="28"/>
              </w:rPr>
              <w:t> статті 42 цього Кодексу. Повідомлення про відмову у наданні звільнення надається контролюючим органом у порядку, визначеному </w:t>
            </w:r>
            <w:hyperlink r:id="rId10" w:anchor="n1097" w:tgtFrame="_blank" w:history="1">
              <w:r w:rsidRPr="008D5077">
                <w:rPr>
                  <w:b/>
                  <w:sz w:val="28"/>
                  <w:szCs w:val="28"/>
                </w:rPr>
                <w:t>пунктом 42.4</w:t>
              </w:r>
            </w:hyperlink>
            <w:r w:rsidRPr="008D5077">
              <w:rPr>
                <w:b/>
                <w:sz w:val="28"/>
                <w:szCs w:val="28"/>
              </w:rPr>
              <w:t> статті 42 цього Кодексу.</w:t>
            </w:r>
          </w:p>
          <w:p w:rsidR="008975E4" w:rsidRPr="008D5077" w:rsidRDefault="008975E4" w:rsidP="008975E4">
            <w:pPr>
              <w:pStyle w:val="StyleZakonu"/>
              <w:spacing w:before="60" w:line="276" w:lineRule="auto"/>
              <w:ind w:firstLine="486"/>
              <w:rPr>
                <w:b/>
                <w:sz w:val="28"/>
                <w:szCs w:val="28"/>
              </w:rPr>
            </w:pPr>
            <w:r w:rsidRPr="008D5077">
              <w:rPr>
                <w:b/>
                <w:sz w:val="28"/>
                <w:szCs w:val="28"/>
              </w:rPr>
              <w:t>Застосування правил оподаткування цього пункту допускається за умови що учасник індустріального парку матиме статус такого учасника впродовж не менше 10 років і протягом цих 10 років:</w:t>
            </w:r>
          </w:p>
          <w:p w:rsidR="008975E4" w:rsidRPr="008D5077" w:rsidRDefault="008975E4" w:rsidP="008975E4">
            <w:pPr>
              <w:pStyle w:val="StyleZakonu"/>
              <w:spacing w:before="60" w:line="276" w:lineRule="auto"/>
              <w:ind w:firstLine="486"/>
              <w:rPr>
                <w:b/>
                <w:sz w:val="28"/>
                <w:szCs w:val="28"/>
              </w:rPr>
            </w:pPr>
            <w:r w:rsidRPr="008D5077">
              <w:rPr>
                <w:b/>
                <w:sz w:val="28"/>
                <w:szCs w:val="28"/>
              </w:rPr>
              <w:t>здійснює господарську діяльність виключно на території і в межах індустріального парку. Для підтвердження статусу учасника індустріального парку застосовуються дані з Реєстру індустріальних парків.</w:t>
            </w:r>
          </w:p>
          <w:p w:rsidR="008975E4" w:rsidRPr="008D5077" w:rsidRDefault="008975E4" w:rsidP="008975E4">
            <w:pPr>
              <w:pStyle w:val="StyleZakonu"/>
              <w:spacing w:before="60" w:line="276" w:lineRule="auto"/>
              <w:ind w:firstLine="486"/>
              <w:rPr>
                <w:b/>
                <w:sz w:val="28"/>
                <w:szCs w:val="28"/>
              </w:rPr>
            </w:pPr>
            <w:r w:rsidRPr="008D5077">
              <w:rPr>
                <w:b/>
                <w:sz w:val="28"/>
                <w:szCs w:val="28"/>
              </w:rPr>
              <w:t>не нараховує і не виплачує дивіденди (</w:t>
            </w:r>
            <w:r w:rsidR="008D5077" w:rsidRPr="008D5077">
              <w:rPr>
                <w:b/>
                <w:sz w:val="28"/>
                <w:szCs w:val="28"/>
              </w:rPr>
              <w:t>прирівняні</w:t>
            </w:r>
            <w:r w:rsidRPr="008D5077">
              <w:rPr>
                <w:b/>
                <w:sz w:val="28"/>
                <w:szCs w:val="28"/>
              </w:rPr>
              <w:t xml:space="preserve"> до них платежі) на користь власника корпоративних прав. </w:t>
            </w:r>
          </w:p>
          <w:p w:rsidR="008975E4" w:rsidRPr="008D5077" w:rsidRDefault="008975E4" w:rsidP="008975E4">
            <w:pPr>
              <w:pStyle w:val="StyleZakonu"/>
              <w:spacing w:before="60" w:line="276" w:lineRule="auto"/>
              <w:ind w:firstLine="486"/>
              <w:rPr>
                <w:b/>
                <w:sz w:val="28"/>
                <w:szCs w:val="28"/>
              </w:rPr>
            </w:pPr>
            <w:r w:rsidRPr="008D5077">
              <w:rPr>
                <w:b/>
                <w:sz w:val="28"/>
                <w:szCs w:val="28"/>
              </w:rPr>
              <w:t xml:space="preserve">Отриманий прибуток направляється на розвиток діяльності учасника індустріального парку в межах індустріального парку. Порядок використання прибутку на розвиток індустріального парку, затверджується Кабінетом Міністрів України. Не використання коштів отриманого прибутку на розвиток індустріального парку </w:t>
            </w:r>
            <w:r w:rsidRPr="008D5077">
              <w:rPr>
                <w:b/>
                <w:sz w:val="28"/>
                <w:szCs w:val="28"/>
              </w:rPr>
              <w:lastRenderedPageBreak/>
              <w:t>є підставою  для втрати статусу учасника індустріального парку.</w:t>
            </w:r>
          </w:p>
          <w:p w:rsidR="00D820AF" w:rsidRPr="008D5077" w:rsidRDefault="00D820AF" w:rsidP="002170FA">
            <w:pPr>
              <w:pStyle w:val="StyleZakonu"/>
              <w:spacing w:before="60" w:line="276" w:lineRule="auto"/>
              <w:ind w:firstLine="486"/>
              <w:rPr>
                <w:b/>
                <w:sz w:val="28"/>
                <w:szCs w:val="28"/>
              </w:rPr>
            </w:pPr>
            <w:r w:rsidRPr="008D5077">
              <w:rPr>
                <w:b/>
                <w:sz w:val="28"/>
                <w:szCs w:val="28"/>
              </w:rPr>
              <w:t>Центральний орган виконавчої влади, що реалізує державну податкову політику, та центральний орган виконавчої влади, що реалізує державну політику щодо створення і функціонування індустріальних парків на території України, здійснюють автоматичний обмін інформацією, що міститься/має міститися в Реєстрі індустріальних парків, у тому числі щодо переліку учасників індустріальних парків, в обсязі та порядку, визначених центральним органом виконавчої влади, що забезпечує формування та реалізує державну фінансову політику, за погодженням з центральним органом виконавчої влади, що забезпечує формування та реалізує державну інвестиційну політику.</w:t>
            </w:r>
          </w:p>
          <w:p w:rsidR="00D820AF" w:rsidRPr="008D5077" w:rsidRDefault="00D820AF" w:rsidP="002170FA">
            <w:pPr>
              <w:pStyle w:val="StyleZakonu"/>
              <w:spacing w:before="60" w:line="276" w:lineRule="auto"/>
              <w:ind w:firstLine="486"/>
              <w:rPr>
                <w:b/>
                <w:sz w:val="28"/>
                <w:szCs w:val="28"/>
              </w:rPr>
            </w:pPr>
            <w:r w:rsidRPr="008D5077">
              <w:rPr>
                <w:b/>
                <w:sz w:val="28"/>
                <w:szCs w:val="28"/>
              </w:rPr>
              <w:t>Для платників, визначених цим пунктом, податковими (звітними) періодами є календарні: квартал, півріччя, три квартали, рік. При цьому податкова декларація розраховується наростаючим підсумком. Платники, визначені цим пунктом, не можуть застосовувати виключно річний податковий (звітний) період.</w:t>
            </w:r>
          </w:p>
          <w:p w:rsidR="00D820AF" w:rsidRPr="008D5077" w:rsidRDefault="00D820AF" w:rsidP="002170FA">
            <w:pPr>
              <w:pStyle w:val="StyleZakonu"/>
              <w:spacing w:before="60" w:line="276" w:lineRule="auto"/>
              <w:ind w:firstLine="486"/>
              <w:rPr>
                <w:b/>
                <w:sz w:val="28"/>
                <w:szCs w:val="28"/>
              </w:rPr>
            </w:pPr>
            <w:r w:rsidRPr="008D5077">
              <w:rPr>
                <w:b/>
                <w:sz w:val="28"/>
                <w:szCs w:val="28"/>
              </w:rPr>
              <w:t xml:space="preserve">У разі дострокового припинення (втрати) статусу учасника індустріального парку або перебування у статусі учасника індустріального парку менше 10 років платник </w:t>
            </w:r>
            <w:r w:rsidRPr="008D5077">
              <w:rPr>
                <w:b/>
                <w:sz w:val="28"/>
                <w:szCs w:val="28"/>
              </w:rPr>
              <w:lastRenderedPageBreak/>
              <w:t>податку втрачає право на застосування встановлених цим пунктом правил оподаткування. При цьому такий платник зобов’язаний за підсумками податкового (звітного) періоду, в якому припинений (втрачений) статус учасника індустріального парку, визначити податкове зобов’язання з податку на прибуток підприємств у загальному порядку.</w:t>
            </w:r>
            <w:bookmarkStart w:id="1" w:name="n39"/>
            <w:bookmarkEnd w:id="1"/>
          </w:p>
          <w:p w:rsidR="00D820AF" w:rsidRPr="008D5077" w:rsidRDefault="00D820AF" w:rsidP="002170FA">
            <w:pPr>
              <w:pStyle w:val="StyleZakonu"/>
              <w:spacing w:before="60" w:line="276" w:lineRule="auto"/>
              <w:ind w:firstLine="486"/>
              <w:rPr>
                <w:b/>
                <w:sz w:val="28"/>
                <w:szCs w:val="28"/>
              </w:rPr>
            </w:pPr>
            <w:r w:rsidRPr="008D5077">
              <w:rPr>
                <w:b/>
                <w:sz w:val="28"/>
                <w:szCs w:val="28"/>
              </w:rPr>
              <w:t xml:space="preserve">За всі інші попередні періоди застосування звільнення від податку на прибуток підприємств відповідно до цього пункту платник податку зобов’язаний у строк, визначений для квартального податкового (звітного) періоду, починаючи з першого дня місяця, наступного за місяцем, у якому припинений (втрачений) статус учасника індустріального парку, подати уточнюючу (уточнюючі) податкову декларацію з податку на прибуток підприємств, нарахувати та сплатити податкове зобов’язання з податку на прибуток підприємств, штрафні санкції та пеню відповідно до норм цього Кодексу. </w:t>
            </w:r>
          </w:p>
        </w:tc>
      </w:tr>
      <w:tr w:rsidR="00D820AF" w:rsidRPr="008D5077" w:rsidTr="002170FA">
        <w:tc>
          <w:tcPr>
            <w:tcW w:w="7792" w:type="dxa"/>
            <w:shd w:val="clear" w:color="auto" w:fill="auto"/>
          </w:tcPr>
          <w:p w:rsidR="00D820AF" w:rsidRPr="008D5077" w:rsidRDefault="00D820AF" w:rsidP="002170FA">
            <w:pPr>
              <w:pStyle w:val="StyleZakonu"/>
              <w:spacing w:before="60" w:line="276" w:lineRule="auto"/>
              <w:ind w:firstLine="540"/>
              <w:rPr>
                <w:rFonts w:cs="Calibri"/>
                <w:sz w:val="28"/>
                <w:szCs w:val="28"/>
              </w:rPr>
            </w:pPr>
          </w:p>
        </w:tc>
        <w:tc>
          <w:tcPr>
            <w:tcW w:w="7596" w:type="dxa"/>
            <w:shd w:val="clear" w:color="auto" w:fill="auto"/>
          </w:tcPr>
          <w:p w:rsidR="00D820AF" w:rsidRPr="008D5077" w:rsidRDefault="00D820AF" w:rsidP="002170FA">
            <w:pPr>
              <w:pStyle w:val="rvps2"/>
              <w:shd w:val="clear" w:color="auto" w:fill="FFFFFF"/>
              <w:spacing w:before="0" w:beforeAutospacing="0" w:after="150" w:afterAutospacing="0"/>
              <w:ind w:firstLine="450"/>
              <w:jc w:val="both"/>
              <w:rPr>
                <w:b/>
                <w:sz w:val="28"/>
                <w:szCs w:val="28"/>
                <w:lang w:eastAsia="ru-RU"/>
              </w:rPr>
            </w:pPr>
            <w:r w:rsidRPr="008D5077">
              <w:rPr>
                <w:b/>
                <w:sz w:val="28"/>
                <w:szCs w:val="28"/>
                <w:lang w:eastAsia="ru-RU"/>
              </w:rPr>
              <w:t xml:space="preserve">Незалежно від особливостей, визначених цим пунктом, якщо платник податку – учасник індустріального парку здійснює в рамках господарської діяльності </w:t>
            </w:r>
            <w:r w:rsidRPr="008D5077">
              <w:rPr>
                <w:b/>
                <w:sz w:val="28"/>
                <w:szCs w:val="28"/>
              </w:rPr>
              <w:t>у сферах переробної промисловості (</w:t>
            </w:r>
            <w:r w:rsidRPr="008D5077">
              <w:rPr>
                <w:b/>
                <w:sz w:val="28"/>
                <w:szCs w:val="28"/>
                <w:shd w:val="clear" w:color="auto" w:fill="FFFFFF"/>
              </w:rPr>
              <w:t>розділ 10, клас 11.07 розділу 11, розділи 13-17, 19-33, крім виробництва підакцизних товарів), або науково-дослідної діяльності (розділ 72 КВЕД 009:2010)</w:t>
            </w:r>
            <w:r w:rsidRPr="008D5077">
              <w:rPr>
                <w:b/>
                <w:sz w:val="28"/>
                <w:szCs w:val="28"/>
                <w:lang w:eastAsia="ru-RU"/>
              </w:rPr>
              <w:t>, операції, визначені </w:t>
            </w:r>
            <w:hyperlink r:id="rId11" w:anchor="n1031" w:tgtFrame="_blank" w:history="1">
              <w:r w:rsidRPr="008D5077">
                <w:rPr>
                  <w:b/>
                  <w:sz w:val="28"/>
                  <w:szCs w:val="28"/>
                  <w:lang w:eastAsia="ru-RU"/>
                </w:rPr>
                <w:t>статтею 39</w:t>
              </w:r>
            </w:hyperlink>
            <w:r w:rsidRPr="008D5077">
              <w:rPr>
                <w:b/>
                <w:sz w:val="28"/>
                <w:szCs w:val="28"/>
                <w:lang w:eastAsia="ru-RU"/>
              </w:rPr>
              <w:t xml:space="preserve"> цього Кодексу, об’єкт </w:t>
            </w:r>
            <w:r w:rsidRPr="008D5077">
              <w:rPr>
                <w:b/>
                <w:sz w:val="28"/>
                <w:szCs w:val="28"/>
                <w:lang w:eastAsia="ru-RU"/>
              </w:rPr>
              <w:lastRenderedPageBreak/>
              <w:t>оподаткування податком на прибуток підприємств, що оподатковується за базовою (основною) ставкою, визначається окремо на рівні:</w:t>
            </w:r>
          </w:p>
          <w:p w:rsidR="00D820AF" w:rsidRPr="008D5077" w:rsidRDefault="00D820AF" w:rsidP="002170FA">
            <w:pPr>
              <w:pStyle w:val="rvps2"/>
              <w:shd w:val="clear" w:color="auto" w:fill="FFFFFF"/>
              <w:spacing w:before="0" w:beforeAutospacing="0" w:after="150" w:afterAutospacing="0"/>
              <w:ind w:firstLine="450"/>
              <w:jc w:val="both"/>
              <w:rPr>
                <w:b/>
                <w:sz w:val="28"/>
                <w:szCs w:val="28"/>
                <w:lang w:eastAsia="ru-RU"/>
              </w:rPr>
            </w:pPr>
            <w:bookmarkStart w:id="2" w:name="n34"/>
            <w:bookmarkEnd w:id="2"/>
            <w:r w:rsidRPr="008D5077">
              <w:rPr>
                <w:b/>
                <w:sz w:val="28"/>
                <w:szCs w:val="28"/>
                <w:lang w:eastAsia="ru-RU"/>
              </w:rPr>
              <w:t>перевищення ціни, визначеної за принципом "витягнутої руки", над договірною (контрактною) вартістю (вартістю, за якою відповідна операція повинна відображатися відповідно до національних положень (стандартів) бухгалтерського обліку або міжнародних стандартів фінансової звітності) реалізованих товарів (робіт, послуг);</w:t>
            </w:r>
          </w:p>
          <w:p w:rsidR="00D820AF" w:rsidRPr="008D5077" w:rsidRDefault="00D820AF" w:rsidP="002170FA">
            <w:pPr>
              <w:pStyle w:val="rvps2"/>
              <w:shd w:val="clear" w:color="auto" w:fill="FFFFFF"/>
              <w:spacing w:before="0" w:beforeAutospacing="0" w:after="150" w:afterAutospacing="0"/>
              <w:ind w:firstLine="450"/>
              <w:jc w:val="both"/>
              <w:rPr>
                <w:b/>
                <w:sz w:val="28"/>
                <w:szCs w:val="28"/>
                <w:lang w:eastAsia="ru-RU"/>
              </w:rPr>
            </w:pPr>
            <w:bookmarkStart w:id="3" w:name="n35"/>
            <w:bookmarkEnd w:id="3"/>
            <w:r w:rsidRPr="008D5077">
              <w:rPr>
                <w:b/>
                <w:sz w:val="28"/>
                <w:szCs w:val="28"/>
                <w:lang w:eastAsia="ru-RU"/>
              </w:rPr>
              <w:t>перевищення договірної (контрактної) вартості (вартості, за якою відповідна операція повинна відображатися відповідно до національних положень (стандартів) бухгалтерського обліку або міжнародних стандартів фінансової звітності) придбаних товарів (робіт, послуг) над ціною, визначеною за принципом "витягнутої руки".</w:t>
            </w:r>
          </w:p>
          <w:p w:rsidR="00D820AF" w:rsidRPr="008D5077" w:rsidRDefault="00D820AF" w:rsidP="002170FA">
            <w:pPr>
              <w:pStyle w:val="rvps2"/>
              <w:shd w:val="clear" w:color="auto" w:fill="FFFFFF"/>
              <w:spacing w:before="0" w:beforeAutospacing="0" w:after="150" w:afterAutospacing="0"/>
              <w:ind w:firstLine="450"/>
              <w:jc w:val="both"/>
              <w:rPr>
                <w:b/>
                <w:sz w:val="28"/>
                <w:szCs w:val="28"/>
                <w:lang w:eastAsia="ru-RU"/>
              </w:rPr>
            </w:pPr>
            <w:bookmarkStart w:id="4" w:name="n36"/>
            <w:bookmarkEnd w:id="4"/>
            <w:r w:rsidRPr="008D5077">
              <w:rPr>
                <w:b/>
                <w:sz w:val="28"/>
                <w:szCs w:val="28"/>
                <w:lang w:eastAsia="ru-RU"/>
              </w:rPr>
              <w:t>Якщо платник податку учасник індустріального парку є контролюючою особою, окремим об’єктом оподаткування податком на прибуток підприємств, що оподатковується за базовою (основною) ставкою, є скоригований прибуток контрольованої іноземної компанії, визначений відповідно до статті 39-2 цього Кодексу.</w:t>
            </w:r>
          </w:p>
          <w:p w:rsidR="00D820AF" w:rsidRPr="008D5077" w:rsidRDefault="00D820AF" w:rsidP="002170FA">
            <w:pPr>
              <w:pStyle w:val="rvps2"/>
              <w:shd w:val="clear" w:color="auto" w:fill="FFFFFF"/>
              <w:spacing w:before="0" w:beforeAutospacing="0" w:after="150" w:afterAutospacing="0"/>
              <w:ind w:firstLine="450"/>
              <w:jc w:val="both"/>
              <w:rPr>
                <w:b/>
                <w:sz w:val="28"/>
                <w:szCs w:val="28"/>
              </w:rPr>
            </w:pPr>
            <w:bookmarkStart w:id="5" w:name="n37"/>
            <w:bookmarkEnd w:id="5"/>
            <w:r w:rsidRPr="008D5077">
              <w:rPr>
                <w:b/>
                <w:sz w:val="28"/>
                <w:szCs w:val="28"/>
                <w:lang w:eastAsia="ru-RU"/>
              </w:rPr>
              <w:t xml:space="preserve">Об’єкти оподаткування, визначені абзацами восьмим та одинадцятим цього пункту, не звільняються від </w:t>
            </w:r>
            <w:r w:rsidRPr="008D5077">
              <w:rPr>
                <w:b/>
                <w:sz w:val="28"/>
                <w:szCs w:val="28"/>
                <w:lang w:eastAsia="ru-RU"/>
              </w:rPr>
              <w:lastRenderedPageBreak/>
              <w:t>оподаткування та підлягають оподаткуванню в загальному порядку.</w:t>
            </w:r>
          </w:p>
        </w:tc>
      </w:tr>
      <w:tr w:rsidR="00D820AF" w:rsidRPr="008D5077" w:rsidTr="002170FA">
        <w:tc>
          <w:tcPr>
            <w:tcW w:w="0" w:type="auto"/>
            <w:gridSpan w:val="2"/>
            <w:shd w:val="clear" w:color="auto" w:fill="auto"/>
          </w:tcPr>
          <w:p w:rsidR="00D820AF" w:rsidRPr="008D5077" w:rsidRDefault="00D820AF" w:rsidP="002170FA">
            <w:pPr>
              <w:pStyle w:val="rvps2"/>
              <w:shd w:val="clear" w:color="auto" w:fill="FFFFFF"/>
              <w:spacing w:before="0" w:beforeAutospacing="0" w:after="150" w:afterAutospacing="0"/>
              <w:ind w:firstLine="450"/>
              <w:jc w:val="center"/>
              <w:rPr>
                <w:color w:val="333333"/>
                <w:sz w:val="28"/>
                <w:szCs w:val="28"/>
              </w:rPr>
            </w:pPr>
            <w:r w:rsidRPr="008D5077">
              <w:rPr>
                <w:rStyle w:val="rvts9"/>
                <w:b/>
                <w:bCs/>
                <w:color w:val="333333"/>
                <w:sz w:val="28"/>
                <w:szCs w:val="28"/>
                <w:shd w:val="clear" w:color="auto" w:fill="FFFFFF"/>
              </w:rPr>
              <w:lastRenderedPageBreak/>
              <w:t>Стаття 197.</w:t>
            </w:r>
            <w:r w:rsidRPr="008D5077">
              <w:rPr>
                <w:color w:val="333333"/>
                <w:sz w:val="28"/>
                <w:szCs w:val="28"/>
                <w:shd w:val="clear" w:color="auto" w:fill="FFFFFF"/>
              </w:rPr>
              <w:t> Операції, звільнені від оподаткування</w:t>
            </w:r>
          </w:p>
        </w:tc>
      </w:tr>
      <w:tr w:rsidR="00D820AF" w:rsidRPr="008D5077" w:rsidTr="002170FA">
        <w:tc>
          <w:tcPr>
            <w:tcW w:w="7792" w:type="dxa"/>
            <w:shd w:val="clear" w:color="auto" w:fill="auto"/>
          </w:tcPr>
          <w:p w:rsidR="00CF55DA" w:rsidRPr="008D5077" w:rsidRDefault="00CF55DA" w:rsidP="002170FA">
            <w:pPr>
              <w:pStyle w:val="StyleZakonu"/>
              <w:spacing w:before="60" w:line="276" w:lineRule="auto"/>
              <w:ind w:firstLine="540"/>
              <w:rPr>
                <w:sz w:val="28"/>
                <w:szCs w:val="28"/>
              </w:rPr>
            </w:pPr>
            <w:r w:rsidRPr="008D5077">
              <w:rPr>
                <w:sz w:val="28"/>
                <w:szCs w:val="28"/>
              </w:rPr>
              <w:t>…</w:t>
            </w:r>
          </w:p>
          <w:p w:rsidR="00D820AF" w:rsidRPr="008D5077" w:rsidRDefault="00D820AF" w:rsidP="002170FA">
            <w:pPr>
              <w:pStyle w:val="StyleZakonu"/>
              <w:spacing w:before="60" w:line="276" w:lineRule="auto"/>
              <w:ind w:firstLine="540"/>
              <w:rPr>
                <w:b/>
                <w:sz w:val="28"/>
                <w:szCs w:val="28"/>
              </w:rPr>
            </w:pPr>
            <w:r w:rsidRPr="008D5077">
              <w:rPr>
                <w:b/>
                <w:sz w:val="28"/>
                <w:szCs w:val="28"/>
              </w:rPr>
              <w:t>197.26 Відсутній</w:t>
            </w:r>
          </w:p>
        </w:tc>
        <w:tc>
          <w:tcPr>
            <w:tcW w:w="7596" w:type="dxa"/>
            <w:shd w:val="clear" w:color="auto" w:fill="auto"/>
          </w:tcPr>
          <w:p w:rsidR="00CF55DA" w:rsidRPr="008D5077" w:rsidRDefault="00CF55DA" w:rsidP="002170FA">
            <w:pPr>
              <w:pStyle w:val="rvps2"/>
              <w:shd w:val="clear" w:color="auto" w:fill="FFFFFF"/>
              <w:spacing w:before="0" w:beforeAutospacing="0" w:after="150" w:afterAutospacing="0"/>
              <w:ind w:firstLine="450"/>
              <w:jc w:val="both"/>
              <w:rPr>
                <w:sz w:val="28"/>
                <w:szCs w:val="28"/>
                <w:lang w:eastAsia="ru-RU"/>
              </w:rPr>
            </w:pPr>
            <w:r w:rsidRPr="008D5077">
              <w:rPr>
                <w:sz w:val="28"/>
                <w:szCs w:val="28"/>
                <w:lang w:eastAsia="ru-RU"/>
              </w:rPr>
              <w:t>…</w:t>
            </w:r>
          </w:p>
          <w:p w:rsidR="00D820AF" w:rsidRPr="008D5077" w:rsidRDefault="00D820AF" w:rsidP="002170FA">
            <w:pPr>
              <w:pStyle w:val="rvps2"/>
              <w:shd w:val="clear" w:color="auto" w:fill="FFFFFF"/>
              <w:spacing w:before="0" w:beforeAutospacing="0" w:after="150" w:afterAutospacing="0"/>
              <w:ind w:firstLine="450"/>
              <w:jc w:val="both"/>
              <w:rPr>
                <w:b/>
                <w:sz w:val="28"/>
                <w:szCs w:val="28"/>
                <w:lang w:eastAsia="ru-RU"/>
              </w:rPr>
            </w:pPr>
            <w:r w:rsidRPr="008D5077">
              <w:rPr>
                <w:b/>
                <w:sz w:val="28"/>
                <w:szCs w:val="28"/>
                <w:lang w:eastAsia="ru-RU"/>
              </w:rPr>
              <w:t>197.26. Звільняються від оподаткування податком на додану вартість операції з ввезення на митну територію України у митному режимі імпорту нового устаткування (обладнання), визначені в частині шостій статті 287 Митного кодексу України, що ввозяться учасниками індустріальних парків, включених до Реєстру індустріальних парків, виключно для власного використання під здійснення ними діяльності у сферах переробної промисловості (розділ 10, клас 11.07 розділу 11, розділи 13-17, 19-33, крім виробництва підакцизних товарів), або науково-дослідної діяльності (розділ 72 КВЕД 009:2010) на території (в межах) індустріального парку (без права надання в оренду, лізинг чи передачу в користування третім особам на будь-яких інших умовах), за умови, що відповідні товари виготовлені не раніше ніж за три роки до дати їх ввезення на митну територію України, не були у використанні.</w:t>
            </w:r>
          </w:p>
          <w:p w:rsidR="00D820AF" w:rsidRPr="008D5077" w:rsidRDefault="00D820AF" w:rsidP="002170FA">
            <w:pPr>
              <w:pStyle w:val="rvps2"/>
              <w:shd w:val="clear" w:color="auto" w:fill="FFFFFF"/>
              <w:spacing w:before="0" w:beforeAutospacing="0" w:after="150" w:afterAutospacing="0"/>
              <w:ind w:firstLine="450"/>
              <w:jc w:val="both"/>
              <w:rPr>
                <w:b/>
                <w:sz w:val="28"/>
                <w:szCs w:val="28"/>
                <w:lang w:eastAsia="ru-RU"/>
              </w:rPr>
            </w:pPr>
            <w:r w:rsidRPr="008D5077">
              <w:rPr>
                <w:b/>
                <w:sz w:val="28"/>
                <w:szCs w:val="28"/>
                <w:lang w:eastAsia="ru-RU"/>
              </w:rPr>
              <w:t>Порядок ввезення та цільового використання зазначених товарів визначається Кабінетом Міністрів України.</w:t>
            </w:r>
          </w:p>
          <w:p w:rsidR="00D820AF" w:rsidRPr="008D5077" w:rsidRDefault="00D820AF" w:rsidP="002170FA">
            <w:pPr>
              <w:pStyle w:val="rvps2"/>
              <w:shd w:val="clear" w:color="auto" w:fill="FFFFFF"/>
              <w:spacing w:before="0" w:beforeAutospacing="0" w:after="150" w:afterAutospacing="0"/>
              <w:ind w:firstLine="450"/>
              <w:jc w:val="both"/>
              <w:rPr>
                <w:b/>
                <w:sz w:val="28"/>
                <w:szCs w:val="28"/>
                <w:lang w:eastAsia="ru-RU"/>
              </w:rPr>
            </w:pPr>
            <w:r w:rsidRPr="008D5077">
              <w:rPr>
                <w:b/>
                <w:sz w:val="28"/>
                <w:szCs w:val="28"/>
                <w:lang w:eastAsia="ru-RU"/>
              </w:rPr>
              <w:t xml:space="preserve">Відчуження устаткування (обладнання) та комплектуючих виробів до нього, ввезених на митну територію України у порядку, визначеному цим пунктом, </w:t>
            </w:r>
            <w:r w:rsidRPr="008D5077">
              <w:rPr>
                <w:b/>
                <w:sz w:val="28"/>
                <w:szCs w:val="28"/>
                <w:lang w:eastAsia="ru-RU"/>
              </w:rPr>
              <w:lastRenderedPageBreak/>
              <w:t xml:space="preserve">раніше п’яти років з дати ввезення їх на митну територію України чи у разі їх нецільового використання (у тому числі передання в користування іншим особам) раніше п’яти років з дати ввезення їх на митну територію України або дострокове припинення (втрата) статусу учасника індустріального парку тягне за собою виникнення обов’язку зі сплати податкових </w:t>
            </w:r>
            <w:r w:rsidR="008D5077" w:rsidRPr="008D5077">
              <w:rPr>
                <w:b/>
                <w:sz w:val="28"/>
                <w:szCs w:val="28"/>
                <w:lang w:eastAsia="ru-RU"/>
              </w:rPr>
              <w:t>зобов’язань</w:t>
            </w:r>
            <w:r w:rsidRPr="008D5077">
              <w:rPr>
                <w:b/>
                <w:sz w:val="28"/>
                <w:szCs w:val="28"/>
                <w:lang w:eastAsia="ru-RU"/>
              </w:rPr>
              <w:t xml:space="preserve"> за результатами податкового періоду, на який припадає таке відчуження, нецільове використання чи дострокове припинення (втрати) статусу учасника індустріального парку, на суму податку на додану вартість, що мала бути сплачена при ввезені на митну територію України таких товарів, а також зобов’язань зі сплати пені відповідно до цього Кодексу, розрахованої з дня ввезення на митну територію України до дня збільшення податкового зобов’язання. При цьому встановлені </w:t>
            </w:r>
            <w:hyperlink r:id="rId12" w:anchor="n2287" w:tgtFrame="_blank" w:history="1">
              <w:r w:rsidRPr="008D5077">
                <w:rPr>
                  <w:b/>
                  <w:sz w:val="28"/>
                  <w:szCs w:val="28"/>
                  <w:lang w:eastAsia="ru-RU"/>
                </w:rPr>
                <w:t>статтею 102</w:t>
              </w:r>
            </w:hyperlink>
            <w:r w:rsidRPr="008D5077">
              <w:rPr>
                <w:b/>
                <w:sz w:val="28"/>
                <w:szCs w:val="28"/>
                <w:lang w:eastAsia="ru-RU"/>
              </w:rPr>
              <w:t xml:space="preserve">  цього Кодексу строки давності не застосовуються.</w:t>
            </w:r>
            <w:bookmarkStart w:id="6" w:name="n19"/>
            <w:bookmarkStart w:id="7" w:name="n22"/>
            <w:bookmarkEnd w:id="6"/>
            <w:bookmarkEnd w:id="7"/>
          </w:p>
          <w:p w:rsidR="00D820AF" w:rsidRPr="008D5077" w:rsidRDefault="00D820AF" w:rsidP="002170FA">
            <w:pPr>
              <w:pStyle w:val="rvps2"/>
              <w:shd w:val="clear" w:color="auto" w:fill="FFFFFF"/>
              <w:spacing w:before="0" w:beforeAutospacing="0" w:after="150" w:afterAutospacing="0"/>
              <w:ind w:firstLine="450"/>
              <w:jc w:val="both"/>
              <w:rPr>
                <w:b/>
                <w:sz w:val="28"/>
                <w:szCs w:val="28"/>
                <w:lang w:eastAsia="ru-RU"/>
              </w:rPr>
            </w:pPr>
            <w:r w:rsidRPr="008D5077">
              <w:rPr>
                <w:b/>
                <w:sz w:val="28"/>
                <w:szCs w:val="28"/>
                <w:lang w:eastAsia="ru-RU"/>
              </w:rPr>
              <w:t>Положення цього підпункту не поширюються на товари, що мають походження з країни, визнаної державою-окупантом згідно із законом та/або державою-агресором щодо України згідно із законодавством, або ввозяться з території держави-окупанта (агресора) та/або з окупованої території України, визначеної такою згідно із законом.</w:t>
            </w:r>
          </w:p>
        </w:tc>
      </w:tr>
      <w:tr w:rsidR="00D820AF" w:rsidRPr="008D5077" w:rsidTr="002170FA">
        <w:tc>
          <w:tcPr>
            <w:tcW w:w="0" w:type="auto"/>
            <w:gridSpan w:val="2"/>
            <w:shd w:val="clear" w:color="auto" w:fill="auto"/>
          </w:tcPr>
          <w:p w:rsidR="00D820AF" w:rsidRPr="008D5077" w:rsidRDefault="00D820AF" w:rsidP="002170FA">
            <w:pPr>
              <w:pStyle w:val="rvps2"/>
              <w:shd w:val="clear" w:color="auto" w:fill="FFFFFF"/>
              <w:spacing w:before="0" w:beforeAutospacing="0" w:after="150" w:afterAutospacing="0"/>
              <w:ind w:firstLine="450"/>
              <w:jc w:val="center"/>
              <w:rPr>
                <w:color w:val="333333"/>
                <w:sz w:val="28"/>
                <w:szCs w:val="28"/>
                <w:shd w:val="clear" w:color="auto" w:fill="FFFFFF"/>
              </w:rPr>
            </w:pPr>
            <w:bookmarkStart w:id="8" w:name="_Hlk74720419"/>
            <w:r w:rsidRPr="008D5077">
              <w:rPr>
                <w:rStyle w:val="rvts9"/>
                <w:b/>
                <w:bCs/>
                <w:color w:val="333333"/>
                <w:sz w:val="28"/>
                <w:szCs w:val="28"/>
                <w:shd w:val="clear" w:color="auto" w:fill="FFFFFF"/>
              </w:rPr>
              <w:lastRenderedPageBreak/>
              <w:t>Стаття 266.</w:t>
            </w:r>
            <w:r w:rsidRPr="008D5077">
              <w:rPr>
                <w:color w:val="333333"/>
                <w:sz w:val="28"/>
                <w:szCs w:val="28"/>
                <w:shd w:val="clear" w:color="auto" w:fill="FFFFFF"/>
              </w:rPr>
              <w:t> Податок на нерухоме майно, відмінне від земельної ділянки</w:t>
            </w:r>
          </w:p>
          <w:p w:rsidR="00D820AF" w:rsidRPr="008D5077" w:rsidRDefault="00D820AF" w:rsidP="002170FA">
            <w:pPr>
              <w:pStyle w:val="rvps2"/>
              <w:shd w:val="clear" w:color="auto" w:fill="FFFFFF"/>
              <w:spacing w:before="0" w:beforeAutospacing="0" w:after="150" w:afterAutospacing="0"/>
              <w:ind w:firstLine="450"/>
              <w:jc w:val="center"/>
              <w:rPr>
                <w:sz w:val="28"/>
                <w:szCs w:val="28"/>
                <w:lang w:eastAsia="ru-RU"/>
              </w:rPr>
            </w:pPr>
            <w:r w:rsidRPr="008D5077">
              <w:rPr>
                <w:color w:val="333333"/>
                <w:sz w:val="28"/>
                <w:szCs w:val="28"/>
                <w:shd w:val="clear" w:color="auto" w:fill="FFFFFF"/>
              </w:rPr>
              <w:t>266.4. Пільги із сплати податку</w:t>
            </w:r>
          </w:p>
        </w:tc>
      </w:tr>
      <w:tr w:rsidR="00D820AF" w:rsidRPr="008D5077" w:rsidTr="002170FA">
        <w:tc>
          <w:tcPr>
            <w:tcW w:w="7792" w:type="dxa"/>
            <w:shd w:val="clear" w:color="auto" w:fill="auto"/>
          </w:tcPr>
          <w:p w:rsidR="00D820AF" w:rsidRPr="008D5077" w:rsidRDefault="00D820AF" w:rsidP="002170FA">
            <w:pPr>
              <w:shd w:val="clear" w:color="auto" w:fill="FFFFFF"/>
              <w:spacing w:after="150" w:line="240" w:lineRule="auto"/>
              <w:ind w:firstLine="450"/>
              <w:jc w:val="both"/>
              <w:rPr>
                <w:rFonts w:ascii="Times New Roman" w:hAnsi="Times New Roman"/>
                <w:sz w:val="28"/>
                <w:szCs w:val="28"/>
                <w:lang w:val="uk-UA"/>
              </w:rPr>
            </w:pPr>
            <w:r w:rsidRPr="008D5077">
              <w:rPr>
                <w:rFonts w:ascii="Times New Roman" w:hAnsi="Times New Roman"/>
                <w:sz w:val="28"/>
                <w:szCs w:val="28"/>
                <w:lang w:val="uk-UA"/>
              </w:rPr>
              <w:t xml:space="preserve">266.4.2. Сільські, селищні, міські ради та ради об’єднаних територіальних громад, що створені згідно із законом та </w:t>
            </w:r>
            <w:r w:rsidRPr="008D5077">
              <w:rPr>
                <w:rFonts w:ascii="Times New Roman" w:hAnsi="Times New Roman"/>
                <w:sz w:val="28"/>
                <w:szCs w:val="28"/>
                <w:lang w:val="uk-UA"/>
              </w:rPr>
              <w:lastRenderedPageBreak/>
              <w:t>перспективним планом формування територій громад, встановлюють пільги з податку, що сплачується на відповідній території, з об’єктів житлової та/або нежитлової нерухомості, що перебувають у власності фізичних або юридичних осіб, громадських об’єднань, благодійних організацій, релігійних організацій України, статути (положення) яких зареєстровані у встановленому законом порядку, та використовуються для забезпечення діяльності, передбаченої такими статутами (положеннями).</w:t>
            </w:r>
          </w:p>
          <w:p w:rsidR="00D820AF" w:rsidRPr="008D5077" w:rsidRDefault="00D820AF" w:rsidP="002170FA">
            <w:pPr>
              <w:shd w:val="clear" w:color="auto" w:fill="FFFFFF"/>
              <w:spacing w:after="150" w:line="240" w:lineRule="auto"/>
              <w:ind w:firstLine="450"/>
              <w:jc w:val="both"/>
              <w:rPr>
                <w:rFonts w:ascii="Times New Roman" w:hAnsi="Times New Roman"/>
                <w:sz w:val="28"/>
                <w:szCs w:val="28"/>
                <w:lang w:val="uk-UA"/>
              </w:rPr>
            </w:pPr>
            <w:bookmarkStart w:id="9" w:name="n11813"/>
            <w:bookmarkEnd w:id="9"/>
            <w:r w:rsidRPr="008D5077">
              <w:rPr>
                <w:rFonts w:ascii="Times New Roman" w:hAnsi="Times New Roman"/>
                <w:sz w:val="28"/>
                <w:szCs w:val="28"/>
                <w:lang w:val="uk-UA"/>
              </w:rPr>
              <w:t>Пільги з податку, що сплачується на відповідній території з об’єктів житлової та нежитлової нерухомості, для фізичних осіб визначаються виходячи з їх майнового стану та рівня доходів.</w:t>
            </w:r>
          </w:p>
          <w:p w:rsidR="00D820AF" w:rsidRPr="008D5077" w:rsidRDefault="00D820AF" w:rsidP="002170FA">
            <w:pPr>
              <w:shd w:val="clear" w:color="auto" w:fill="FFFFFF"/>
              <w:spacing w:after="150" w:line="240" w:lineRule="auto"/>
              <w:ind w:firstLine="450"/>
              <w:jc w:val="both"/>
              <w:rPr>
                <w:rFonts w:ascii="Times New Roman" w:hAnsi="Times New Roman"/>
                <w:sz w:val="28"/>
                <w:szCs w:val="28"/>
                <w:lang w:val="uk-UA"/>
              </w:rPr>
            </w:pPr>
            <w:bookmarkStart w:id="10" w:name="n11816"/>
            <w:bookmarkEnd w:id="10"/>
            <w:r w:rsidRPr="008D5077">
              <w:rPr>
                <w:rFonts w:ascii="Times New Roman" w:hAnsi="Times New Roman"/>
                <w:sz w:val="28"/>
                <w:szCs w:val="28"/>
                <w:lang w:val="uk-UA"/>
              </w:rPr>
              <w:t>Пільги з податку, що сплачується на відповідній території з об’єктів нежитлової нерухомості, встановлюються залежно від майна, яке є об’єктом оподаткування.</w:t>
            </w:r>
          </w:p>
          <w:p w:rsidR="00D820AF" w:rsidRPr="008D5077" w:rsidRDefault="00D820AF" w:rsidP="002170FA">
            <w:pPr>
              <w:pStyle w:val="StyleZakonu"/>
              <w:spacing w:before="60" w:line="276" w:lineRule="auto"/>
              <w:ind w:firstLine="540"/>
              <w:rPr>
                <w:b/>
                <w:sz w:val="28"/>
                <w:szCs w:val="28"/>
              </w:rPr>
            </w:pPr>
            <w:r w:rsidRPr="008D5077">
              <w:rPr>
                <w:b/>
                <w:sz w:val="28"/>
                <w:szCs w:val="28"/>
              </w:rPr>
              <w:t xml:space="preserve">Відсутній </w:t>
            </w:r>
          </w:p>
        </w:tc>
        <w:tc>
          <w:tcPr>
            <w:tcW w:w="7596" w:type="dxa"/>
            <w:shd w:val="clear" w:color="auto" w:fill="auto"/>
          </w:tcPr>
          <w:p w:rsidR="00D820AF" w:rsidRPr="008D5077" w:rsidRDefault="00D820AF" w:rsidP="002170FA">
            <w:pPr>
              <w:shd w:val="clear" w:color="auto" w:fill="FFFFFF"/>
              <w:spacing w:after="150" w:line="240" w:lineRule="auto"/>
              <w:ind w:firstLine="450"/>
              <w:jc w:val="both"/>
              <w:rPr>
                <w:rFonts w:ascii="Times New Roman" w:hAnsi="Times New Roman"/>
                <w:sz w:val="28"/>
                <w:szCs w:val="28"/>
                <w:lang w:val="uk-UA"/>
              </w:rPr>
            </w:pPr>
            <w:r w:rsidRPr="008D5077">
              <w:rPr>
                <w:rFonts w:ascii="Times New Roman" w:hAnsi="Times New Roman"/>
                <w:sz w:val="28"/>
                <w:szCs w:val="28"/>
                <w:lang w:val="uk-UA"/>
              </w:rPr>
              <w:lastRenderedPageBreak/>
              <w:t xml:space="preserve">266.4.2. Сільські, селищні, міські ради та ради об’єднаних територіальних громад, що створені згідно із законом та </w:t>
            </w:r>
            <w:r w:rsidRPr="008D5077">
              <w:rPr>
                <w:rFonts w:ascii="Times New Roman" w:hAnsi="Times New Roman"/>
                <w:sz w:val="28"/>
                <w:szCs w:val="28"/>
                <w:lang w:val="uk-UA"/>
              </w:rPr>
              <w:lastRenderedPageBreak/>
              <w:t>перспективним планом формування територій громад, встановлюють пільги з податку, що сплачується на відповідній території, з об’єктів житлової та/або нежитлової нерухомості, що перебувають у власності фізичних або юридичних осіб, громадських об’єднань, благодійних організацій, релігійних організацій України, статути (положення) яких зареєстровані у встановленому законом порядку, та використовуються для забезпечення діяльності, передбаченої такими статутами (положеннями).</w:t>
            </w:r>
          </w:p>
          <w:p w:rsidR="00D820AF" w:rsidRPr="008D5077" w:rsidRDefault="00D820AF" w:rsidP="002170FA">
            <w:pPr>
              <w:shd w:val="clear" w:color="auto" w:fill="FFFFFF"/>
              <w:spacing w:after="150" w:line="240" w:lineRule="auto"/>
              <w:ind w:firstLine="450"/>
              <w:jc w:val="both"/>
              <w:rPr>
                <w:rFonts w:ascii="Times New Roman" w:hAnsi="Times New Roman"/>
                <w:sz w:val="28"/>
                <w:szCs w:val="28"/>
                <w:lang w:val="uk-UA"/>
              </w:rPr>
            </w:pPr>
            <w:r w:rsidRPr="008D5077">
              <w:rPr>
                <w:rFonts w:ascii="Times New Roman" w:hAnsi="Times New Roman"/>
                <w:sz w:val="28"/>
                <w:szCs w:val="28"/>
                <w:lang w:val="uk-UA"/>
              </w:rPr>
              <w:t>Пільги з податку, що сплачується на відповідній території з об’єктів житлової та нежитлової нерухомості, для фізичних осіб визначаються виходячи з їх майнового стану та рівня доходів.</w:t>
            </w:r>
          </w:p>
          <w:p w:rsidR="00D820AF" w:rsidRPr="008D5077" w:rsidRDefault="00D820AF" w:rsidP="002170FA">
            <w:pPr>
              <w:shd w:val="clear" w:color="auto" w:fill="FFFFFF"/>
              <w:spacing w:after="150" w:line="240" w:lineRule="auto"/>
              <w:ind w:firstLine="450"/>
              <w:jc w:val="both"/>
              <w:rPr>
                <w:rFonts w:ascii="Times New Roman" w:hAnsi="Times New Roman"/>
                <w:sz w:val="28"/>
                <w:szCs w:val="28"/>
                <w:lang w:val="uk-UA"/>
              </w:rPr>
            </w:pPr>
            <w:r w:rsidRPr="008D5077">
              <w:rPr>
                <w:rFonts w:ascii="Times New Roman" w:hAnsi="Times New Roman"/>
                <w:sz w:val="28"/>
                <w:szCs w:val="28"/>
                <w:lang w:val="uk-UA"/>
              </w:rPr>
              <w:t>Пільги з податку, що сплачується на відповідній території з об’єктів нежитлової нерухомості, встановлюються залежно від майна, яке є об’єктом оподаткування.</w:t>
            </w:r>
          </w:p>
          <w:p w:rsidR="00D820AF" w:rsidRPr="008D5077" w:rsidRDefault="00D820AF" w:rsidP="002170FA">
            <w:pPr>
              <w:shd w:val="clear" w:color="auto" w:fill="FFFFFF"/>
              <w:spacing w:after="150" w:line="240" w:lineRule="auto"/>
              <w:ind w:firstLine="450"/>
              <w:jc w:val="both"/>
              <w:rPr>
                <w:rFonts w:ascii="Times New Roman" w:hAnsi="Times New Roman"/>
                <w:b/>
                <w:sz w:val="28"/>
                <w:szCs w:val="28"/>
                <w:lang w:val="uk-UA"/>
              </w:rPr>
            </w:pPr>
            <w:r w:rsidRPr="008D5077">
              <w:rPr>
                <w:rFonts w:ascii="Times New Roman" w:hAnsi="Times New Roman"/>
                <w:b/>
                <w:sz w:val="28"/>
                <w:szCs w:val="28"/>
                <w:lang w:val="uk-UA"/>
              </w:rPr>
              <w:t>Сільські, селищні, міські ради та ради об’єднаних територіальних громад, що створені згідно із законом та перспективним планом формування територій громад, мають право встановлювати пільги з податку, що сплачується на відповідній території, з об’єктів нежитлової нерухомості, що знаходяться на території індустріального парку та перебувають у власності учасників індустріального парку, включеного до Реєстру індустріальних парків. На такі рішення не поширюється </w:t>
            </w:r>
            <w:hyperlink r:id="rId13" w:anchor="n154" w:history="1">
              <w:r w:rsidRPr="008D5077">
                <w:rPr>
                  <w:rFonts w:ascii="Times New Roman" w:hAnsi="Times New Roman"/>
                  <w:b/>
                  <w:sz w:val="28"/>
                  <w:szCs w:val="28"/>
                  <w:lang w:val="uk-UA"/>
                </w:rPr>
                <w:t>підпункт 4.1.9</w:t>
              </w:r>
            </w:hyperlink>
            <w:r w:rsidRPr="008D5077">
              <w:rPr>
                <w:rFonts w:ascii="Times New Roman" w:hAnsi="Times New Roman"/>
                <w:b/>
                <w:sz w:val="28"/>
                <w:szCs w:val="28"/>
                <w:lang w:val="uk-UA"/>
              </w:rPr>
              <w:t> пункту 4.1 та </w:t>
            </w:r>
            <w:hyperlink r:id="rId14" w:anchor="n160" w:history="1">
              <w:r w:rsidRPr="008D5077">
                <w:rPr>
                  <w:rFonts w:ascii="Times New Roman" w:hAnsi="Times New Roman"/>
                  <w:b/>
                  <w:sz w:val="28"/>
                  <w:szCs w:val="28"/>
                  <w:lang w:val="uk-UA"/>
                </w:rPr>
                <w:t>пункт 4.5</w:t>
              </w:r>
            </w:hyperlink>
            <w:r w:rsidRPr="008D5077">
              <w:rPr>
                <w:rFonts w:ascii="Times New Roman" w:hAnsi="Times New Roman"/>
                <w:b/>
                <w:sz w:val="28"/>
                <w:szCs w:val="28"/>
                <w:lang w:val="uk-UA"/>
              </w:rPr>
              <w:t> статті 4, </w:t>
            </w:r>
            <w:hyperlink r:id="rId15" w:anchor="n241" w:history="1">
              <w:r w:rsidRPr="008D5077">
                <w:rPr>
                  <w:rFonts w:ascii="Times New Roman" w:hAnsi="Times New Roman"/>
                  <w:b/>
                  <w:sz w:val="28"/>
                  <w:szCs w:val="28"/>
                  <w:lang w:val="uk-UA"/>
                </w:rPr>
                <w:t>підпункт 12.3.4</w:t>
              </w:r>
            </w:hyperlink>
            <w:r w:rsidRPr="008D5077">
              <w:rPr>
                <w:rFonts w:ascii="Times New Roman" w:hAnsi="Times New Roman"/>
                <w:b/>
                <w:sz w:val="28"/>
                <w:szCs w:val="28"/>
                <w:lang w:val="uk-UA"/>
              </w:rPr>
              <w:t> пункту 12.3, </w:t>
            </w:r>
            <w:hyperlink r:id="rId16" w:anchor="n248" w:history="1">
              <w:r w:rsidRPr="008D5077">
                <w:rPr>
                  <w:rFonts w:ascii="Times New Roman" w:hAnsi="Times New Roman"/>
                  <w:b/>
                  <w:sz w:val="28"/>
                  <w:szCs w:val="28"/>
                  <w:lang w:val="uk-UA"/>
                </w:rPr>
                <w:t>підпункт 12.4.3</w:t>
              </w:r>
            </w:hyperlink>
            <w:r w:rsidRPr="008D5077">
              <w:rPr>
                <w:rFonts w:ascii="Times New Roman" w:hAnsi="Times New Roman"/>
                <w:b/>
                <w:sz w:val="28"/>
                <w:szCs w:val="28"/>
                <w:lang w:val="uk-UA"/>
              </w:rPr>
              <w:t xml:space="preserve"> пункту 12.4 (у частині строку прийняття та набрання чинності </w:t>
            </w:r>
            <w:r w:rsidRPr="008D5077">
              <w:rPr>
                <w:rFonts w:ascii="Times New Roman" w:hAnsi="Times New Roman"/>
                <w:b/>
                <w:sz w:val="28"/>
                <w:szCs w:val="28"/>
                <w:lang w:val="uk-UA"/>
              </w:rPr>
              <w:lastRenderedPageBreak/>
              <w:t>рішень) та </w:t>
            </w:r>
            <w:hyperlink r:id="rId17" w:anchor="n249" w:history="1">
              <w:r w:rsidRPr="008D5077">
                <w:rPr>
                  <w:rFonts w:ascii="Times New Roman" w:hAnsi="Times New Roman"/>
                  <w:b/>
                  <w:sz w:val="28"/>
                  <w:szCs w:val="28"/>
                  <w:lang w:val="uk-UA"/>
                </w:rPr>
                <w:t>пункт 12.5</w:t>
              </w:r>
            </w:hyperlink>
            <w:r w:rsidRPr="008D5077">
              <w:rPr>
                <w:rFonts w:ascii="Times New Roman" w:hAnsi="Times New Roman"/>
                <w:b/>
                <w:sz w:val="28"/>
                <w:szCs w:val="28"/>
                <w:lang w:val="uk-UA"/>
              </w:rPr>
              <w:t> (у частині строку набрання чинності рішеннями) статті 12 Податкового кодексу України, </w:t>
            </w:r>
            <w:hyperlink r:id="rId18" w:tgtFrame="_blank" w:history="1">
              <w:r w:rsidRPr="008D5077">
                <w:rPr>
                  <w:rFonts w:ascii="Times New Roman" w:hAnsi="Times New Roman"/>
                  <w:b/>
                  <w:sz w:val="28"/>
                  <w:szCs w:val="28"/>
                  <w:lang w:val="uk-UA"/>
                </w:rPr>
                <w:t>Закон України</w:t>
              </w:r>
            </w:hyperlink>
            <w:r w:rsidRPr="008D5077">
              <w:rPr>
                <w:rFonts w:ascii="Times New Roman" w:hAnsi="Times New Roman"/>
                <w:b/>
                <w:sz w:val="28"/>
                <w:szCs w:val="28"/>
                <w:lang w:val="uk-UA"/>
              </w:rPr>
              <w:t> "Про засади державної регуляторної політики у сфері господарської діяльності", </w:t>
            </w:r>
            <w:hyperlink r:id="rId19" w:anchor="n130" w:tgtFrame="_blank" w:history="1">
              <w:r w:rsidRPr="008D5077">
                <w:rPr>
                  <w:rFonts w:ascii="Times New Roman" w:hAnsi="Times New Roman"/>
                  <w:b/>
                  <w:sz w:val="28"/>
                  <w:szCs w:val="28"/>
                  <w:lang w:val="uk-UA"/>
                </w:rPr>
                <w:t>частина третя</w:t>
              </w:r>
            </w:hyperlink>
            <w:r w:rsidRPr="008D5077">
              <w:rPr>
                <w:rFonts w:ascii="Times New Roman" w:hAnsi="Times New Roman"/>
                <w:b/>
                <w:sz w:val="28"/>
                <w:szCs w:val="28"/>
                <w:lang w:val="uk-UA"/>
              </w:rPr>
              <w:t> статті 15 Закону України "Про доступ до публічної інформації", </w:t>
            </w:r>
            <w:hyperlink r:id="rId20" w:tgtFrame="_blank" w:history="1">
              <w:r w:rsidRPr="008D5077">
                <w:rPr>
                  <w:rFonts w:ascii="Times New Roman" w:hAnsi="Times New Roman"/>
                  <w:b/>
                  <w:sz w:val="28"/>
                  <w:szCs w:val="28"/>
                  <w:lang w:val="uk-UA"/>
                </w:rPr>
                <w:t>Закон України</w:t>
              </w:r>
            </w:hyperlink>
            <w:r w:rsidRPr="008D5077">
              <w:rPr>
                <w:rFonts w:ascii="Times New Roman" w:hAnsi="Times New Roman"/>
                <w:b/>
                <w:sz w:val="28"/>
                <w:szCs w:val="28"/>
                <w:lang w:val="uk-UA"/>
              </w:rPr>
              <w:t> "Про державну допомогу суб’єктам господарювання".</w:t>
            </w:r>
          </w:p>
        </w:tc>
      </w:tr>
      <w:tr w:rsidR="00D820AF" w:rsidRPr="008D5077" w:rsidTr="002170FA">
        <w:tc>
          <w:tcPr>
            <w:tcW w:w="0" w:type="auto"/>
            <w:gridSpan w:val="2"/>
            <w:shd w:val="clear" w:color="auto" w:fill="auto"/>
          </w:tcPr>
          <w:p w:rsidR="00D820AF" w:rsidRPr="008D5077" w:rsidRDefault="00D820AF" w:rsidP="002170FA">
            <w:pPr>
              <w:shd w:val="clear" w:color="auto" w:fill="FFFFFF"/>
              <w:spacing w:after="150" w:line="240" w:lineRule="auto"/>
              <w:ind w:firstLine="450"/>
              <w:jc w:val="center"/>
              <w:rPr>
                <w:rFonts w:ascii="Times New Roman" w:hAnsi="Times New Roman"/>
                <w:b/>
                <w:sz w:val="28"/>
                <w:szCs w:val="28"/>
                <w:lang w:val="uk-UA"/>
              </w:rPr>
            </w:pPr>
            <w:r w:rsidRPr="008D5077">
              <w:rPr>
                <w:rFonts w:ascii="Times New Roman" w:hAnsi="Times New Roman"/>
                <w:sz w:val="28"/>
                <w:szCs w:val="28"/>
                <w:lang w:val="uk-UA"/>
              </w:rPr>
              <w:lastRenderedPageBreak/>
              <w:t>Стаття 284.</w:t>
            </w:r>
            <w:r w:rsidRPr="008D5077">
              <w:rPr>
                <w:rFonts w:ascii="Times New Roman" w:hAnsi="Times New Roman"/>
                <w:b/>
                <w:sz w:val="28"/>
                <w:szCs w:val="28"/>
                <w:lang w:val="uk-UA"/>
              </w:rPr>
              <w:t> Особливості оподаткування платою за землю</w:t>
            </w:r>
          </w:p>
        </w:tc>
      </w:tr>
      <w:tr w:rsidR="00D820AF" w:rsidRPr="008D5077" w:rsidTr="002170FA">
        <w:tc>
          <w:tcPr>
            <w:tcW w:w="7792" w:type="dxa"/>
            <w:shd w:val="clear" w:color="auto" w:fill="auto"/>
          </w:tcPr>
          <w:p w:rsidR="00006ED6" w:rsidRPr="008D5077" w:rsidRDefault="00006ED6" w:rsidP="002170FA">
            <w:pPr>
              <w:shd w:val="clear" w:color="auto" w:fill="FFFFFF"/>
              <w:spacing w:after="150" w:line="240" w:lineRule="auto"/>
              <w:ind w:firstLine="450"/>
              <w:jc w:val="both"/>
              <w:rPr>
                <w:rFonts w:ascii="Times New Roman" w:hAnsi="Times New Roman"/>
                <w:sz w:val="28"/>
                <w:szCs w:val="28"/>
                <w:lang w:val="uk-UA"/>
              </w:rPr>
            </w:pPr>
            <w:r w:rsidRPr="008D5077">
              <w:rPr>
                <w:rFonts w:ascii="Times New Roman" w:hAnsi="Times New Roman"/>
                <w:sz w:val="28"/>
                <w:szCs w:val="28"/>
                <w:lang w:val="uk-UA"/>
              </w:rPr>
              <w:t>…</w:t>
            </w:r>
          </w:p>
          <w:p w:rsidR="00D820AF" w:rsidRPr="008D5077" w:rsidRDefault="00D820AF" w:rsidP="002170FA">
            <w:pPr>
              <w:shd w:val="clear" w:color="auto" w:fill="FFFFFF"/>
              <w:spacing w:after="150" w:line="240" w:lineRule="auto"/>
              <w:ind w:firstLine="450"/>
              <w:jc w:val="both"/>
              <w:rPr>
                <w:rFonts w:ascii="Times New Roman" w:hAnsi="Times New Roman"/>
                <w:b/>
                <w:sz w:val="28"/>
                <w:szCs w:val="28"/>
                <w:lang w:val="uk-UA"/>
              </w:rPr>
            </w:pPr>
            <w:r w:rsidRPr="008D5077">
              <w:rPr>
                <w:rFonts w:ascii="Times New Roman" w:hAnsi="Times New Roman"/>
                <w:b/>
                <w:sz w:val="28"/>
                <w:szCs w:val="28"/>
                <w:lang w:val="uk-UA"/>
              </w:rPr>
              <w:t>284.5 відсутній</w:t>
            </w:r>
          </w:p>
        </w:tc>
        <w:tc>
          <w:tcPr>
            <w:tcW w:w="7596" w:type="dxa"/>
            <w:shd w:val="clear" w:color="auto" w:fill="auto"/>
          </w:tcPr>
          <w:p w:rsidR="00006ED6" w:rsidRPr="008D5077" w:rsidRDefault="00006ED6" w:rsidP="002170FA">
            <w:pPr>
              <w:pStyle w:val="rvps2"/>
              <w:shd w:val="clear" w:color="auto" w:fill="FFFFFF"/>
              <w:spacing w:before="0" w:beforeAutospacing="0" w:after="150" w:afterAutospacing="0"/>
              <w:ind w:firstLine="450"/>
              <w:jc w:val="both"/>
              <w:rPr>
                <w:sz w:val="28"/>
                <w:szCs w:val="28"/>
                <w:lang w:eastAsia="ru-RU"/>
              </w:rPr>
            </w:pPr>
            <w:r w:rsidRPr="008D5077">
              <w:rPr>
                <w:sz w:val="28"/>
                <w:szCs w:val="28"/>
                <w:lang w:eastAsia="ru-RU"/>
              </w:rPr>
              <w:t>…</w:t>
            </w:r>
          </w:p>
          <w:p w:rsidR="00D820AF" w:rsidRPr="008D5077" w:rsidRDefault="00D820AF" w:rsidP="002170FA">
            <w:pPr>
              <w:pStyle w:val="rvps2"/>
              <w:shd w:val="clear" w:color="auto" w:fill="FFFFFF"/>
              <w:spacing w:before="0" w:beforeAutospacing="0" w:after="150" w:afterAutospacing="0"/>
              <w:ind w:firstLine="450"/>
              <w:jc w:val="both"/>
              <w:rPr>
                <w:b/>
                <w:sz w:val="28"/>
                <w:szCs w:val="28"/>
                <w:lang w:eastAsia="ru-RU"/>
              </w:rPr>
            </w:pPr>
            <w:r w:rsidRPr="008D5077">
              <w:rPr>
                <w:b/>
                <w:sz w:val="28"/>
                <w:szCs w:val="28"/>
                <w:lang w:eastAsia="ru-RU"/>
              </w:rPr>
              <w:t>284.5. В частині плати за землю за земельні ділянки, що входять до складу території індустріальних парків, включених до Реєстру індустріальних парків, нормативну грошову оцінку яких проведено, що використовуються ініціаторами створення індустріального парку, керуючою  компанією індустріального парку та учасниками індустріальних парків, органи місцевого самоврядування можуть:</w:t>
            </w:r>
          </w:p>
          <w:p w:rsidR="00D820AF" w:rsidRPr="008D5077" w:rsidRDefault="00D820AF" w:rsidP="002170FA">
            <w:pPr>
              <w:pStyle w:val="rvps2"/>
              <w:shd w:val="clear" w:color="auto" w:fill="FFFFFF"/>
              <w:spacing w:before="0" w:beforeAutospacing="0" w:after="150" w:afterAutospacing="0"/>
              <w:ind w:firstLine="450"/>
              <w:jc w:val="both"/>
              <w:rPr>
                <w:b/>
                <w:sz w:val="28"/>
                <w:szCs w:val="28"/>
                <w:lang w:eastAsia="ru-RU"/>
              </w:rPr>
            </w:pPr>
            <w:bookmarkStart w:id="11" w:name="n43"/>
            <w:bookmarkEnd w:id="11"/>
            <w:r w:rsidRPr="008D5077">
              <w:rPr>
                <w:b/>
                <w:sz w:val="28"/>
                <w:szCs w:val="28"/>
                <w:lang w:eastAsia="ru-RU"/>
              </w:rPr>
              <w:t>встановлювати ставки земельного податку та орендну плату за землі державної та комунальної власності в розмірі, меншому ніж розмір земельного податку, встановлений рішенням відповідного органу місцевого самоврядування для певної категорії земель, що сплачується на відповідній території;</w:t>
            </w:r>
          </w:p>
          <w:p w:rsidR="00D820AF" w:rsidRPr="008D5077" w:rsidRDefault="00D820AF" w:rsidP="002170FA">
            <w:pPr>
              <w:pStyle w:val="rvps2"/>
              <w:shd w:val="clear" w:color="auto" w:fill="FFFFFF"/>
              <w:spacing w:before="0" w:beforeAutospacing="0" w:after="150" w:afterAutospacing="0"/>
              <w:ind w:firstLine="450"/>
              <w:jc w:val="both"/>
              <w:rPr>
                <w:b/>
                <w:sz w:val="28"/>
                <w:szCs w:val="28"/>
                <w:lang w:eastAsia="ru-RU"/>
              </w:rPr>
            </w:pPr>
            <w:bookmarkStart w:id="12" w:name="n44"/>
            <w:bookmarkEnd w:id="12"/>
            <w:r w:rsidRPr="008D5077">
              <w:rPr>
                <w:b/>
                <w:sz w:val="28"/>
                <w:szCs w:val="28"/>
                <w:lang w:eastAsia="ru-RU"/>
              </w:rPr>
              <w:t>звільняти від сплати земельного податку.</w:t>
            </w:r>
          </w:p>
          <w:p w:rsidR="00D820AF" w:rsidRPr="008D5077" w:rsidRDefault="00D820AF" w:rsidP="002170FA">
            <w:pPr>
              <w:shd w:val="clear" w:color="auto" w:fill="FFFFFF"/>
              <w:spacing w:after="150" w:line="240" w:lineRule="auto"/>
              <w:ind w:firstLine="450"/>
              <w:jc w:val="both"/>
              <w:rPr>
                <w:rStyle w:val="rvts9"/>
                <w:b/>
                <w:bCs/>
                <w:color w:val="333333"/>
                <w:shd w:val="clear" w:color="auto" w:fill="FFFFFF"/>
                <w:lang w:val="uk-UA"/>
              </w:rPr>
            </w:pPr>
            <w:bookmarkStart w:id="13" w:name="n45"/>
            <w:bookmarkEnd w:id="13"/>
            <w:r w:rsidRPr="008D5077">
              <w:rPr>
                <w:rFonts w:ascii="Times New Roman" w:hAnsi="Times New Roman"/>
                <w:b/>
                <w:sz w:val="28"/>
                <w:szCs w:val="28"/>
                <w:lang w:val="uk-UA"/>
              </w:rPr>
              <w:t>До таких рішень органів місцевого самоврядування та/або рішень про внесення змін до таких рішень не застосовуються вимоги </w:t>
            </w:r>
            <w:hyperlink r:id="rId21" w:anchor="n154" w:tgtFrame="_blank" w:history="1">
              <w:r w:rsidRPr="008D5077">
                <w:rPr>
                  <w:rFonts w:ascii="Times New Roman" w:hAnsi="Times New Roman"/>
                  <w:b/>
                  <w:sz w:val="28"/>
                  <w:szCs w:val="28"/>
                  <w:lang w:val="uk-UA"/>
                </w:rPr>
                <w:t>підпункту 4.1.9</w:t>
              </w:r>
            </w:hyperlink>
            <w:r w:rsidRPr="008D5077">
              <w:rPr>
                <w:rFonts w:ascii="Times New Roman" w:hAnsi="Times New Roman"/>
                <w:b/>
                <w:sz w:val="28"/>
                <w:szCs w:val="28"/>
                <w:lang w:val="uk-UA"/>
              </w:rPr>
              <w:t xml:space="preserve"> пункту 4.1 </w:t>
            </w:r>
            <w:r w:rsidRPr="008D5077">
              <w:rPr>
                <w:rFonts w:ascii="Times New Roman" w:hAnsi="Times New Roman"/>
                <w:b/>
                <w:sz w:val="28"/>
                <w:szCs w:val="28"/>
                <w:lang w:val="uk-UA"/>
              </w:rPr>
              <w:lastRenderedPageBreak/>
              <w:t>та </w:t>
            </w:r>
            <w:hyperlink r:id="rId22" w:anchor="n160" w:tgtFrame="_blank" w:history="1">
              <w:r w:rsidRPr="008D5077">
                <w:rPr>
                  <w:rFonts w:ascii="Times New Roman" w:hAnsi="Times New Roman"/>
                  <w:b/>
                  <w:sz w:val="28"/>
                  <w:szCs w:val="28"/>
                  <w:lang w:val="uk-UA"/>
                </w:rPr>
                <w:t>пункту 4.5</w:t>
              </w:r>
            </w:hyperlink>
            <w:r w:rsidRPr="008D5077">
              <w:rPr>
                <w:rFonts w:ascii="Times New Roman" w:hAnsi="Times New Roman"/>
                <w:b/>
                <w:sz w:val="28"/>
                <w:szCs w:val="28"/>
                <w:lang w:val="uk-UA"/>
              </w:rPr>
              <w:t> статті 4, </w:t>
            </w:r>
            <w:hyperlink r:id="rId23" w:anchor="n240" w:tgtFrame="_blank" w:history="1">
              <w:r w:rsidRPr="008D5077">
                <w:rPr>
                  <w:rFonts w:ascii="Times New Roman" w:hAnsi="Times New Roman"/>
                  <w:b/>
                  <w:sz w:val="28"/>
                  <w:szCs w:val="28"/>
                  <w:lang w:val="uk-UA"/>
                </w:rPr>
                <w:t>підпунктів 12.3.3</w:t>
              </w:r>
            </w:hyperlink>
            <w:r w:rsidRPr="008D5077">
              <w:rPr>
                <w:rFonts w:ascii="Times New Roman" w:hAnsi="Times New Roman"/>
                <w:b/>
                <w:sz w:val="28"/>
                <w:szCs w:val="28"/>
                <w:lang w:val="uk-UA"/>
              </w:rPr>
              <w:t>, </w:t>
            </w:r>
            <w:hyperlink r:id="rId24" w:anchor="n241" w:tgtFrame="_blank" w:history="1">
              <w:r w:rsidRPr="008D5077">
                <w:rPr>
                  <w:rFonts w:ascii="Times New Roman" w:hAnsi="Times New Roman"/>
                  <w:b/>
                  <w:sz w:val="28"/>
                  <w:szCs w:val="28"/>
                  <w:lang w:val="uk-UA"/>
                </w:rPr>
                <w:t>12.3.4</w:t>
              </w:r>
            </w:hyperlink>
            <w:r w:rsidRPr="008D5077">
              <w:rPr>
                <w:rFonts w:ascii="Times New Roman" w:hAnsi="Times New Roman"/>
                <w:b/>
                <w:sz w:val="28"/>
                <w:szCs w:val="28"/>
                <w:lang w:val="uk-UA"/>
              </w:rPr>
              <w:t> і </w:t>
            </w:r>
            <w:hyperlink r:id="rId25" w:anchor="n244" w:tgtFrame="_blank" w:history="1">
              <w:r w:rsidRPr="008D5077">
                <w:rPr>
                  <w:rFonts w:ascii="Times New Roman" w:hAnsi="Times New Roman"/>
                  <w:b/>
                  <w:sz w:val="28"/>
                  <w:szCs w:val="28"/>
                  <w:lang w:val="uk-UA"/>
                </w:rPr>
                <w:t>12.3.7</w:t>
              </w:r>
            </w:hyperlink>
            <w:r w:rsidRPr="008D5077">
              <w:rPr>
                <w:rFonts w:ascii="Times New Roman" w:hAnsi="Times New Roman"/>
                <w:b/>
                <w:sz w:val="28"/>
                <w:szCs w:val="28"/>
                <w:lang w:val="uk-UA"/>
              </w:rPr>
              <w:t> пункту 12.3, </w:t>
            </w:r>
            <w:hyperlink r:id="rId26" w:anchor="n248" w:tgtFrame="_blank" w:history="1">
              <w:r w:rsidRPr="008D5077">
                <w:rPr>
                  <w:rFonts w:ascii="Times New Roman" w:hAnsi="Times New Roman"/>
                  <w:b/>
                  <w:sz w:val="28"/>
                  <w:szCs w:val="28"/>
                  <w:lang w:val="uk-UA"/>
                </w:rPr>
                <w:t>підпункту 12.4.3</w:t>
              </w:r>
            </w:hyperlink>
            <w:r w:rsidRPr="008D5077">
              <w:rPr>
                <w:rFonts w:ascii="Times New Roman" w:hAnsi="Times New Roman"/>
                <w:b/>
                <w:sz w:val="28"/>
                <w:szCs w:val="28"/>
                <w:lang w:val="uk-UA"/>
              </w:rPr>
              <w:t> пункту 12.4 та </w:t>
            </w:r>
            <w:hyperlink r:id="rId27" w:anchor="n249" w:tgtFrame="_blank" w:history="1">
              <w:r w:rsidRPr="008D5077">
                <w:rPr>
                  <w:rFonts w:ascii="Times New Roman" w:hAnsi="Times New Roman"/>
                  <w:b/>
                  <w:sz w:val="28"/>
                  <w:szCs w:val="28"/>
                  <w:lang w:val="uk-UA"/>
                </w:rPr>
                <w:t>пункту 12.5</w:t>
              </w:r>
            </w:hyperlink>
            <w:r w:rsidRPr="008D5077">
              <w:rPr>
                <w:rFonts w:ascii="Times New Roman" w:hAnsi="Times New Roman"/>
                <w:b/>
                <w:sz w:val="28"/>
                <w:szCs w:val="28"/>
                <w:lang w:val="uk-UA"/>
              </w:rPr>
              <w:t> статті 12 цього Кодексу та </w:t>
            </w:r>
            <w:hyperlink r:id="rId28" w:tgtFrame="_blank" w:history="1">
              <w:r w:rsidRPr="008D5077">
                <w:rPr>
                  <w:rFonts w:ascii="Times New Roman" w:hAnsi="Times New Roman"/>
                  <w:b/>
                  <w:sz w:val="28"/>
                  <w:szCs w:val="28"/>
                  <w:lang w:val="uk-UA"/>
                </w:rPr>
                <w:t>Закону України</w:t>
              </w:r>
            </w:hyperlink>
            <w:r w:rsidRPr="008D5077">
              <w:rPr>
                <w:rFonts w:ascii="Times New Roman" w:hAnsi="Times New Roman"/>
                <w:b/>
                <w:sz w:val="28"/>
                <w:szCs w:val="28"/>
                <w:lang w:val="uk-UA"/>
              </w:rPr>
              <w:t> "Про засади державної регуляторної політики у сфері господарської діяльності".</w:t>
            </w:r>
          </w:p>
        </w:tc>
      </w:tr>
      <w:bookmarkEnd w:id="8"/>
    </w:tbl>
    <w:p w:rsidR="00D820AF" w:rsidRPr="008D5077" w:rsidRDefault="00D820AF" w:rsidP="00D820AF">
      <w:pPr>
        <w:jc w:val="both"/>
        <w:rPr>
          <w:lang w:val="uk-UA"/>
        </w:rPr>
      </w:pPr>
    </w:p>
    <w:p w:rsidR="00F470E5" w:rsidRPr="008D5077" w:rsidRDefault="00F470E5" w:rsidP="00F470E5">
      <w:pPr>
        <w:ind w:firstLine="720"/>
        <w:rPr>
          <w:rFonts w:ascii="Times New Roman" w:hAnsi="Times New Roman"/>
          <w:b/>
          <w:sz w:val="28"/>
          <w:szCs w:val="28"/>
          <w:lang w:val="uk-UA"/>
        </w:rPr>
      </w:pPr>
      <w:r w:rsidRPr="008D5077">
        <w:rPr>
          <w:rFonts w:ascii="Times New Roman" w:hAnsi="Times New Roman"/>
          <w:b/>
          <w:sz w:val="28"/>
          <w:szCs w:val="28"/>
          <w:lang w:val="uk-UA"/>
        </w:rPr>
        <w:t>Народні депутати України</w:t>
      </w:r>
    </w:p>
    <w:p w:rsidR="00D820AF" w:rsidRPr="008D5077" w:rsidRDefault="00D820AF" w:rsidP="00D820AF">
      <w:pPr>
        <w:rPr>
          <w:lang w:val="uk-UA"/>
        </w:rPr>
      </w:pPr>
    </w:p>
    <w:p w:rsidR="00BB6A84" w:rsidRPr="008D5077" w:rsidRDefault="00BB6A84">
      <w:pPr>
        <w:rPr>
          <w:lang w:val="uk-UA"/>
        </w:rPr>
      </w:pPr>
    </w:p>
    <w:sectPr w:rsidR="00BB6A84" w:rsidRPr="008D5077" w:rsidSect="00AB6BF9">
      <w:headerReference w:type="even" r:id="rId29"/>
      <w:headerReference w:type="default" r:id="rId30"/>
      <w:footerReference w:type="even" r:id="rId31"/>
      <w:footerReference w:type="default" r:id="rId32"/>
      <w:headerReference w:type="first" r:id="rId33"/>
      <w:footerReference w:type="first" r:id="rId34"/>
      <w:pgSz w:w="16838" w:h="11906" w:orient="landscape"/>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27FB" w:rsidRDefault="00CD27FB" w:rsidP="00AB6BF9">
      <w:pPr>
        <w:spacing w:after="0" w:line="240" w:lineRule="auto"/>
      </w:pPr>
      <w:r>
        <w:separator/>
      </w:r>
    </w:p>
  </w:endnote>
  <w:endnote w:type="continuationSeparator" w:id="0">
    <w:p w:rsidR="00CD27FB" w:rsidRDefault="00CD27FB" w:rsidP="00AB6B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6BF9" w:rsidRDefault="00AB6BF9">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6BF9" w:rsidRDefault="00AB6BF9">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6BF9" w:rsidRDefault="00AB6BF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27FB" w:rsidRDefault="00CD27FB" w:rsidP="00AB6BF9">
      <w:pPr>
        <w:spacing w:after="0" w:line="240" w:lineRule="auto"/>
      </w:pPr>
      <w:r>
        <w:separator/>
      </w:r>
    </w:p>
  </w:footnote>
  <w:footnote w:type="continuationSeparator" w:id="0">
    <w:p w:rsidR="00CD27FB" w:rsidRDefault="00CD27FB" w:rsidP="00AB6B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6BF9" w:rsidRDefault="00AB6BF9">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0750893"/>
      <w:docPartObj>
        <w:docPartGallery w:val="Page Numbers (Top of Page)"/>
        <w:docPartUnique/>
      </w:docPartObj>
    </w:sdtPr>
    <w:sdtEndPr/>
    <w:sdtContent>
      <w:p w:rsidR="00AB6BF9" w:rsidRDefault="00AB6BF9">
        <w:pPr>
          <w:pStyle w:val="a3"/>
          <w:jc w:val="center"/>
        </w:pPr>
        <w:r>
          <w:fldChar w:fldCharType="begin"/>
        </w:r>
        <w:r>
          <w:instrText>PAGE   \* MERGEFORMAT</w:instrText>
        </w:r>
        <w:r>
          <w:fldChar w:fldCharType="separate"/>
        </w:r>
        <w:r w:rsidR="00954529" w:rsidRPr="00954529">
          <w:rPr>
            <w:noProof/>
            <w:lang w:val="uk-UA"/>
          </w:rPr>
          <w:t>2</w:t>
        </w:r>
        <w:r>
          <w:fldChar w:fldCharType="end"/>
        </w:r>
      </w:p>
    </w:sdtContent>
  </w:sdt>
  <w:p w:rsidR="00AB6BF9" w:rsidRDefault="00AB6BF9">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6BF9" w:rsidRDefault="00AB6BF9">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20AF"/>
    <w:rsid w:val="00006ED6"/>
    <w:rsid w:val="00245F9E"/>
    <w:rsid w:val="00674FC0"/>
    <w:rsid w:val="006A2BB7"/>
    <w:rsid w:val="008975E4"/>
    <w:rsid w:val="008D5077"/>
    <w:rsid w:val="00954529"/>
    <w:rsid w:val="00AB6BF9"/>
    <w:rsid w:val="00B41A8E"/>
    <w:rsid w:val="00BB6A84"/>
    <w:rsid w:val="00CD27FB"/>
    <w:rsid w:val="00CF55DA"/>
    <w:rsid w:val="00D820AF"/>
    <w:rsid w:val="00E51C98"/>
    <w:rsid w:val="00F44C70"/>
    <w:rsid w:val="00F470E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A5F7FE-85C9-4842-A780-4F18332AE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20AF"/>
    <w:pPr>
      <w:spacing w:after="200" w:line="276" w:lineRule="auto"/>
    </w:pPr>
    <w:rPr>
      <w:rFonts w:ascii="Calibri" w:eastAsia="Times New Roman" w:hAnsi="Calibri" w:cs="Times New Roman"/>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Zakonu">
    <w:name w:val="StyleZakonu"/>
    <w:basedOn w:val="a"/>
    <w:link w:val="StyleZakonu0"/>
    <w:rsid w:val="00D820AF"/>
    <w:pPr>
      <w:spacing w:after="60" w:line="220" w:lineRule="exact"/>
      <w:ind w:firstLine="284"/>
      <w:jc w:val="both"/>
    </w:pPr>
    <w:rPr>
      <w:rFonts w:ascii="Times New Roman" w:hAnsi="Times New Roman"/>
      <w:sz w:val="20"/>
      <w:szCs w:val="20"/>
      <w:lang w:val="uk-UA"/>
    </w:rPr>
  </w:style>
  <w:style w:type="character" w:customStyle="1" w:styleId="StyleZakonu0">
    <w:name w:val="StyleZakonu Знак"/>
    <w:link w:val="StyleZakonu"/>
    <w:locked/>
    <w:rsid w:val="00D820AF"/>
    <w:rPr>
      <w:rFonts w:ascii="Times New Roman" w:eastAsia="Times New Roman" w:hAnsi="Times New Roman" w:cs="Times New Roman"/>
      <w:sz w:val="20"/>
      <w:szCs w:val="20"/>
      <w:lang w:val="uk-UA" w:eastAsia="ru-RU"/>
    </w:rPr>
  </w:style>
  <w:style w:type="paragraph" w:customStyle="1" w:styleId="rvps2">
    <w:name w:val="rvps2"/>
    <w:basedOn w:val="a"/>
    <w:rsid w:val="00D820AF"/>
    <w:pPr>
      <w:spacing w:before="100" w:beforeAutospacing="1" w:after="100" w:afterAutospacing="1" w:line="240" w:lineRule="auto"/>
    </w:pPr>
    <w:rPr>
      <w:rFonts w:ascii="Times New Roman" w:hAnsi="Times New Roman"/>
      <w:sz w:val="24"/>
      <w:szCs w:val="24"/>
      <w:lang w:val="uk-UA" w:eastAsia="uk-UA"/>
    </w:rPr>
  </w:style>
  <w:style w:type="character" w:customStyle="1" w:styleId="rvts9">
    <w:name w:val="rvts9"/>
    <w:basedOn w:val="a0"/>
    <w:rsid w:val="00D820AF"/>
  </w:style>
  <w:style w:type="paragraph" w:styleId="a3">
    <w:name w:val="header"/>
    <w:basedOn w:val="a"/>
    <w:link w:val="a4"/>
    <w:uiPriority w:val="99"/>
    <w:unhideWhenUsed/>
    <w:rsid w:val="00AB6BF9"/>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AB6BF9"/>
    <w:rPr>
      <w:rFonts w:ascii="Calibri" w:eastAsia="Times New Roman" w:hAnsi="Calibri" w:cs="Times New Roman"/>
      <w:lang w:val="ru-RU" w:eastAsia="ru-RU"/>
    </w:rPr>
  </w:style>
  <w:style w:type="paragraph" w:styleId="a5">
    <w:name w:val="footer"/>
    <w:basedOn w:val="a"/>
    <w:link w:val="a6"/>
    <w:uiPriority w:val="99"/>
    <w:unhideWhenUsed/>
    <w:rsid w:val="00AB6BF9"/>
    <w:pPr>
      <w:tabs>
        <w:tab w:val="center" w:pos="4819"/>
        <w:tab w:val="right" w:pos="9639"/>
      </w:tabs>
      <w:spacing w:after="0" w:line="240" w:lineRule="auto"/>
    </w:pPr>
  </w:style>
  <w:style w:type="character" w:customStyle="1" w:styleId="a6">
    <w:name w:val="Нижній колонтитул Знак"/>
    <w:basedOn w:val="a0"/>
    <w:link w:val="a5"/>
    <w:uiPriority w:val="99"/>
    <w:rsid w:val="00AB6BF9"/>
    <w:rPr>
      <w:rFonts w:ascii="Calibri" w:eastAsia="Times New Roman" w:hAnsi="Calibri"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2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rada/show/2755-17" TargetMode="External"/><Relationship Id="rId18" Type="http://schemas.openxmlformats.org/officeDocument/2006/relationships/hyperlink" Target="https://zakon.rada.gov.ua/rada/show/1160-15" TargetMode="External"/><Relationship Id="rId26" Type="http://schemas.openxmlformats.org/officeDocument/2006/relationships/hyperlink" Target="https://zakon.rada.gov.ua/rada/show/2755-17" TargetMode="External"/><Relationship Id="rId3" Type="http://schemas.openxmlformats.org/officeDocument/2006/relationships/customXml" Target="../customXml/item3.xml"/><Relationship Id="rId21" Type="http://schemas.openxmlformats.org/officeDocument/2006/relationships/hyperlink" Target="https://zakon.rada.gov.ua/rada/show/2755-17" TargetMode="External"/><Relationship Id="rId34"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s://zakon.rada.gov.ua/rada/show/2755-17" TargetMode="External"/><Relationship Id="rId17" Type="http://schemas.openxmlformats.org/officeDocument/2006/relationships/hyperlink" Target="https://zakon.rada.gov.ua/rada/show/2755-17" TargetMode="External"/><Relationship Id="rId25" Type="http://schemas.openxmlformats.org/officeDocument/2006/relationships/hyperlink" Target="https://zakon.rada.gov.ua/rada/show/2755-17" TargetMode="Externa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zakon.rada.gov.ua/rada/show/2755-17" TargetMode="External"/><Relationship Id="rId20" Type="http://schemas.openxmlformats.org/officeDocument/2006/relationships/hyperlink" Target="https://zakon.rada.gov.ua/rada/show/1555-18"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rada/show/2755-17" TargetMode="External"/><Relationship Id="rId24" Type="http://schemas.openxmlformats.org/officeDocument/2006/relationships/hyperlink" Target="https://zakon.rada.gov.ua/rada/show/2755-17" TargetMode="External"/><Relationship Id="rId32"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zakon.rada.gov.ua/rada/show/2755-17" TargetMode="External"/><Relationship Id="rId23" Type="http://schemas.openxmlformats.org/officeDocument/2006/relationships/hyperlink" Target="https://zakon.rada.gov.ua/rada/show/2755-17" TargetMode="External"/><Relationship Id="rId28" Type="http://schemas.openxmlformats.org/officeDocument/2006/relationships/hyperlink" Target="https://zakon.rada.gov.ua/rada/show/1160-15" TargetMode="External"/><Relationship Id="rId36" Type="http://schemas.openxmlformats.org/officeDocument/2006/relationships/theme" Target="theme/theme1.xml"/><Relationship Id="rId10" Type="http://schemas.openxmlformats.org/officeDocument/2006/relationships/hyperlink" Target="https://zakon.rada.gov.ua/rada/show/2755-17" TargetMode="External"/><Relationship Id="rId19" Type="http://schemas.openxmlformats.org/officeDocument/2006/relationships/hyperlink" Target="https://zakon.rada.gov.ua/rada/show/2939-17" TargetMode="Externa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zakon.rada.gov.ua/rada/show/2755-17" TargetMode="External"/><Relationship Id="rId14" Type="http://schemas.openxmlformats.org/officeDocument/2006/relationships/hyperlink" Target="https://zakon.rada.gov.ua/rada/show/2755-17" TargetMode="External"/><Relationship Id="rId22" Type="http://schemas.openxmlformats.org/officeDocument/2006/relationships/hyperlink" Target="https://zakon.rada.gov.ua/rada/show/2755-17" TargetMode="External"/><Relationship Id="rId27" Type="http://schemas.openxmlformats.org/officeDocument/2006/relationships/hyperlink" Target="https://zakon.rada.gov.ua/rada/show/2755-17"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ADC60B-B7E3-4373-BC8D-D4A6825336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60BCE9-107E-42ED-90C8-DA40392BBB1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66FF906-DF0C-408A-AFAE-FF5A782CA3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9037</Words>
  <Characters>5152</Characters>
  <Application>Microsoft Office Word</Application>
  <DocSecurity>0</DocSecurity>
  <Lines>42</Lines>
  <Paragraphs>28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2021-06-23T12:19:00Z</dcterms:created>
  <dcterms:modified xsi:type="dcterms:W3CDTF">2021-06-23T12:19:00Z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