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39F" w:rsidRPr="00A4239F" w:rsidRDefault="00A4239F" w:rsidP="00A4239F">
      <w:pPr>
        <w:ind w:firstLine="397"/>
        <w:jc w:val="center"/>
        <w:rPr>
          <w:color w:val="002060"/>
          <w:sz w:val="32"/>
          <w:szCs w:val="32"/>
        </w:rPr>
      </w:pPr>
      <w:r w:rsidRPr="00A4239F">
        <w:rPr>
          <w:noProof/>
          <w:sz w:val="28"/>
          <w:szCs w:val="28"/>
          <w:lang w:eastAsia="uk-UA"/>
        </w:rPr>
        <w:drawing>
          <wp:anchor distT="360045" distB="0" distL="114300" distR="114300" simplePos="0" relativeHeight="251659264" behindDoc="0" locked="0" layoutInCell="1" allowOverlap="1" wp14:anchorId="492C6E07" wp14:editId="4885CED2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39F" w:rsidRPr="00A4239F" w:rsidRDefault="00A4239F" w:rsidP="00A4239F">
      <w:pPr>
        <w:ind w:firstLine="397"/>
        <w:jc w:val="center"/>
        <w:rPr>
          <w:color w:val="002060"/>
          <w:sz w:val="32"/>
          <w:szCs w:val="32"/>
        </w:rPr>
      </w:pPr>
    </w:p>
    <w:p w:rsidR="00A4239F" w:rsidRPr="00A4239F" w:rsidRDefault="00A4239F" w:rsidP="00A4239F">
      <w:pPr>
        <w:ind w:firstLine="397"/>
        <w:jc w:val="center"/>
        <w:rPr>
          <w:color w:val="002060"/>
          <w:sz w:val="32"/>
          <w:szCs w:val="32"/>
        </w:rPr>
      </w:pPr>
    </w:p>
    <w:p w:rsidR="00A4239F" w:rsidRPr="00A4239F" w:rsidRDefault="00A4239F" w:rsidP="00A4239F">
      <w:pPr>
        <w:ind w:firstLine="397"/>
        <w:jc w:val="center"/>
        <w:rPr>
          <w:color w:val="1829A8"/>
          <w:spacing w:val="20"/>
          <w:sz w:val="34"/>
          <w:szCs w:val="34"/>
        </w:rPr>
      </w:pPr>
      <w:r w:rsidRPr="00A4239F">
        <w:rPr>
          <w:color w:val="1829A8"/>
          <w:spacing w:val="20"/>
          <w:sz w:val="34"/>
          <w:szCs w:val="34"/>
        </w:rPr>
        <w:t>ВЕРХОВНА РАДА УКРАЇНИ</w:t>
      </w:r>
    </w:p>
    <w:p w:rsidR="00A4239F" w:rsidRPr="00A4239F" w:rsidRDefault="00A4239F" w:rsidP="00A4239F">
      <w:pPr>
        <w:ind w:firstLine="397"/>
        <w:jc w:val="center"/>
        <w:rPr>
          <w:b/>
          <w:color w:val="1829A8"/>
          <w:spacing w:val="20"/>
        </w:rPr>
      </w:pPr>
      <w:r w:rsidRPr="00A4239F">
        <w:rPr>
          <w:b/>
          <w:color w:val="1829A8"/>
          <w:spacing w:val="20"/>
        </w:rPr>
        <w:t>Комітет з питань інтеграції України до Європейського Союзу</w:t>
      </w:r>
    </w:p>
    <w:p w:rsidR="00A4239F" w:rsidRPr="00A4239F" w:rsidRDefault="00A4239F" w:rsidP="00A4239F">
      <w:pPr>
        <w:rPr>
          <w:sz w:val="28"/>
          <w:szCs w:val="28"/>
        </w:rPr>
      </w:pPr>
      <w:r w:rsidRPr="00A4239F">
        <w:rPr>
          <w:color w:val="1829A8"/>
          <w:sz w:val="20"/>
          <w:szCs w:val="20"/>
        </w:rPr>
        <w:t xml:space="preserve">01008, м.Київ-8, вул. М. Грушевського, 5, </w:t>
      </w:r>
      <w:proofErr w:type="spellStart"/>
      <w:r w:rsidRPr="00A4239F">
        <w:rPr>
          <w:color w:val="1829A8"/>
          <w:sz w:val="20"/>
          <w:szCs w:val="20"/>
        </w:rPr>
        <w:t>тел</w:t>
      </w:r>
      <w:proofErr w:type="spellEnd"/>
      <w:r w:rsidRPr="00A4239F">
        <w:rPr>
          <w:color w:val="1829A8"/>
          <w:sz w:val="20"/>
          <w:szCs w:val="20"/>
        </w:rPr>
        <w:t>.: 255-34-42, факс: 255-33-13, e-</w:t>
      </w:r>
      <w:proofErr w:type="spellStart"/>
      <w:r w:rsidRPr="00A4239F">
        <w:rPr>
          <w:color w:val="1829A8"/>
          <w:sz w:val="20"/>
          <w:szCs w:val="20"/>
        </w:rPr>
        <w:t>mail</w:t>
      </w:r>
      <w:proofErr w:type="spellEnd"/>
      <w:r w:rsidRPr="00A4239F">
        <w:rPr>
          <w:color w:val="1829A8"/>
          <w:sz w:val="20"/>
          <w:szCs w:val="20"/>
        </w:rPr>
        <w:t>: comeuroint@v.rada.gov.ua</w:t>
      </w:r>
    </w:p>
    <w:p w:rsidR="00A4239F" w:rsidRPr="00A4239F" w:rsidRDefault="00A4239F" w:rsidP="00A4239F">
      <w:pPr>
        <w:ind w:firstLine="397"/>
        <w:jc w:val="center"/>
        <w:rPr>
          <w:sz w:val="28"/>
          <w:szCs w:val="28"/>
        </w:rPr>
      </w:pPr>
    </w:p>
    <w:p w:rsidR="00A4239F" w:rsidRPr="00A4239F" w:rsidRDefault="00A4239F" w:rsidP="00A4239F">
      <w:pPr>
        <w:ind w:firstLine="397"/>
        <w:jc w:val="center"/>
        <w:rPr>
          <w:sz w:val="28"/>
          <w:szCs w:val="28"/>
        </w:rPr>
      </w:pPr>
    </w:p>
    <w:p w:rsidR="00A4239F" w:rsidRPr="00A4239F" w:rsidRDefault="00A4239F" w:rsidP="00A4239F">
      <w:pPr>
        <w:ind w:firstLine="397"/>
        <w:jc w:val="center"/>
        <w:rPr>
          <w:b/>
          <w:sz w:val="28"/>
          <w:szCs w:val="28"/>
        </w:rPr>
      </w:pPr>
      <w:r w:rsidRPr="00A4239F">
        <w:rPr>
          <w:b/>
          <w:sz w:val="28"/>
          <w:szCs w:val="28"/>
        </w:rPr>
        <w:t>ВИСНОВОК</w:t>
      </w:r>
    </w:p>
    <w:p w:rsidR="00A4239F" w:rsidRPr="00A4239F" w:rsidRDefault="00A4239F" w:rsidP="00A4239F">
      <w:pPr>
        <w:ind w:firstLine="397"/>
        <w:jc w:val="center"/>
        <w:rPr>
          <w:b/>
          <w:sz w:val="28"/>
          <w:szCs w:val="28"/>
        </w:rPr>
      </w:pPr>
      <w:r w:rsidRPr="00A4239F">
        <w:rPr>
          <w:b/>
          <w:sz w:val="28"/>
          <w:szCs w:val="28"/>
        </w:rPr>
        <w:t xml:space="preserve">щодо </w:t>
      </w:r>
      <w:proofErr w:type="spellStart"/>
      <w:r w:rsidRPr="00A4239F">
        <w:rPr>
          <w:b/>
          <w:sz w:val="28"/>
          <w:szCs w:val="28"/>
        </w:rPr>
        <w:t>проєкту</w:t>
      </w:r>
      <w:proofErr w:type="spellEnd"/>
      <w:r w:rsidRPr="00A4239F">
        <w:rPr>
          <w:b/>
          <w:sz w:val="28"/>
          <w:szCs w:val="28"/>
        </w:rPr>
        <w:t xml:space="preserve"> Закону України</w:t>
      </w:r>
    </w:p>
    <w:p w:rsidR="00166E9D" w:rsidRPr="00B61B05" w:rsidRDefault="00166E9D" w:rsidP="00166E9D">
      <w:pPr>
        <w:suppressAutoHyphens/>
        <w:autoSpaceDE w:val="0"/>
        <w:jc w:val="center"/>
        <w:rPr>
          <w:rFonts w:eastAsia="Calibri"/>
          <w:sz w:val="28"/>
          <w:szCs w:val="28"/>
          <w:lang w:eastAsia="ar-SA"/>
        </w:rPr>
      </w:pPr>
      <w:r w:rsidRPr="00B61B05">
        <w:rPr>
          <w:rFonts w:eastAsia="Calibri"/>
          <w:sz w:val="28"/>
          <w:szCs w:val="28"/>
          <w:lang w:eastAsia="ar-SA"/>
        </w:rPr>
        <w:t xml:space="preserve">"Про </w:t>
      </w:r>
      <w:r w:rsidR="000506C6" w:rsidRPr="000506C6">
        <w:rPr>
          <w:rFonts w:eastAsia="Calibri"/>
          <w:sz w:val="28"/>
          <w:szCs w:val="28"/>
          <w:lang w:eastAsia="ar-SA"/>
        </w:rPr>
        <w:t>внесення змін до Закону України "Про державну допомогу суб'єктам господарювання" щодо забезпечення принципів місцевого самоврядування</w:t>
      </w:r>
      <w:r w:rsidRPr="00B61B05">
        <w:rPr>
          <w:rFonts w:eastAsia="Calibri"/>
          <w:sz w:val="28"/>
          <w:szCs w:val="28"/>
          <w:lang w:eastAsia="ar-SA"/>
        </w:rPr>
        <w:t>"</w:t>
      </w:r>
    </w:p>
    <w:p w:rsidR="00166E9D" w:rsidRPr="00B61B05" w:rsidRDefault="00166E9D" w:rsidP="000461D3">
      <w:pPr>
        <w:jc w:val="center"/>
        <w:rPr>
          <w:bCs/>
          <w:sz w:val="28"/>
          <w:szCs w:val="28"/>
        </w:rPr>
      </w:pPr>
      <w:r w:rsidRPr="00B61B05">
        <w:rPr>
          <w:bCs/>
          <w:sz w:val="28"/>
          <w:szCs w:val="28"/>
        </w:rPr>
        <w:t>(реєстр. № </w:t>
      </w:r>
      <w:r w:rsidR="000506C6" w:rsidRPr="000506C6">
        <w:rPr>
          <w:bCs/>
          <w:sz w:val="28"/>
          <w:szCs w:val="28"/>
        </w:rPr>
        <w:t>5701</w:t>
      </w:r>
      <w:r w:rsidR="00A4239F" w:rsidRPr="00B61B05">
        <w:rPr>
          <w:bCs/>
          <w:sz w:val="28"/>
          <w:szCs w:val="28"/>
        </w:rPr>
        <w:t xml:space="preserve"> від </w:t>
      </w:r>
      <w:r w:rsidR="000506C6" w:rsidRPr="000506C6">
        <w:rPr>
          <w:bCs/>
          <w:sz w:val="28"/>
          <w:szCs w:val="28"/>
        </w:rPr>
        <w:t>24.06.2021</w:t>
      </w:r>
      <w:r w:rsidRPr="00B61B05">
        <w:rPr>
          <w:bCs/>
          <w:sz w:val="28"/>
          <w:szCs w:val="28"/>
        </w:rPr>
        <w:t xml:space="preserve">, </w:t>
      </w:r>
      <w:proofErr w:type="spellStart"/>
      <w:r w:rsidRPr="00B61B05">
        <w:rPr>
          <w:bCs/>
          <w:sz w:val="28"/>
          <w:szCs w:val="28"/>
        </w:rPr>
        <w:t>н.д</w:t>
      </w:r>
      <w:proofErr w:type="spellEnd"/>
      <w:r w:rsidRPr="00B61B05">
        <w:rPr>
          <w:bCs/>
          <w:sz w:val="28"/>
          <w:szCs w:val="28"/>
        </w:rPr>
        <w:t xml:space="preserve">. </w:t>
      </w:r>
      <w:r w:rsidR="000506C6">
        <w:rPr>
          <w:bCs/>
          <w:sz w:val="28"/>
          <w:szCs w:val="28"/>
        </w:rPr>
        <w:t>Д</w:t>
      </w:r>
      <w:r w:rsidR="000461D3" w:rsidRPr="00B61B05">
        <w:rPr>
          <w:bCs/>
          <w:sz w:val="28"/>
          <w:szCs w:val="28"/>
        </w:rPr>
        <w:t>.</w:t>
      </w:r>
      <w:r w:rsidR="000506C6" w:rsidRPr="000506C6">
        <w:t xml:space="preserve"> </w:t>
      </w:r>
      <w:proofErr w:type="spellStart"/>
      <w:r w:rsidR="000506C6" w:rsidRPr="000506C6">
        <w:rPr>
          <w:bCs/>
          <w:sz w:val="28"/>
          <w:szCs w:val="28"/>
        </w:rPr>
        <w:t>Гетманцев</w:t>
      </w:r>
      <w:proofErr w:type="spellEnd"/>
      <w:r w:rsidR="00A4239F" w:rsidRPr="00B61B05">
        <w:rPr>
          <w:bCs/>
          <w:sz w:val="28"/>
          <w:szCs w:val="28"/>
        </w:rPr>
        <w:t xml:space="preserve"> та </w:t>
      </w:r>
      <w:proofErr w:type="spellStart"/>
      <w:r w:rsidR="00A4239F" w:rsidRPr="00B61B05">
        <w:rPr>
          <w:bCs/>
          <w:sz w:val="28"/>
          <w:szCs w:val="28"/>
        </w:rPr>
        <w:t>інш</w:t>
      </w:r>
      <w:proofErr w:type="spellEnd"/>
      <w:r w:rsidR="00A4239F" w:rsidRPr="00B61B05">
        <w:rPr>
          <w:bCs/>
          <w:sz w:val="28"/>
          <w:szCs w:val="28"/>
        </w:rPr>
        <w:t>.</w:t>
      </w:r>
      <w:r w:rsidRPr="00B61B05">
        <w:rPr>
          <w:bCs/>
          <w:sz w:val="28"/>
          <w:szCs w:val="28"/>
        </w:rPr>
        <w:t>)</w:t>
      </w:r>
      <w:r w:rsidR="00656A2B">
        <w:rPr>
          <w:rStyle w:val="af0"/>
          <w:bCs/>
          <w:sz w:val="28"/>
          <w:szCs w:val="28"/>
        </w:rPr>
        <w:footnoteReference w:id="1"/>
      </w:r>
    </w:p>
    <w:p w:rsidR="00166E9D" w:rsidRPr="00B61B05" w:rsidRDefault="00166E9D" w:rsidP="00166E9D">
      <w:pPr>
        <w:shd w:val="clear" w:color="auto" w:fill="FFFFFF"/>
        <w:ind w:firstLine="709"/>
        <w:textAlignment w:val="baseline"/>
        <w:rPr>
          <w:rFonts w:eastAsia="Calibri"/>
          <w:b/>
          <w:bCs/>
          <w:sz w:val="28"/>
          <w:szCs w:val="28"/>
        </w:rPr>
      </w:pPr>
    </w:p>
    <w:p w:rsidR="00166E9D" w:rsidRPr="00B61B05" w:rsidRDefault="00166E9D" w:rsidP="00166E9D">
      <w:pPr>
        <w:shd w:val="clear" w:color="auto" w:fill="FFFFFF"/>
        <w:ind w:firstLine="709"/>
        <w:jc w:val="both"/>
        <w:textAlignment w:val="baseline"/>
        <w:rPr>
          <w:rFonts w:eastAsia="Calibri"/>
          <w:b/>
          <w:sz w:val="28"/>
          <w:szCs w:val="28"/>
        </w:rPr>
      </w:pPr>
      <w:r w:rsidRPr="00B61B05">
        <w:rPr>
          <w:rFonts w:eastAsia="Calibri"/>
          <w:b/>
          <w:bCs/>
          <w:sz w:val="28"/>
          <w:szCs w:val="28"/>
        </w:rPr>
        <w:t xml:space="preserve">1. </w:t>
      </w:r>
      <w:r w:rsidRPr="00B61B05">
        <w:rPr>
          <w:rFonts w:eastAsia="Calibri"/>
          <w:b/>
          <w:sz w:val="28"/>
          <w:szCs w:val="28"/>
        </w:rPr>
        <w:t xml:space="preserve">Загальна характеристика </w:t>
      </w:r>
      <w:proofErr w:type="spellStart"/>
      <w:r w:rsidRPr="00B61B05">
        <w:rPr>
          <w:rFonts w:eastAsia="Calibri"/>
          <w:b/>
          <w:sz w:val="28"/>
          <w:szCs w:val="28"/>
        </w:rPr>
        <w:t>законо</w:t>
      </w:r>
      <w:r w:rsidR="00793BB9" w:rsidRPr="00B61B05">
        <w:rPr>
          <w:rFonts w:eastAsia="Calibri"/>
          <w:b/>
          <w:sz w:val="28"/>
          <w:szCs w:val="28"/>
        </w:rPr>
        <w:t>проєкт</w:t>
      </w:r>
      <w:r w:rsidRPr="00B61B05">
        <w:rPr>
          <w:rFonts w:eastAsia="Calibri"/>
          <w:b/>
          <w:sz w:val="28"/>
          <w:szCs w:val="28"/>
        </w:rPr>
        <w:t>у</w:t>
      </w:r>
      <w:proofErr w:type="spellEnd"/>
    </w:p>
    <w:p w:rsidR="00166E9D" w:rsidRPr="00B61B05" w:rsidRDefault="00BC6DDF" w:rsidP="00A4239F">
      <w:pPr>
        <w:ind w:firstLine="708"/>
        <w:jc w:val="both"/>
        <w:rPr>
          <w:sz w:val="28"/>
          <w:szCs w:val="28"/>
        </w:rPr>
      </w:pPr>
      <w:r w:rsidRPr="00BC6DDF">
        <w:rPr>
          <w:sz w:val="28"/>
          <w:szCs w:val="28"/>
        </w:rPr>
        <w:t>Законопроектом пропонується виключити із Закону України «Про державну допомогу суб’єктам господарювання» згадки про надання державної допомоги за рахунок місцевих ресурсів.</w:t>
      </w:r>
    </w:p>
    <w:p w:rsidR="00166E9D" w:rsidRPr="00B61B05" w:rsidRDefault="00166E9D" w:rsidP="00166E9D">
      <w:pPr>
        <w:spacing w:before="120"/>
        <w:ind w:firstLine="720"/>
        <w:jc w:val="both"/>
        <w:rPr>
          <w:b/>
          <w:sz w:val="28"/>
          <w:szCs w:val="28"/>
        </w:rPr>
      </w:pPr>
      <w:r w:rsidRPr="00B61B05">
        <w:rPr>
          <w:b/>
          <w:sz w:val="28"/>
          <w:szCs w:val="28"/>
        </w:rPr>
        <w:t xml:space="preserve">2. Належність </w:t>
      </w:r>
      <w:proofErr w:type="spellStart"/>
      <w:r w:rsidRPr="00B61B05">
        <w:rPr>
          <w:b/>
          <w:sz w:val="28"/>
          <w:szCs w:val="28"/>
        </w:rPr>
        <w:t>законо</w:t>
      </w:r>
      <w:r w:rsidR="00793BB9" w:rsidRPr="00B61B05">
        <w:rPr>
          <w:b/>
          <w:sz w:val="28"/>
          <w:szCs w:val="28"/>
        </w:rPr>
        <w:t>проєкт</w:t>
      </w:r>
      <w:r w:rsidRPr="00B61B05">
        <w:rPr>
          <w:b/>
          <w:sz w:val="28"/>
          <w:szCs w:val="28"/>
        </w:rPr>
        <w:t>у</w:t>
      </w:r>
      <w:proofErr w:type="spellEnd"/>
      <w:r w:rsidRPr="00B61B05">
        <w:rPr>
          <w:b/>
          <w:sz w:val="28"/>
          <w:szCs w:val="28"/>
        </w:rPr>
        <w:t xml:space="preserve"> за предметом правового регулювання до сфери дії права Європейського Союзу</w:t>
      </w:r>
    </w:p>
    <w:p w:rsidR="00166E9D" w:rsidRPr="00B61B05" w:rsidRDefault="00166E9D" w:rsidP="00CB1F2F">
      <w:pPr>
        <w:spacing w:before="120"/>
        <w:ind w:firstLine="720"/>
        <w:jc w:val="both"/>
        <w:rPr>
          <w:sz w:val="28"/>
          <w:szCs w:val="28"/>
        </w:rPr>
      </w:pPr>
      <w:r w:rsidRPr="00B61B05">
        <w:rPr>
          <w:sz w:val="28"/>
          <w:szCs w:val="28"/>
        </w:rPr>
        <w:t xml:space="preserve">Положення </w:t>
      </w:r>
      <w:proofErr w:type="spellStart"/>
      <w:r w:rsidR="00793BB9" w:rsidRPr="00B61B05">
        <w:rPr>
          <w:sz w:val="28"/>
          <w:szCs w:val="28"/>
        </w:rPr>
        <w:t>проєкт</w:t>
      </w:r>
      <w:r w:rsidRPr="00B61B05">
        <w:rPr>
          <w:sz w:val="28"/>
          <w:szCs w:val="28"/>
        </w:rPr>
        <w:t>у</w:t>
      </w:r>
      <w:proofErr w:type="spellEnd"/>
      <w:r w:rsidRPr="00B61B05">
        <w:rPr>
          <w:sz w:val="28"/>
          <w:szCs w:val="28"/>
        </w:rPr>
        <w:t xml:space="preserve"> закону </w:t>
      </w:r>
      <w:r w:rsidR="0043761C" w:rsidRPr="00B61B05">
        <w:rPr>
          <w:sz w:val="28"/>
          <w:szCs w:val="28"/>
        </w:rPr>
        <w:t>за предметом правового регулювання належить до сфер конкуренції та державної допомоги, зобов’язання та особливості адаптації національного законодавства в яких визначаються статями 253-261 Частини 1 та 262-267 Частини 2 «Державна допомога» Глави 10 «Конкуренція» Розділу IV «Торгівля і питання, пов’язані з торгівлею» Угоди про асоціацію між Україною, з однієї сторони, та європейським союзом і його державами-членами, з іншої сторони (далі Угода про асоціацію).</w:t>
      </w:r>
    </w:p>
    <w:p w:rsidR="00166E9D" w:rsidRPr="00B61B05" w:rsidRDefault="00166E9D" w:rsidP="00166E9D">
      <w:pPr>
        <w:ind w:firstLine="708"/>
        <w:rPr>
          <w:b/>
          <w:sz w:val="28"/>
          <w:szCs w:val="28"/>
        </w:rPr>
      </w:pPr>
    </w:p>
    <w:p w:rsidR="00166E9D" w:rsidRPr="00B61B05" w:rsidRDefault="00166E9D" w:rsidP="00166E9D">
      <w:pPr>
        <w:ind w:firstLine="708"/>
        <w:rPr>
          <w:b/>
          <w:sz w:val="28"/>
          <w:szCs w:val="28"/>
        </w:rPr>
      </w:pPr>
      <w:r w:rsidRPr="00B61B05">
        <w:rPr>
          <w:b/>
          <w:sz w:val="28"/>
          <w:szCs w:val="28"/>
        </w:rPr>
        <w:t xml:space="preserve">3. Відповідність </w:t>
      </w:r>
      <w:proofErr w:type="spellStart"/>
      <w:r w:rsidRPr="00B61B05">
        <w:rPr>
          <w:b/>
          <w:sz w:val="28"/>
          <w:szCs w:val="28"/>
        </w:rPr>
        <w:t>законо</w:t>
      </w:r>
      <w:r w:rsidR="00793BB9" w:rsidRPr="00B61B05">
        <w:rPr>
          <w:b/>
          <w:sz w:val="28"/>
          <w:szCs w:val="28"/>
        </w:rPr>
        <w:t>проєкт</w:t>
      </w:r>
      <w:r w:rsidRPr="00B61B05">
        <w:rPr>
          <w:b/>
          <w:sz w:val="28"/>
          <w:szCs w:val="28"/>
        </w:rPr>
        <w:t>у</w:t>
      </w:r>
      <w:proofErr w:type="spellEnd"/>
      <w:r w:rsidRPr="00B61B05">
        <w:rPr>
          <w:b/>
          <w:sz w:val="28"/>
          <w:szCs w:val="28"/>
        </w:rPr>
        <w:t xml:space="preserve"> праву ЄС</w:t>
      </w:r>
    </w:p>
    <w:p w:rsidR="00BC6DDF" w:rsidRPr="00401124" w:rsidRDefault="00BC6DDF" w:rsidP="00BC6D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На думку авторів ч</w:t>
      </w:r>
      <w:r w:rsidRPr="00401124">
        <w:rPr>
          <w:sz w:val="28"/>
          <w:szCs w:val="28"/>
        </w:rPr>
        <w:t>инна редакція закону України «Про державну допомогу суб’єктам господарювання»</w:t>
      </w:r>
      <w:r>
        <w:rPr>
          <w:sz w:val="28"/>
          <w:szCs w:val="28"/>
        </w:rPr>
        <w:t xml:space="preserve">, якою до державної допомоги, серед іншого відноситься також допомога, надана органами </w:t>
      </w:r>
      <w:r w:rsidRPr="00401124">
        <w:rPr>
          <w:sz w:val="28"/>
          <w:szCs w:val="28"/>
          <w:lang w:eastAsia="uk-UA"/>
        </w:rPr>
        <w:t xml:space="preserve">місцевого самоврядування </w:t>
      </w:r>
      <w:r>
        <w:rPr>
          <w:sz w:val="28"/>
          <w:szCs w:val="28"/>
          <w:lang w:eastAsia="uk-UA"/>
        </w:rPr>
        <w:t xml:space="preserve">не узгоджується з міжнародно-правовими зобов’язаннями України в рамках </w:t>
      </w:r>
      <w:r w:rsidRPr="00BC6DDF">
        <w:rPr>
          <w:sz w:val="28"/>
          <w:szCs w:val="28"/>
          <w:lang w:eastAsia="uk-UA"/>
        </w:rPr>
        <w:t>Угоди про асоціацію</w:t>
      </w:r>
      <w:r>
        <w:rPr>
          <w:sz w:val="28"/>
          <w:szCs w:val="28"/>
          <w:lang w:eastAsia="uk-UA"/>
        </w:rPr>
        <w:t xml:space="preserve">, а саме </w:t>
      </w:r>
      <w:r w:rsidRPr="00401124">
        <w:rPr>
          <w:sz w:val="28"/>
          <w:szCs w:val="28"/>
          <w:lang w:eastAsia="uk-UA"/>
        </w:rPr>
        <w:t>розділ</w:t>
      </w:r>
      <w:r>
        <w:rPr>
          <w:sz w:val="28"/>
          <w:szCs w:val="28"/>
          <w:lang w:eastAsia="uk-UA"/>
        </w:rPr>
        <w:t>у</w:t>
      </w:r>
      <w:r w:rsidRPr="00401124">
        <w:rPr>
          <w:sz w:val="28"/>
          <w:szCs w:val="28"/>
          <w:lang w:eastAsia="uk-UA"/>
        </w:rPr>
        <w:t xml:space="preserve"> «Державна допомога».</w:t>
      </w:r>
      <w:r>
        <w:rPr>
          <w:sz w:val="28"/>
          <w:szCs w:val="28"/>
          <w:lang w:eastAsia="uk-UA"/>
        </w:rPr>
        <w:t xml:space="preserve"> Автори вважають, що існуючі норми обмежують право </w:t>
      </w:r>
      <w:r w:rsidRPr="00401124">
        <w:rPr>
          <w:sz w:val="28"/>
          <w:szCs w:val="28"/>
          <w:lang w:eastAsia="uk-UA"/>
        </w:rPr>
        <w:t xml:space="preserve">органів місцевого самоврядування розпоряджання місцевими ресурсами на власний розсуд </w:t>
      </w:r>
      <w:r>
        <w:rPr>
          <w:sz w:val="28"/>
          <w:szCs w:val="28"/>
          <w:lang w:eastAsia="uk-UA"/>
        </w:rPr>
        <w:t xml:space="preserve">чим </w:t>
      </w:r>
      <w:r w:rsidRPr="00401124">
        <w:rPr>
          <w:sz w:val="28"/>
          <w:szCs w:val="28"/>
          <w:lang w:eastAsia="uk-UA"/>
        </w:rPr>
        <w:t>порушу</w:t>
      </w:r>
      <w:r>
        <w:rPr>
          <w:sz w:val="28"/>
          <w:szCs w:val="28"/>
          <w:lang w:eastAsia="uk-UA"/>
        </w:rPr>
        <w:t>ються</w:t>
      </w:r>
      <w:r w:rsidRPr="00401124">
        <w:rPr>
          <w:sz w:val="28"/>
          <w:szCs w:val="28"/>
          <w:lang w:eastAsia="uk-UA"/>
        </w:rPr>
        <w:t xml:space="preserve"> фундаментальні принципи функціонування місцевого самоврядування в Україні. </w:t>
      </w:r>
    </w:p>
    <w:p w:rsidR="00BC6DDF" w:rsidRDefault="001D73BA" w:rsidP="00F909B3">
      <w:pPr>
        <w:ind w:firstLine="708"/>
        <w:contextualSpacing/>
        <w:jc w:val="both"/>
        <w:rPr>
          <w:sz w:val="28"/>
          <w:szCs w:val="28"/>
        </w:rPr>
      </w:pPr>
      <w:bookmarkStart w:id="1" w:name="n4891"/>
      <w:bookmarkStart w:id="2" w:name="n4894"/>
      <w:bookmarkStart w:id="3" w:name="n4895"/>
      <w:bookmarkStart w:id="4" w:name="n4897"/>
      <w:bookmarkStart w:id="5" w:name="n4898"/>
      <w:bookmarkEnd w:id="1"/>
      <w:bookmarkEnd w:id="2"/>
      <w:bookmarkEnd w:id="3"/>
      <w:bookmarkEnd w:id="4"/>
      <w:bookmarkEnd w:id="5"/>
      <w:r>
        <w:rPr>
          <w:sz w:val="28"/>
          <w:szCs w:val="28"/>
        </w:rPr>
        <w:t xml:space="preserve">Відповідно до Статті 262 «Основні засади» Частини 2 «Державна допомога» </w:t>
      </w:r>
      <w:r w:rsidRPr="001D73BA">
        <w:rPr>
          <w:sz w:val="28"/>
          <w:szCs w:val="28"/>
        </w:rPr>
        <w:t>Глави 10 «Конкуренція» Розділу IV «Торгівля і питання, пов’язані з торгівлею» Угоди про асоціацію</w:t>
      </w:r>
      <w:r>
        <w:rPr>
          <w:sz w:val="28"/>
          <w:szCs w:val="28"/>
        </w:rPr>
        <w:t xml:space="preserve"> </w:t>
      </w:r>
      <w:r w:rsidRPr="001D73BA">
        <w:rPr>
          <w:sz w:val="28"/>
          <w:szCs w:val="28"/>
        </w:rPr>
        <w:t>несумісною з належним функціонуванням цієї Угоди в тій мірі, в якій вона може впливати на торгівлю між Сторонами</w:t>
      </w:r>
      <w:r>
        <w:rPr>
          <w:sz w:val="28"/>
          <w:szCs w:val="28"/>
        </w:rPr>
        <w:t xml:space="preserve"> є </w:t>
      </w:r>
      <w:r>
        <w:rPr>
          <w:sz w:val="28"/>
          <w:szCs w:val="28"/>
        </w:rPr>
        <w:lastRenderedPageBreak/>
        <w:t>б</w:t>
      </w:r>
      <w:r w:rsidRPr="001D73BA">
        <w:rPr>
          <w:sz w:val="28"/>
          <w:szCs w:val="28"/>
        </w:rPr>
        <w:t>удь-яка допомога, надана Україною або країнами-членами Європейського Союзу із використанням державних ресурсів, що спотворює або загрожує спотворити конкуренцію шляхом надання переваг окремим підприємствам або виробництву окремих товарів</w:t>
      </w:r>
      <w:r>
        <w:rPr>
          <w:sz w:val="28"/>
          <w:szCs w:val="28"/>
        </w:rPr>
        <w:t>.</w:t>
      </w:r>
    </w:p>
    <w:p w:rsidR="0037133B" w:rsidRDefault="0037133B" w:rsidP="00F909B3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Стаття 264 «Тлумачення» передбачає, що </w:t>
      </w:r>
      <w:r w:rsidRPr="0037133B">
        <w:rPr>
          <w:sz w:val="28"/>
          <w:szCs w:val="28"/>
        </w:rPr>
        <w:t xml:space="preserve">Сторони застосовуватимуть </w:t>
      </w:r>
      <w:proofErr w:type="spellStart"/>
      <w:r w:rsidRPr="0037133B">
        <w:rPr>
          <w:sz w:val="28"/>
          <w:szCs w:val="28"/>
        </w:rPr>
        <w:t>статт</w:t>
      </w:r>
      <w:proofErr w:type="spellEnd"/>
      <w:r>
        <w:rPr>
          <w:sz w:val="28"/>
          <w:szCs w:val="28"/>
          <w:lang w:val="ru-RU"/>
        </w:rPr>
        <w:t>ю</w:t>
      </w:r>
      <w:r w:rsidRPr="0037133B">
        <w:rPr>
          <w:sz w:val="28"/>
          <w:szCs w:val="28"/>
        </w:rPr>
        <w:t xml:space="preserve"> 262 Угоди про асоц</w:t>
      </w:r>
      <w:r>
        <w:rPr>
          <w:sz w:val="28"/>
          <w:szCs w:val="28"/>
        </w:rPr>
        <w:t>і</w:t>
      </w:r>
      <w:r w:rsidRPr="0037133B">
        <w:rPr>
          <w:sz w:val="28"/>
          <w:szCs w:val="28"/>
        </w:rPr>
        <w:t>ац</w:t>
      </w:r>
      <w:r>
        <w:rPr>
          <w:sz w:val="28"/>
          <w:szCs w:val="28"/>
        </w:rPr>
        <w:t>і</w:t>
      </w:r>
      <w:r w:rsidRPr="0037133B">
        <w:rPr>
          <w:sz w:val="28"/>
          <w:szCs w:val="28"/>
        </w:rPr>
        <w:t>ю, використовуючи як джерела тлумачення, критерії, що випливають із застосування статей 106, 107 та 93 Договору про функціонування Європейського Союзу, зокрема відповідну судову практику Суду Європейського Союзу, а також відповідне вторинне законодавство, рамкові положення, керівні принципи та інші чинні адміністративні акти Союзу.</w:t>
      </w:r>
    </w:p>
    <w:p w:rsidR="00145601" w:rsidRDefault="0037133B" w:rsidP="00F909B3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Виходячи з норм 106, 107</w:t>
      </w:r>
      <w:r w:rsidR="00485D18">
        <w:rPr>
          <w:rStyle w:val="af0"/>
          <w:sz w:val="28"/>
          <w:szCs w:val="28"/>
        </w:rPr>
        <w:footnoteReference w:id="2"/>
      </w:r>
      <w:r>
        <w:rPr>
          <w:sz w:val="28"/>
          <w:szCs w:val="28"/>
        </w:rPr>
        <w:t xml:space="preserve"> </w:t>
      </w:r>
      <w:r w:rsidRPr="0037133B">
        <w:rPr>
          <w:sz w:val="28"/>
          <w:szCs w:val="28"/>
        </w:rPr>
        <w:t>Договору про функціонування Європейського Союзу</w:t>
      </w:r>
      <w:r>
        <w:rPr>
          <w:sz w:val="28"/>
          <w:szCs w:val="28"/>
        </w:rPr>
        <w:t xml:space="preserve"> та проаналізувавши відповідне вторинне законодавство права Європейського Союзу</w:t>
      </w:r>
      <w:r w:rsidR="00485D18">
        <w:rPr>
          <w:rStyle w:val="af0"/>
          <w:sz w:val="28"/>
          <w:szCs w:val="28"/>
        </w:rPr>
        <w:footnoteReference w:id="3"/>
      </w:r>
      <w:r>
        <w:rPr>
          <w:sz w:val="28"/>
          <w:szCs w:val="28"/>
        </w:rPr>
        <w:t xml:space="preserve">, можна прийти до висновку, </w:t>
      </w:r>
      <w:r w:rsidR="00732D49">
        <w:rPr>
          <w:sz w:val="28"/>
          <w:szCs w:val="28"/>
        </w:rPr>
        <w:t xml:space="preserve">що законодавство Європейського Союзу про державну допомогу поширюється також і на </w:t>
      </w:r>
      <w:r w:rsidR="00732D49" w:rsidRPr="00732D49">
        <w:rPr>
          <w:sz w:val="28"/>
          <w:szCs w:val="28"/>
        </w:rPr>
        <w:t>допомогу, надану національними, регіональними або місцевими властями</w:t>
      </w:r>
      <w:r w:rsidR="00145601">
        <w:rPr>
          <w:sz w:val="28"/>
          <w:szCs w:val="28"/>
        </w:rPr>
        <w:t xml:space="preserve">, </w:t>
      </w:r>
    </w:p>
    <w:p w:rsidR="00145601" w:rsidRDefault="00145601" w:rsidP="00145601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наприклад, у Регламенті </w:t>
      </w:r>
      <w:r w:rsidRPr="00145601">
        <w:rPr>
          <w:sz w:val="28"/>
          <w:szCs w:val="28"/>
        </w:rPr>
        <w:t>№ 1698/2005 від 20 вересня 2005 року</w:t>
      </w:r>
      <w:r>
        <w:rPr>
          <w:sz w:val="28"/>
          <w:szCs w:val="28"/>
        </w:rPr>
        <w:t xml:space="preserve"> </w:t>
      </w:r>
      <w:r w:rsidRPr="00145601">
        <w:rPr>
          <w:sz w:val="28"/>
          <w:szCs w:val="28"/>
        </w:rPr>
        <w:t xml:space="preserve">про підтримку сільського розвитку Європейським Сільськогосподарським Фондом у справах Сільськогосподарського Розвитку </w:t>
      </w:r>
      <w:r>
        <w:rPr>
          <w:sz w:val="28"/>
          <w:szCs w:val="28"/>
        </w:rPr>
        <w:t>«</w:t>
      </w:r>
      <w:r w:rsidRPr="00145601">
        <w:rPr>
          <w:sz w:val="28"/>
          <w:szCs w:val="28"/>
        </w:rPr>
        <w:t>державні витрати</w:t>
      </w:r>
      <w:r>
        <w:rPr>
          <w:sz w:val="28"/>
          <w:szCs w:val="28"/>
        </w:rPr>
        <w:t>»</w:t>
      </w:r>
      <w:r w:rsidR="00485D18"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 xml:space="preserve"> визначено як </w:t>
      </w:r>
      <w:r w:rsidRPr="00145601">
        <w:rPr>
          <w:sz w:val="28"/>
          <w:szCs w:val="28"/>
        </w:rPr>
        <w:t>будь-яке державне сприяння щодо фінансування операцій, чиє походження є бюджетом Держави, регіональних або місцевих органів, Європейських Співтовариств та будь-які подібні витрати. Будь-яке сприяння до фінансування операцій, чиє походження є бюджет державних законних органів або асоціацій одного або більше регіональних або місцевих органів або державних законних органів в межах значення Директиви 2004/18/ЄC Європейського Парламенту та Ради від 31 березня 2004 щодо координації процедур щодо видачі, державних договорів поставки та державних договорів про надання послуг повинні розглядатися як державні сприяння;</w:t>
      </w:r>
      <w:r w:rsidR="00732D49">
        <w:rPr>
          <w:sz w:val="28"/>
          <w:szCs w:val="28"/>
        </w:rPr>
        <w:t xml:space="preserve"> </w:t>
      </w:r>
    </w:p>
    <w:p w:rsidR="0037133B" w:rsidRDefault="00145601" w:rsidP="00145601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Отже, під</w:t>
      </w:r>
      <w:r w:rsidR="0037133B">
        <w:rPr>
          <w:sz w:val="28"/>
          <w:szCs w:val="28"/>
        </w:rPr>
        <w:t xml:space="preserve"> </w:t>
      </w:r>
      <w:r w:rsidR="00732D49">
        <w:rPr>
          <w:sz w:val="28"/>
          <w:szCs w:val="28"/>
        </w:rPr>
        <w:t xml:space="preserve">допомогою, наданою із використанням державних ресурсів, у розумінні права ЄС, слід вважати державну допомогу </w:t>
      </w:r>
      <w:r w:rsidR="00732D49" w:rsidRPr="00732D49">
        <w:rPr>
          <w:sz w:val="28"/>
          <w:szCs w:val="28"/>
        </w:rPr>
        <w:t>в будь-якій формі, будь-яке безпосереднє або побічне фінансування з бюджету органів (національного, регіонального, провінційного, відомчого або місцевого) державної влади або з інших державних ресурсів</w:t>
      </w:r>
      <w:r w:rsidR="00732D49">
        <w:rPr>
          <w:sz w:val="28"/>
          <w:szCs w:val="28"/>
        </w:rPr>
        <w:t xml:space="preserve">, наприклад </w:t>
      </w:r>
      <w:r w:rsidR="00732D49" w:rsidRPr="00732D49">
        <w:rPr>
          <w:sz w:val="28"/>
          <w:szCs w:val="28"/>
        </w:rPr>
        <w:t xml:space="preserve">передача капіталу, позики зі зменшеними відсотками, відсоткові субсидії, певні державні холдинги в капіталі підприємств, допомога, фінансована спеціальними податками або </w:t>
      </w:r>
      <w:proofErr w:type="spellStart"/>
      <w:r w:rsidR="00732D49" w:rsidRPr="00732D49">
        <w:rPr>
          <w:sz w:val="28"/>
          <w:szCs w:val="28"/>
        </w:rPr>
        <w:t>парафіскальними</w:t>
      </w:r>
      <w:proofErr w:type="spellEnd"/>
      <w:r w:rsidR="00732D49" w:rsidRPr="00732D49">
        <w:rPr>
          <w:sz w:val="28"/>
          <w:szCs w:val="28"/>
        </w:rPr>
        <w:t xml:space="preserve"> нарахуваннями, допомога, що надана у формі державної гарантії щодо банківських позик, зниження або звільнення від нарахувань або податків, включаючи прискорену амортизацію і зниження суспільних внесків</w:t>
      </w:r>
      <w:r w:rsidR="00092CDC">
        <w:rPr>
          <w:sz w:val="28"/>
          <w:szCs w:val="28"/>
        </w:rPr>
        <w:t>, тощо.</w:t>
      </w:r>
    </w:p>
    <w:p w:rsidR="00092CDC" w:rsidRDefault="00092CDC" w:rsidP="00145601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чином, положення законопроекту щодо </w:t>
      </w:r>
      <w:r w:rsidRPr="00092CDC">
        <w:rPr>
          <w:sz w:val="28"/>
          <w:szCs w:val="28"/>
        </w:rPr>
        <w:t>виключ</w:t>
      </w:r>
      <w:r>
        <w:rPr>
          <w:sz w:val="28"/>
          <w:szCs w:val="28"/>
        </w:rPr>
        <w:t>ення</w:t>
      </w:r>
      <w:r w:rsidRPr="00092CDC">
        <w:rPr>
          <w:sz w:val="28"/>
          <w:szCs w:val="28"/>
        </w:rPr>
        <w:t xml:space="preserve"> із Закону України «Про державну допомогу суб’єктам господарювання» згадки про надання державної допомоги за рахунок місцевих ресурсів</w:t>
      </w:r>
      <w:r>
        <w:rPr>
          <w:sz w:val="28"/>
          <w:szCs w:val="28"/>
        </w:rPr>
        <w:t xml:space="preserve"> не відповідає </w:t>
      </w:r>
      <w:r>
        <w:rPr>
          <w:sz w:val="28"/>
          <w:szCs w:val="28"/>
        </w:rPr>
        <w:lastRenderedPageBreak/>
        <w:t xml:space="preserve">зобов’язанням України в рамках </w:t>
      </w:r>
      <w:r w:rsidRPr="00092CDC">
        <w:rPr>
          <w:sz w:val="28"/>
          <w:szCs w:val="28"/>
        </w:rPr>
        <w:t>Глави 10 «Конкуренція» Розділу IV «Торгівля і питання, пов’язані з торгівлею» Угоди про асоціацію.</w:t>
      </w:r>
    </w:p>
    <w:p w:rsidR="00793BB9" w:rsidRPr="00B61B05" w:rsidRDefault="00604E14" w:rsidP="00092CDC">
      <w:pPr>
        <w:ind w:firstLine="708"/>
        <w:jc w:val="both"/>
        <w:rPr>
          <w:sz w:val="16"/>
          <w:szCs w:val="16"/>
        </w:rPr>
      </w:pPr>
      <w:r w:rsidRPr="00B61B05">
        <w:rPr>
          <w:b/>
          <w:sz w:val="28"/>
          <w:szCs w:val="28"/>
        </w:rPr>
        <w:t xml:space="preserve">Враховуючи викладене, </w:t>
      </w:r>
      <w:r w:rsidR="00B61B05" w:rsidRPr="00B61B05">
        <w:rPr>
          <w:b/>
          <w:sz w:val="28"/>
          <w:szCs w:val="28"/>
        </w:rPr>
        <w:t xml:space="preserve">положення </w:t>
      </w:r>
      <w:proofErr w:type="spellStart"/>
      <w:r w:rsidR="00B61B05" w:rsidRPr="00B61B05">
        <w:rPr>
          <w:b/>
          <w:sz w:val="28"/>
          <w:szCs w:val="28"/>
        </w:rPr>
        <w:t>законопроєкту</w:t>
      </w:r>
      <w:proofErr w:type="spellEnd"/>
      <w:r w:rsidR="00B61B05" w:rsidRPr="00B61B05">
        <w:rPr>
          <w:b/>
          <w:sz w:val="28"/>
          <w:szCs w:val="28"/>
        </w:rPr>
        <w:t xml:space="preserve"> не </w:t>
      </w:r>
      <w:r w:rsidR="00732D49">
        <w:rPr>
          <w:b/>
          <w:sz w:val="28"/>
          <w:szCs w:val="28"/>
        </w:rPr>
        <w:t>відповідають</w:t>
      </w:r>
      <w:r w:rsidR="00B61B05" w:rsidRPr="00B61B05">
        <w:rPr>
          <w:b/>
          <w:sz w:val="28"/>
          <w:szCs w:val="28"/>
        </w:rPr>
        <w:t xml:space="preserve"> міжнародно-правовим зобов’язанням </w:t>
      </w:r>
      <w:r w:rsidR="00732D49">
        <w:rPr>
          <w:b/>
          <w:sz w:val="28"/>
          <w:szCs w:val="28"/>
        </w:rPr>
        <w:t xml:space="preserve">України </w:t>
      </w:r>
      <w:r w:rsidR="00B61B05" w:rsidRPr="00B61B05">
        <w:rPr>
          <w:b/>
          <w:sz w:val="28"/>
          <w:szCs w:val="28"/>
        </w:rPr>
        <w:t>в сфері європейської інтеграції</w:t>
      </w:r>
      <w:r w:rsidR="00166E9D" w:rsidRPr="00B61B05">
        <w:rPr>
          <w:b/>
          <w:sz w:val="28"/>
          <w:szCs w:val="28"/>
        </w:rPr>
        <w:t>.</w:t>
      </w:r>
    </w:p>
    <w:sectPr w:rsidR="00793BB9" w:rsidRPr="00B61B05" w:rsidSect="00FB6B3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14F" w:rsidRDefault="007E114F" w:rsidP="0030323E">
      <w:r>
        <w:separator/>
      </w:r>
    </w:p>
  </w:endnote>
  <w:endnote w:type="continuationSeparator" w:id="0">
    <w:p w:rsidR="007E114F" w:rsidRDefault="007E114F" w:rsidP="0030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14F" w:rsidRDefault="007E114F" w:rsidP="0030323E">
      <w:r>
        <w:separator/>
      </w:r>
    </w:p>
  </w:footnote>
  <w:footnote w:type="continuationSeparator" w:id="0">
    <w:p w:rsidR="007E114F" w:rsidRDefault="007E114F" w:rsidP="0030323E">
      <w:r>
        <w:continuationSeparator/>
      </w:r>
    </w:p>
  </w:footnote>
  <w:footnote w:id="1">
    <w:p w:rsidR="00656A2B" w:rsidRDefault="00656A2B">
      <w:pPr>
        <w:pStyle w:val="ae"/>
      </w:pPr>
      <w:r>
        <w:rPr>
          <w:rStyle w:val="af0"/>
        </w:rPr>
        <w:footnoteRef/>
      </w:r>
      <w:r>
        <w:t xml:space="preserve"> </w:t>
      </w:r>
      <w:r w:rsidRPr="00656A2B">
        <w:t xml:space="preserve">Комітет розглянув </w:t>
      </w:r>
      <w:proofErr w:type="spellStart"/>
      <w:r w:rsidRPr="00656A2B">
        <w:t>проєкт</w:t>
      </w:r>
      <w:proofErr w:type="spellEnd"/>
      <w:r w:rsidRPr="00656A2B">
        <w:t xml:space="preserve"> Закону на своєму засіданні </w:t>
      </w:r>
      <w:r w:rsidR="009D7485">
        <w:t>3</w:t>
      </w:r>
      <w:r w:rsidR="00BC6DDF">
        <w:t xml:space="preserve"> листопада</w:t>
      </w:r>
      <w:r w:rsidRPr="00656A2B">
        <w:t xml:space="preserve"> 2021 року (протокол № </w:t>
      </w:r>
      <w:r>
        <w:t>8</w:t>
      </w:r>
      <w:r w:rsidR="009D7485">
        <w:t>8</w:t>
      </w:r>
      <w:bookmarkStart w:id="0" w:name="_GoBack"/>
      <w:bookmarkEnd w:id="0"/>
      <w:r w:rsidRPr="00656A2B">
        <w:t>) відповідно до статті 93 Регламенту Верховної Ради України.</w:t>
      </w:r>
    </w:p>
  </w:footnote>
  <w:footnote w:id="2">
    <w:p w:rsidR="00485D18" w:rsidRDefault="00485D18">
      <w:pPr>
        <w:pStyle w:val="ae"/>
      </w:pPr>
      <w:r>
        <w:rPr>
          <w:rStyle w:val="af0"/>
        </w:rPr>
        <w:footnoteRef/>
      </w:r>
      <w:r>
        <w:t xml:space="preserve"> </w:t>
      </w:r>
      <w:hyperlink r:id="rId1" w:history="1">
        <w:r w:rsidRPr="008D3507">
          <w:rPr>
            <w:rStyle w:val="af4"/>
          </w:rPr>
          <w:t>https://eur-lex.europa.eu/legal-content/EN/TXT/HTML/?uri=CELEX:12008E107&amp;from=EN</w:t>
        </w:r>
      </w:hyperlink>
    </w:p>
  </w:footnote>
  <w:footnote w:id="3">
    <w:p w:rsidR="00485D18" w:rsidRDefault="00485D18">
      <w:pPr>
        <w:pStyle w:val="ae"/>
      </w:pPr>
      <w:r>
        <w:rPr>
          <w:rStyle w:val="af0"/>
        </w:rPr>
        <w:footnoteRef/>
      </w:r>
      <w:r>
        <w:t xml:space="preserve"> </w:t>
      </w:r>
      <w:hyperlink r:id="rId2" w:history="1">
        <w:r w:rsidRPr="008D3507">
          <w:rPr>
            <w:rStyle w:val="af4"/>
          </w:rPr>
          <w:t>https://ec.europa.eu/competition-policy/state-aid/legislation/regulations_en</w:t>
        </w:r>
      </w:hyperlink>
    </w:p>
  </w:footnote>
  <w:footnote w:id="4">
    <w:p w:rsidR="00485D18" w:rsidRDefault="00485D18">
      <w:pPr>
        <w:pStyle w:val="ae"/>
      </w:pPr>
      <w:r>
        <w:rPr>
          <w:rStyle w:val="af0"/>
        </w:rPr>
        <w:footnoteRef/>
      </w:r>
      <w:r>
        <w:t xml:space="preserve"> </w:t>
      </w:r>
      <w:hyperlink r:id="rId3" w:history="1">
        <w:r w:rsidRPr="008D3507">
          <w:rPr>
            <w:rStyle w:val="af4"/>
          </w:rPr>
          <w:t>https://eur-lex.europa.eu/legal-content/EN/ALL/?uri=celex%3A32005R1698</w:t>
        </w:r>
      </w:hyperlink>
    </w:p>
    <w:p w:rsidR="00485D18" w:rsidRDefault="00485D18">
      <w:pPr>
        <w:pStyle w:val="a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66039A8"/>
    <w:multiLevelType w:val="hybridMultilevel"/>
    <w:tmpl w:val="2AA8B22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51E5230"/>
    <w:multiLevelType w:val="hybridMultilevel"/>
    <w:tmpl w:val="77C686F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86"/>
    <w:rsid w:val="0002260A"/>
    <w:rsid w:val="00025E1A"/>
    <w:rsid w:val="000461D3"/>
    <w:rsid w:val="000506C6"/>
    <w:rsid w:val="00081A85"/>
    <w:rsid w:val="00092CDC"/>
    <w:rsid w:val="000B1F6F"/>
    <w:rsid w:val="000D3884"/>
    <w:rsid w:val="000F217C"/>
    <w:rsid w:val="001071D2"/>
    <w:rsid w:val="00145601"/>
    <w:rsid w:val="00146C0A"/>
    <w:rsid w:val="00165501"/>
    <w:rsid w:val="00166E9D"/>
    <w:rsid w:val="00183487"/>
    <w:rsid w:val="00195723"/>
    <w:rsid w:val="001A6DAB"/>
    <w:rsid w:val="001D73BA"/>
    <w:rsid w:val="002245DA"/>
    <w:rsid w:val="00250191"/>
    <w:rsid w:val="0027417E"/>
    <w:rsid w:val="00283C11"/>
    <w:rsid w:val="002D15CD"/>
    <w:rsid w:val="002D237E"/>
    <w:rsid w:val="0030323E"/>
    <w:rsid w:val="0032012D"/>
    <w:rsid w:val="00336E84"/>
    <w:rsid w:val="00366478"/>
    <w:rsid w:val="0037133B"/>
    <w:rsid w:val="00390A07"/>
    <w:rsid w:val="003D1B12"/>
    <w:rsid w:val="003D3C17"/>
    <w:rsid w:val="003E05AE"/>
    <w:rsid w:val="0041738D"/>
    <w:rsid w:val="00421582"/>
    <w:rsid w:val="0043761C"/>
    <w:rsid w:val="004725E3"/>
    <w:rsid w:val="00484D30"/>
    <w:rsid w:val="00485D18"/>
    <w:rsid w:val="004E2C96"/>
    <w:rsid w:val="00511B80"/>
    <w:rsid w:val="005370B3"/>
    <w:rsid w:val="00564136"/>
    <w:rsid w:val="005C74A1"/>
    <w:rsid w:val="00604E14"/>
    <w:rsid w:val="006064CC"/>
    <w:rsid w:val="00615584"/>
    <w:rsid w:val="00656A2B"/>
    <w:rsid w:val="006634F2"/>
    <w:rsid w:val="006B2FBF"/>
    <w:rsid w:val="006C2B65"/>
    <w:rsid w:val="00727CA1"/>
    <w:rsid w:val="00732D49"/>
    <w:rsid w:val="00737F89"/>
    <w:rsid w:val="00775B86"/>
    <w:rsid w:val="00784B29"/>
    <w:rsid w:val="00793BB9"/>
    <w:rsid w:val="007A31DC"/>
    <w:rsid w:val="007E114F"/>
    <w:rsid w:val="007F1E2C"/>
    <w:rsid w:val="007F7889"/>
    <w:rsid w:val="008979AA"/>
    <w:rsid w:val="008A7B53"/>
    <w:rsid w:val="008C6A75"/>
    <w:rsid w:val="008F3B01"/>
    <w:rsid w:val="0095104D"/>
    <w:rsid w:val="009526BF"/>
    <w:rsid w:val="009D7485"/>
    <w:rsid w:val="00A063C6"/>
    <w:rsid w:val="00A131D3"/>
    <w:rsid w:val="00A4239F"/>
    <w:rsid w:val="00A80C57"/>
    <w:rsid w:val="00AA3A12"/>
    <w:rsid w:val="00AB1BE9"/>
    <w:rsid w:val="00AB2B7C"/>
    <w:rsid w:val="00AC2C01"/>
    <w:rsid w:val="00AE3446"/>
    <w:rsid w:val="00AF45C1"/>
    <w:rsid w:val="00B61B05"/>
    <w:rsid w:val="00B8752E"/>
    <w:rsid w:val="00BC6DDF"/>
    <w:rsid w:val="00BC6F4F"/>
    <w:rsid w:val="00BD7615"/>
    <w:rsid w:val="00C03530"/>
    <w:rsid w:val="00CB1F2F"/>
    <w:rsid w:val="00D510C3"/>
    <w:rsid w:val="00D73637"/>
    <w:rsid w:val="00D909F4"/>
    <w:rsid w:val="00D96CFB"/>
    <w:rsid w:val="00DD57E0"/>
    <w:rsid w:val="00E32A73"/>
    <w:rsid w:val="00E478BD"/>
    <w:rsid w:val="00E7176D"/>
    <w:rsid w:val="00EA48A5"/>
    <w:rsid w:val="00F0313A"/>
    <w:rsid w:val="00F909B3"/>
    <w:rsid w:val="00FB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3519E"/>
  <w15:docId w15:val="{C8DEB792-B5C0-4B19-9707-7A0EC535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775B8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rsid w:val="00775B86"/>
    <w:rPr>
      <w:rFonts w:cs="Times New Roman"/>
    </w:rPr>
  </w:style>
  <w:style w:type="character" w:customStyle="1" w:styleId="rvts0">
    <w:name w:val="rvts0"/>
    <w:basedOn w:val="a0"/>
    <w:rsid w:val="00A80C57"/>
  </w:style>
  <w:style w:type="character" w:customStyle="1" w:styleId="StyleZakonu0">
    <w:name w:val="StyleZakonu Знак"/>
    <w:link w:val="StyleZakonu"/>
    <w:uiPriority w:val="99"/>
    <w:locked/>
    <w:rsid w:val="0042158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3">
    <w:name w:val="Body Text"/>
    <w:basedOn w:val="a"/>
    <w:link w:val="a4"/>
    <w:uiPriority w:val="99"/>
    <w:unhideWhenUsed/>
    <w:rsid w:val="006C2B65"/>
    <w:pPr>
      <w:autoSpaceDE w:val="0"/>
      <w:autoSpaceDN w:val="0"/>
      <w:spacing w:after="120"/>
    </w:pPr>
    <w:rPr>
      <w:sz w:val="28"/>
      <w:szCs w:val="28"/>
      <w:lang w:eastAsia="uk-UA"/>
    </w:rPr>
  </w:style>
  <w:style w:type="character" w:customStyle="1" w:styleId="a4">
    <w:name w:val="Основний текст Знак"/>
    <w:basedOn w:val="a0"/>
    <w:link w:val="a3"/>
    <w:uiPriority w:val="99"/>
    <w:rsid w:val="006C2B65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a5">
    <w:name w:val="List Paragraph"/>
    <w:basedOn w:val="a"/>
    <w:link w:val="a6"/>
    <w:uiPriority w:val="34"/>
    <w:qFormat/>
    <w:rsid w:val="00CB1F2F"/>
    <w:pPr>
      <w:ind w:left="720"/>
      <w:contextualSpacing/>
    </w:pPr>
    <w:rPr>
      <w:sz w:val="20"/>
      <w:szCs w:val="20"/>
      <w:lang w:eastAsia="uk-UA"/>
    </w:rPr>
  </w:style>
  <w:style w:type="character" w:customStyle="1" w:styleId="a6">
    <w:name w:val="Абзац списку Знак"/>
    <w:basedOn w:val="a0"/>
    <w:link w:val="a5"/>
    <w:uiPriority w:val="34"/>
    <w:locked/>
    <w:rsid w:val="00CB1F2F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styleId="a7">
    <w:name w:val="annotation reference"/>
    <w:basedOn w:val="a0"/>
    <w:uiPriority w:val="99"/>
    <w:semiHidden/>
    <w:unhideWhenUsed/>
    <w:rsid w:val="00656A2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6A2B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656A2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6A2B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656A2B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c">
    <w:name w:val="Balloon Text"/>
    <w:basedOn w:val="a"/>
    <w:link w:val="ad"/>
    <w:uiPriority w:val="99"/>
    <w:semiHidden/>
    <w:unhideWhenUsed/>
    <w:rsid w:val="00656A2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656A2B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e">
    <w:name w:val="footnote text"/>
    <w:basedOn w:val="a"/>
    <w:link w:val="af"/>
    <w:uiPriority w:val="99"/>
    <w:semiHidden/>
    <w:unhideWhenUsed/>
    <w:rsid w:val="00656A2B"/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656A2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f0">
    <w:name w:val="footnote reference"/>
    <w:basedOn w:val="a0"/>
    <w:uiPriority w:val="99"/>
    <w:semiHidden/>
    <w:unhideWhenUsed/>
    <w:rsid w:val="00656A2B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0B1F6F"/>
    <w:rPr>
      <w:sz w:val="20"/>
      <w:szCs w:val="20"/>
    </w:rPr>
  </w:style>
  <w:style w:type="character" w:customStyle="1" w:styleId="af2">
    <w:name w:val="Текст кінцевої виноски Знак"/>
    <w:basedOn w:val="a0"/>
    <w:link w:val="af1"/>
    <w:uiPriority w:val="99"/>
    <w:semiHidden/>
    <w:rsid w:val="000B1F6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f3">
    <w:name w:val="endnote reference"/>
    <w:basedOn w:val="a0"/>
    <w:uiPriority w:val="99"/>
    <w:semiHidden/>
    <w:unhideWhenUsed/>
    <w:rsid w:val="000B1F6F"/>
    <w:rPr>
      <w:vertAlign w:val="superscript"/>
    </w:rPr>
  </w:style>
  <w:style w:type="character" w:styleId="af4">
    <w:name w:val="Hyperlink"/>
    <w:basedOn w:val="a0"/>
    <w:uiPriority w:val="99"/>
    <w:unhideWhenUsed/>
    <w:rsid w:val="000B1F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EN/ALL/?uri=celex%3A32005R1698" TargetMode="External"/><Relationship Id="rId2" Type="http://schemas.openxmlformats.org/officeDocument/2006/relationships/hyperlink" Target="https://ec.europa.eu/competition-policy/state-aid/legislation/regulations_en" TargetMode="External"/><Relationship Id="rId1" Type="http://schemas.openxmlformats.org/officeDocument/2006/relationships/hyperlink" Target="https://eur-lex.europa.eu/legal-content/EN/TXT/HTML/?uri=CELEX:12008E107&amp;from=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D52FA-CD59-4913-8C5D-8D3C3484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3285</Words>
  <Characters>1873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Фостик Богдан Володимирович</cp:lastModifiedBy>
  <cp:revision>8</cp:revision>
  <dcterms:created xsi:type="dcterms:W3CDTF">2021-10-19T10:12:00Z</dcterms:created>
  <dcterms:modified xsi:type="dcterms:W3CDTF">2021-10-29T07:33:00Z</dcterms:modified>
</cp:coreProperties>
</file>