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18" w:rsidRPr="009022DD" w:rsidRDefault="00092018" w:rsidP="00013EF0">
      <w:pPr>
        <w:spacing w:before="600" w:after="720"/>
        <w:ind w:left="5103"/>
        <w:rPr>
          <w:b/>
          <w:sz w:val="28"/>
          <w:szCs w:val="28"/>
        </w:rPr>
      </w:pPr>
      <w:r w:rsidRPr="009022DD">
        <w:rPr>
          <w:b/>
          <w:sz w:val="28"/>
          <w:szCs w:val="28"/>
        </w:rPr>
        <w:t>ВЕРХОВНА РАДА УКРАЇНИ</w:t>
      </w:r>
    </w:p>
    <w:p w:rsidR="00092018" w:rsidRPr="003403DD" w:rsidRDefault="003403DD" w:rsidP="003403DD">
      <w:pPr>
        <w:spacing w:before="120" w:after="360"/>
        <w:ind w:right="4676"/>
        <w:rPr>
          <w:i/>
          <w:szCs w:val="28"/>
        </w:rPr>
      </w:pPr>
      <w:r w:rsidRPr="003403DD">
        <w:rPr>
          <w:i/>
          <w:szCs w:val="28"/>
        </w:rPr>
        <w:t>Щодо підготовки законопроекту за реєстр. № 5</w:t>
      </w:r>
      <w:r w:rsidRPr="00C973D0">
        <w:rPr>
          <w:i/>
          <w:szCs w:val="28"/>
        </w:rPr>
        <w:t>719</w:t>
      </w:r>
      <w:r w:rsidRPr="003403DD">
        <w:rPr>
          <w:i/>
          <w:szCs w:val="28"/>
        </w:rPr>
        <w:t xml:space="preserve"> до повторного другого читання</w:t>
      </w:r>
    </w:p>
    <w:p w:rsidR="00092018" w:rsidRPr="003403DD" w:rsidRDefault="00092018" w:rsidP="0085429F">
      <w:pPr>
        <w:spacing w:before="240" w:after="120"/>
        <w:ind w:firstLine="709"/>
        <w:jc w:val="both"/>
        <w:rPr>
          <w:sz w:val="28"/>
          <w:szCs w:val="28"/>
        </w:rPr>
      </w:pPr>
      <w:r w:rsidRPr="003403DD">
        <w:rPr>
          <w:sz w:val="28"/>
          <w:szCs w:val="28"/>
        </w:rPr>
        <w:t xml:space="preserve">Комітет Верховної Ради України з питань бюджету </w:t>
      </w:r>
      <w:r w:rsidRPr="003403DD">
        <w:rPr>
          <w:i/>
          <w:sz w:val="28"/>
          <w:szCs w:val="28"/>
        </w:rPr>
        <w:t>/далі – Комітет/</w:t>
      </w:r>
      <w:r w:rsidRPr="003403DD">
        <w:rPr>
          <w:sz w:val="28"/>
          <w:szCs w:val="28"/>
        </w:rPr>
        <w:t xml:space="preserve"> на своєму засіданні </w:t>
      </w:r>
      <w:r w:rsidR="003403DD" w:rsidRPr="003403DD">
        <w:rPr>
          <w:sz w:val="28"/>
          <w:szCs w:val="28"/>
        </w:rPr>
        <w:t>10</w:t>
      </w:r>
      <w:r w:rsidRPr="003403DD">
        <w:rPr>
          <w:sz w:val="28"/>
          <w:szCs w:val="28"/>
        </w:rPr>
        <w:t> </w:t>
      </w:r>
      <w:r w:rsidR="003403DD" w:rsidRPr="003403DD">
        <w:rPr>
          <w:sz w:val="28"/>
          <w:szCs w:val="28"/>
        </w:rPr>
        <w:t>лютого</w:t>
      </w:r>
      <w:r w:rsidRPr="003403DD">
        <w:rPr>
          <w:sz w:val="28"/>
          <w:szCs w:val="28"/>
        </w:rPr>
        <w:t xml:space="preserve"> 2022 року (протокол № 11</w:t>
      </w:r>
      <w:r w:rsidR="003403DD" w:rsidRPr="003403DD">
        <w:rPr>
          <w:sz w:val="28"/>
          <w:szCs w:val="28"/>
        </w:rPr>
        <w:t>5</w:t>
      </w:r>
      <w:r w:rsidRPr="003403DD">
        <w:rPr>
          <w:sz w:val="28"/>
          <w:szCs w:val="28"/>
        </w:rPr>
        <w:t xml:space="preserve">) розглянув </w:t>
      </w:r>
      <w:r w:rsidR="003403DD" w:rsidRPr="003403DD">
        <w:rPr>
          <w:sz w:val="28"/>
          <w:szCs w:val="28"/>
        </w:rPr>
        <w:t>питання про підготовку до повторного другого читання проекту Закону України 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</w:t>
      </w:r>
      <w:r w:rsidR="003403DD">
        <w:rPr>
          <w:sz w:val="28"/>
          <w:szCs w:val="28"/>
        </w:rPr>
        <w:t> </w:t>
      </w:r>
      <w:r w:rsidR="003403DD" w:rsidRPr="003403DD">
        <w:rPr>
          <w:sz w:val="28"/>
          <w:szCs w:val="28"/>
        </w:rPr>
        <w:t>5719)</w:t>
      </w:r>
      <w:r w:rsidR="003403DD">
        <w:rPr>
          <w:sz w:val="28"/>
          <w:szCs w:val="28"/>
        </w:rPr>
        <w:t>.</w:t>
      </w:r>
    </w:p>
    <w:p w:rsidR="00C913F1" w:rsidRPr="007E2215" w:rsidRDefault="00C913F1" w:rsidP="00C913F1">
      <w:pPr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7E2215">
        <w:rPr>
          <w:sz w:val="28"/>
          <w:szCs w:val="28"/>
        </w:rPr>
        <w:t>Проект Закону України 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 5719)</w:t>
      </w:r>
      <w:r w:rsidRPr="007E2215">
        <w:rPr>
          <w:spacing w:val="-3"/>
          <w:sz w:val="28"/>
          <w:szCs w:val="28"/>
        </w:rPr>
        <w:t xml:space="preserve">, поданий народними депутатами України </w:t>
      </w:r>
      <w:proofErr w:type="spellStart"/>
      <w:r w:rsidRPr="007E2215">
        <w:rPr>
          <w:sz w:val="28"/>
          <w:szCs w:val="28"/>
        </w:rPr>
        <w:t>Арахамією</w:t>
      </w:r>
      <w:proofErr w:type="spellEnd"/>
      <w:r w:rsidRPr="007E2215">
        <w:rPr>
          <w:sz w:val="28"/>
          <w:szCs w:val="28"/>
        </w:rPr>
        <w:t xml:space="preserve"> Д.Г., </w:t>
      </w:r>
      <w:proofErr w:type="spellStart"/>
      <w:r w:rsidRPr="007E2215">
        <w:rPr>
          <w:sz w:val="28"/>
          <w:szCs w:val="28"/>
        </w:rPr>
        <w:t>Гетманцевим</w:t>
      </w:r>
      <w:proofErr w:type="spellEnd"/>
      <w:r w:rsidRPr="007E2215">
        <w:rPr>
          <w:sz w:val="28"/>
          <w:szCs w:val="28"/>
        </w:rPr>
        <w:t> Д.О. та іншими</w:t>
      </w:r>
      <w:r w:rsidRPr="007E2215">
        <w:rPr>
          <w:spacing w:val="-3"/>
          <w:sz w:val="28"/>
          <w:szCs w:val="28"/>
        </w:rPr>
        <w:t xml:space="preserve"> </w:t>
      </w:r>
      <w:r w:rsidRPr="007E2215">
        <w:rPr>
          <w:i/>
          <w:sz w:val="28"/>
          <w:szCs w:val="28"/>
        </w:rPr>
        <w:t>/далі – законопроект № 5719/</w:t>
      </w:r>
      <w:r w:rsidRPr="007E2215">
        <w:rPr>
          <w:sz w:val="28"/>
          <w:szCs w:val="28"/>
        </w:rPr>
        <w:t>, 2 листопада 2021 року Верховною Радою України прийнято за основу з дорученням Комітету доопрацювати законопроект № 5719</w:t>
      </w:r>
      <w:r w:rsidRPr="007E2215">
        <w:rPr>
          <w:i/>
          <w:sz w:val="28"/>
          <w:szCs w:val="28"/>
        </w:rPr>
        <w:t xml:space="preserve"> </w:t>
      </w:r>
      <w:r w:rsidRPr="007E2215">
        <w:rPr>
          <w:sz w:val="28"/>
          <w:szCs w:val="28"/>
        </w:rPr>
        <w:t xml:space="preserve">з урахуванням пропозицій і поправок суб’єктів права законодавчої ініціативи, пропозицій, висловлених у висновку Комітету від 08.09.2021 р. відповідно до частини першої статті 116 Регламенту Верховної Ради України </w:t>
      </w:r>
      <w:r w:rsidRPr="007E2215">
        <w:rPr>
          <w:i/>
          <w:sz w:val="28"/>
          <w:szCs w:val="28"/>
        </w:rPr>
        <w:t>/далі – Регламент/</w:t>
      </w:r>
      <w:r w:rsidRPr="007E2215">
        <w:rPr>
          <w:sz w:val="28"/>
          <w:szCs w:val="28"/>
        </w:rPr>
        <w:t xml:space="preserve">, та </w:t>
      </w:r>
      <w:proofErr w:type="spellStart"/>
      <w:r w:rsidRPr="007E2215">
        <w:rPr>
          <w:sz w:val="28"/>
          <w:szCs w:val="28"/>
        </w:rPr>
        <w:t>внести</w:t>
      </w:r>
      <w:proofErr w:type="spellEnd"/>
      <w:r w:rsidRPr="007E2215">
        <w:rPr>
          <w:sz w:val="28"/>
          <w:szCs w:val="28"/>
        </w:rPr>
        <w:t xml:space="preserve"> його на розгляд Верховної Ради України у другому читанні </w:t>
      </w:r>
      <w:r w:rsidRPr="007E2215">
        <w:rPr>
          <w:i/>
          <w:sz w:val="28"/>
          <w:szCs w:val="28"/>
        </w:rPr>
        <w:t>/згідно з Постановою Верховної Ради України від 02.11.2021 р. № 1842-IX/.</w:t>
      </w:r>
    </w:p>
    <w:p w:rsidR="00C913F1" w:rsidRPr="007E2215" w:rsidRDefault="00C913F1" w:rsidP="00C913F1">
      <w:pPr>
        <w:widowControl w:val="0"/>
        <w:shd w:val="clear" w:color="auto" w:fill="FFFFFF"/>
        <w:autoSpaceDE w:val="0"/>
        <w:autoSpaceDN w:val="0"/>
        <w:ind w:firstLine="709"/>
        <w:jc w:val="both"/>
        <w:rPr>
          <w:bCs/>
          <w:sz w:val="28"/>
          <w:szCs w:val="28"/>
        </w:rPr>
      </w:pPr>
      <w:r w:rsidRPr="007E2215">
        <w:rPr>
          <w:sz w:val="28"/>
          <w:szCs w:val="28"/>
        </w:rPr>
        <w:t>Законопроектом № 5719</w:t>
      </w:r>
      <w:r w:rsidRPr="007E2215">
        <w:rPr>
          <w:i/>
          <w:sz w:val="28"/>
          <w:szCs w:val="28"/>
        </w:rPr>
        <w:t xml:space="preserve"> </w:t>
      </w:r>
      <w:r w:rsidRPr="007E2215">
        <w:rPr>
          <w:sz w:val="28"/>
          <w:szCs w:val="28"/>
        </w:rPr>
        <w:t>пропонуються зміни до статті 64</w:t>
      </w:r>
      <w:r w:rsidRPr="007E2215">
        <w:rPr>
          <w:b/>
          <w:sz w:val="28"/>
          <w:szCs w:val="28"/>
        </w:rPr>
        <w:t xml:space="preserve"> </w:t>
      </w:r>
      <w:r w:rsidRPr="007E2215">
        <w:rPr>
          <w:sz w:val="28"/>
          <w:szCs w:val="28"/>
        </w:rPr>
        <w:t xml:space="preserve">Бюджетного кодексу України </w:t>
      </w:r>
      <w:r w:rsidRPr="007E2215">
        <w:rPr>
          <w:i/>
          <w:sz w:val="28"/>
          <w:szCs w:val="28"/>
        </w:rPr>
        <w:t>/далі – Кодекс/</w:t>
      </w:r>
      <w:r w:rsidRPr="007E2215">
        <w:rPr>
          <w:sz w:val="28"/>
          <w:szCs w:val="28"/>
        </w:rPr>
        <w:t>, згідно з якими: акцизний податок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</w:t>
      </w:r>
      <w:r w:rsidRPr="007E2215">
        <w:rPr>
          <w:b/>
          <w:i/>
          <w:sz w:val="28"/>
          <w:szCs w:val="28"/>
        </w:rPr>
        <w:t xml:space="preserve"> </w:t>
      </w:r>
      <w:r w:rsidRPr="00C913F1">
        <w:rPr>
          <w:b/>
          <w:i/>
          <w:sz w:val="28"/>
          <w:szCs w:val="28"/>
        </w:rPr>
        <w:t>/</w:t>
      </w:r>
      <w:r w:rsidRPr="00C913F1">
        <w:rPr>
          <w:i/>
          <w:sz w:val="28"/>
          <w:szCs w:val="28"/>
        </w:rPr>
        <w:t>далі</w:t>
      </w:r>
      <w:r w:rsidRPr="00C913F1">
        <w:rPr>
          <w:b/>
          <w:i/>
          <w:sz w:val="28"/>
          <w:szCs w:val="28"/>
        </w:rPr>
        <w:t xml:space="preserve"> –</w:t>
      </w:r>
      <w:r w:rsidRPr="00C913F1">
        <w:rPr>
          <w:i/>
          <w:sz w:val="28"/>
          <w:szCs w:val="28"/>
        </w:rPr>
        <w:t xml:space="preserve"> акцизний податок з роздрібної торгівлі тютюновими виробами/ </w:t>
      </w:r>
      <w:r w:rsidRPr="007E2215">
        <w:rPr>
          <w:sz w:val="28"/>
          <w:szCs w:val="28"/>
        </w:rPr>
        <w:t xml:space="preserve">щомісячно зараховується до загального фонду бюджетів місцевого самоврядування в автоматичному режимі </w:t>
      </w:r>
      <w:proofErr w:type="spellStart"/>
      <w:r w:rsidRPr="007E2215">
        <w:rPr>
          <w:sz w:val="28"/>
          <w:szCs w:val="28"/>
        </w:rPr>
        <w:t>пропорційно</w:t>
      </w:r>
      <w:proofErr w:type="spellEnd"/>
      <w:r w:rsidRPr="007E2215">
        <w:rPr>
          <w:sz w:val="28"/>
          <w:szCs w:val="28"/>
        </w:rPr>
        <w:t xml:space="preserve"> до частки, що розраховується як співвідношення вартості реалізованих суб’єктами господарювання роздрібної торгівлі тютюнових виробів, тютюну, промислових замінників тютюну, рідин, що використовуються в електронних сигаретах, на відповідній території за звітний місяць в загальній вартості реалізованих суб’єктами господарювання роздрібної торгівлі таких товарів за </w:t>
      </w:r>
      <w:r w:rsidRPr="007E2215">
        <w:rPr>
          <w:sz w:val="28"/>
          <w:szCs w:val="28"/>
        </w:rPr>
        <w:lastRenderedPageBreak/>
        <w:t xml:space="preserve">звітний місяць в цілому по Україні (з урахуванням даних реєстраторів розрахункових операцій та програмних реєстраторів розрахункових операцій згідно з інформацією центрального органу виконавчої влади, що реалізує державну податкову політику, станом на останній день звітного місяця); </w:t>
      </w:r>
      <w:r w:rsidRPr="007E2215">
        <w:rPr>
          <w:bCs/>
          <w:sz w:val="28"/>
          <w:szCs w:val="28"/>
        </w:rPr>
        <w:t>частки для зарахування акцизного податку з роздрібної торгівлі тютюновими виробами до бюджетів місцевого самоврядування визначаються центральним органом виконавчої влади, що реалізує державну податкову політику, за наведеною формулою</w:t>
      </w:r>
      <w:r w:rsidRPr="007E2215">
        <w:rPr>
          <w:i/>
          <w:sz w:val="28"/>
          <w:szCs w:val="28"/>
        </w:rPr>
        <w:t xml:space="preserve"> </w:t>
      </w:r>
      <w:r w:rsidRPr="007E2215">
        <w:rPr>
          <w:bCs/>
          <w:sz w:val="28"/>
          <w:szCs w:val="28"/>
        </w:rPr>
        <w:t xml:space="preserve">та не пізніше 20 числа кожного місяця, що слідує за звітним, надаються Казначейству України, яке </w:t>
      </w:r>
      <w:r w:rsidRPr="007E2215">
        <w:rPr>
          <w:sz w:val="28"/>
          <w:szCs w:val="28"/>
        </w:rPr>
        <w:t>не пізніше останнього дня місяця, що слідує за звітним, здійснює розподіл акцизного податку</w:t>
      </w:r>
      <w:r w:rsidRPr="007E2215">
        <w:rPr>
          <w:bCs/>
          <w:sz w:val="28"/>
          <w:szCs w:val="28"/>
        </w:rPr>
        <w:t xml:space="preserve"> з роздрібної торгівлі тютюновими виробами між бюджетами місцевого самоврядування.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bCs/>
          <w:sz w:val="28"/>
          <w:szCs w:val="28"/>
        </w:rPr>
        <w:t xml:space="preserve">Законопроект № 5719 є системно пов’язаним і похідним від поданого Кабінетом Міністрів України законопроекту про внесення змін до Податкового кодексу України та деяких законодавчих актів України щодо забезпечення збалансованості бюджетних надходжень за реєстр. № 5600, </w:t>
      </w:r>
      <w:r w:rsidRPr="007E2215">
        <w:rPr>
          <w:sz w:val="28"/>
          <w:szCs w:val="28"/>
        </w:rPr>
        <w:t xml:space="preserve">який </w:t>
      </w:r>
      <w:r w:rsidRPr="007E2215">
        <w:rPr>
          <w:bCs/>
          <w:sz w:val="28"/>
          <w:szCs w:val="28"/>
        </w:rPr>
        <w:t>30 листопада 2021 року</w:t>
      </w:r>
      <w:r w:rsidRPr="007E2215">
        <w:rPr>
          <w:sz w:val="28"/>
          <w:szCs w:val="28"/>
        </w:rPr>
        <w:t xml:space="preserve"> прийнято Верховною Радою України в цілому як закон</w:t>
      </w:r>
      <w:r w:rsidRPr="007E2215">
        <w:rPr>
          <w:bCs/>
          <w:sz w:val="28"/>
          <w:szCs w:val="28"/>
        </w:rPr>
        <w:t xml:space="preserve"> </w:t>
      </w:r>
      <w:r w:rsidRPr="007E2215">
        <w:rPr>
          <w:bCs/>
          <w:i/>
          <w:sz w:val="28"/>
          <w:szCs w:val="28"/>
        </w:rPr>
        <w:t>(Закон України від 30.11.2021 р. № 1914-ІХ)</w:t>
      </w:r>
      <w:r w:rsidRPr="007E2215">
        <w:rPr>
          <w:bCs/>
          <w:sz w:val="28"/>
          <w:szCs w:val="28"/>
        </w:rPr>
        <w:t xml:space="preserve">. </w:t>
      </w:r>
      <w:r w:rsidRPr="007E2215">
        <w:rPr>
          <w:sz w:val="28"/>
          <w:szCs w:val="28"/>
        </w:rPr>
        <w:t>При цьому згідно з абзацом сьомим пункту 1 розділу II цього Закону зміни щодо акцизного податку з роздрібної торгівлі тютюновими виробами набирають чинності з 1 січня 2022 року, але не раніше дня набрання чинності змін до Кодексу в частині запровадження механізму зарахування акцизного податку з роздрібної торгівлі тютюновими виробами до місцевих бюджетів, що у свою чергу зумовлювало необхідність подання відповідних змін до Кодексу.</w:t>
      </w:r>
    </w:p>
    <w:p w:rsidR="00C913F1" w:rsidRPr="007E2215" w:rsidRDefault="00C913F1" w:rsidP="00C913F1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 xml:space="preserve">Комітетом на своїх засіданнях 15 грудня 2021 року (протокол № 110) та 26 січня 2022 року (протокол № 114) розглянуто питання про підготовку до другого читання законопроекту № 5719, в кінцевому підсумку вирішено врахувати 38 пропозицій та відхилити 72 пропозиції (з 110 пропозицій у відповідній порівняльній таблиці) та </w:t>
      </w:r>
      <w:r w:rsidRPr="007E2215">
        <w:rPr>
          <w:bCs/>
          <w:sz w:val="28"/>
          <w:szCs w:val="28"/>
        </w:rPr>
        <w:t xml:space="preserve">ухвалено рішення </w:t>
      </w:r>
      <w:r w:rsidRPr="007E2215">
        <w:rPr>
          <w:sz w:val="28"/>
          <w:szCs w:val="28"/>
        </w:rPr>
        <w:t xml:space="preserve">рекомендувати Верховній Раді України законопроект № 5719 за результатами розгляду у другому читанні прийняти в цілому як закон в остаточній редакції, викладеній Комітетом у порівняльній таблиці до законопроекту № 5719, з урахуванням внесення необхідних техніко-юридичних і редакційних правок за результатами прийняття зазначеного законопроекту. У зв’язку з цим, Комітет направив відповідні висновки Верховній Раді України </w:t>
      </w:r>
      <w:r w:rsidRPr="007E2215">
        <w:rPr>
          <w:i/>
          <w:sz w:val="28"/>
          <w:szCs w:val="28"/>
        </w:rPr>
        <w:t>/листи від 15.12.2021 р. № 04-13/3-2021/392832 (762519) та від 26.01.2022 р. №04-13/3-2022/22725 (815027)/</w:t>
      </w:r>
      <w:r w:rsidRPr="007E2215">
        <w:rPr>
          <w:sz w:val="28"/>
          <w:szCs w:val="28"/>
        </w:rPr>
        <w:t>. Загалом Комітетом в остаточній редакції законопроекту № 5719 запропоновано унормувати питання передусім щодо: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 xml:space="preserve">упорядкування положень щодо визначення частки зарахування акцизного податку з роздрібної торгівлі тютюновими виробами до бюджетів місцевого самоврядування та обов’язку Державної податкової служби України і Казначейства України здійснювати щомісячне зарахування такого податку до відповідних бюджетів і відповідальності цих органів за порушення таких вимог (з введенням в дію зазначених положень з 1 квітня 2022 року); 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lastRenderedPageBreak/>
        <w:t xml:space="preserve">подальшого розвитку складових програмно-цільового методу у бюджетному процесі, зокрема в частині визначення терміну «бюджетна пропозиція», наділення головних розпорядників бюджетних коштів повноваженнями щодо складання і подання Міністерству фінансів України (місцевому фінансовому органу) бюджетних пропозицій до Бюджетної декларації (прогнозу місцевого бюджету) та встановлення їх відповідальності за включення недостовірних даних до таких пропозицій і порушення термінів їх подання; 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>поширення вимог щодо контролю за дотриманням бюджетного законодавства в частині управління об’єктами комунальної власності та уточнення норм Кодексу щодо оприлюднення інформації про виконання державного бюджету та місцевих бюджетів;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>уточнення складу доходів державного бюджету і місцевих бюджетів, серед яких зарахування до таких бюджетів плати за ліцензії на провадження діяльності з організації та проведення азартних ігор, ліцензії на випуск та проведення лотерей, особливих видів мита та сезонного мита, податку на доходи фізичних осіб фізичними особами-власниками генеруючих установок за місцем розташування таких установок, коштів від викупу земельних ділянок сільськогосподарського призначення відповідно до пункту 6-1 Перехідних положень Земельного кодексу України;</w:t>
      </w:r>
    </w:p>
    <w:p w:rsidR="00C913F1" w:rsidRPr="007E2215" w:rsidRDefault="00C913F1" w:rsidP="00C913F1">
      <w:pPr>
        <w:ind w:firstLine="709"/>
        <w:jc w:val="both"/>
        <w:rPr>
          <w:iCs/>
          <w:sz w:val="28"/>
          <w:szCs w:val="28"/>
        </w:rPr>
      </w:pPr>
      <w:r w:rsidRPr="007E2215">
        <w:rPr>
          <w:iCs/>
          <w:sz w:val="28"/>
          <w:szCs w:val="28"/>
        </w:rPr>
        <w:t>унормування на постійній основі зарахування до спеціального фонду державного бюджету плати за ліцензії на провадження діяльності у сфері організації та проведення азартних ігор і за ліцензії на випуск та проведення лотерей із спрямуванням на реалізацію програм та заходів на охорону здоров’я, освіту, культуру, фізичну культуру і спорт, наукову і науково-технічну діяльність за бюджетними програмами, визначеними законом про державний бюджет.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 xml:space="preserve">Верховною Радою України 27 січня 2022 року законопроект № 5719 розглянуто у другому читанні та повернуто Комітету для доопрацювання та внесення на розгляд у повторному другому читанні </w:t>
      </w:r>
      <w:r w:rsidRPr="007E2215">
        <w:rPr>
          <w:i/>
          <w:sz w:val="28"/>
          <w:szCs w:val="28"/>
        </w:rPr>
        <w:t>/згідно з Постановою Верховної Ради України від 27.01.2022 р. № 2028-IX/</w:t>
      </w:r>
      <w:r w:rsidRPr="007E2215">
        <w:rPr>
          <w:sz w:val="28"/>
          <w:szCs w:val="28"/>
        </w:rPr>
        <w:t xml:space="preserve">. Під час такого розгляду за ініціативою народних депутатів України </w:t>
      </w:r>
      <w:r w:rsidR="006465EA">
        <w:rPr>
          <w:sz w:val="28"/>
          <w:szCs w:val="28"/>
        </w:rPr>
        <w:t xml:space="preserve">озвучувалися та/або </w:t>
      </w:r>
      <w:r w:rsidRPr="007E2215">
        <w:rPr>
          <w:sz w:val="28"/>
          <w:szCs w:val="28"/>
        </w:rPr>
        <w:t xml:space="preserve">ставилися на голосування та не підтримані сім пропозицій у порівняльній таблиці до законопроекту № 5719, а саме пропозиції: № 15 </w:t>
      </w:r>
      <w:r w:rsidRPr="007E2215">
        <w:rPr>
          <w:i/>
          <w:sz w:val="28"/>
          <w:szCs w:val="28"/>
        </w:rPr>
        <w:t>(щодо змін до статті 24-1 Кодексу стосовно державного фонду регіонального розвитку)</w:t>
      </w:r>
      <w:r w:rsidRPr="007E2215">
        <w:rPr>
          <w:sz w:val="28"/>
          <w:szCs w:val="28"/>
        </w:rPr>
        <w:t xml:space="preserve">, № 89 </w:t>
      </w:r>
      <w:r w:rsidRPr="007E2215">
        <w:rPr>
          <w:i/>
          <w:sz w:val="28"/>
          <w:szCs w:val="28"/>
        </w:rPr>
        <w:t>(щодо змін до статті 87 Кодексу стосовно видатків державного бюджету на здійснення програм і заходів деякими державними закладами охорони здоров’я)</w:t>
      </w:r>
      <w:r w:rsidRPr="007E2215">
        <w:rPr>
          <w:sz w:val="28"/>
          <w:szCs w:val="28"/>
        </w:rPr>
        <w:t xml:space="preserve">, № 92 </w:t>
      </w:r>
      <w:r w:rsidRPr="007E2215">
        <w:rPr>
          <w:i/>
          <w:sz w:val="28"/>
          <w:szCs w:val="28"/>
        </w:rPr>
        <w:t xml:space="preserve">(щодо змін до статті 103-1 </w:t>
      </w:r>
      <w:r>
        <w:rPr>
          <w:i/>
          <w:sz w:val="28"/>
          <w:szCs w:val="28"/>
        </w:rPr>
        <w:t xml:space="preserve">Кодексу </w:t>
      </w:r>
      <w:r w:rsidRPr="007E2215">
        <w:rPr>
          <w:i/>
          <w:sz w:val="28"/>
          <w:szCs w:val="28"/>
        </w:rPr>
        <w:t>стосовно субвенції місцевим бюджетам в рамках державного дорожнього фонду)</w:t>
      </w:r>
      <w:r w:rsidRPr="007E2215">
        <w:rPr>
          <w:sz w:val="28"/>
          <w:szCs w:val="28"/>
        </w:rPr>
        <w:t xml:space="preserve">, № 98 </w:t>
      </w:r>
      <w:r w:rsidRPr="007E2215">
        <w:rPr>
          <w:i/>
          <w:sz w:val="28"/>
          <w:szCs w:val="28"/>
        </w:rPr>
        <w:t>(щодо змін до статті 123 Кодексу стосовно запровадження відповідальності органів Казначейства України у вигляді штрафу і пені)</w:t>
      </w:r>
      <w:r w:rsidRPr="007E2215">
        <w:rPr>
          <w:sz w:val="28"/>
          <w:szCs w:val="28"/>
        </w:rPr>
        <w:t xml:space="preserve">, № 102 </w:t>
      </w:r>
      <w:r w:rsidRPr="007E2215">
        <w:rPr>
          <w:i/>
          <w:sz w:val="28"/>
          <w:szCs w:val="28"/>
        </w:rPr>
        <w:t>(щодо змін до пункту 26 розділу VI Кодексу стосовно уточнення норм законодавчих актів, що застосовуються виходячи з наявних фінансових ресурсів державного і місцевих бюджетів)</w:t>
      </w:r>
      <w:r w:rsidRPr="007E2215">
        <w:rPr>
          <w:sz w:val="28"/>
          <w:szCs w:val="28"/>
        </w:rPr>
        <w:t xml:space="preserve">, № 108 </w:t>
      </w:r>
      <w:r w:rsidRPr="007E2215">
        <w:rPr>
          <w:i/>
          <w:sz w:val="28"/>
          <w:szCs w:val="28"/>
        </w:rPr>
        <w:t xml:space="preserve">(щодо змін до статті 7 Закону України «Про банки і банківську діяльність») </w:t>
      </w:r>
      <w:r w:rsidRPr="007E2215">
        <w:rPr>
          <w:sz w:val="28"/>
          <w:szCs w:val="28"/>
        </w:rPr>
        <w:t xml:space="preserve">і № 109 </w:t>
      </w:r>
      <w:r w:rsidRPr="007E2215">
        <w:rPr>
          <w:i/>
          <w:sz w:val="28"/>
          <w:szCs w:val="28"/>
        </w:rPr>
        <w:t xml:space="preserve">(щодо змін до розділу XX </w:t>
      </w:r>
      <w:r w:rsidRPr="007E2215">
        <w:rPr>
          <w:i/>
          <w:sz w:val="28"/>
          <w:szCs w:val="28"/>
        </w:rPr>
        <w:lastRenderedPageBreak/>
        <w:t>Податкового кодексу України)</w:t>
      </w:r>
      <w:r w:rsidRPr="007E2215">
        <w:rPr>
          <w:sz w:val="28"/>
          <w:szCs w:val="28"/>
        </w:rPr>
        <w:t xml:space="preserve">. При цьому, із вищевказаних пропозицій Комітет пропонував врахувати шість пропозицій (крім пропозиції № 98, яку Комітет пропонував відхилити). </w:t>
      </w:r>
    </w:p>
    <w:p w:rsidR="00C913F1" w:rsidRPr="007E2215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 xml:space="preserve">Серед особливостей підготовки законопроекту до повторного другого читання, визначених Регламентом, слід звернути увагу на таке: до повторного другого читання законопроекту пропозиції і поправки вносяться в 10-денний строк після дня попереднього другого читання і лише до тих розділів, глав, статей, їх частин, пунктів, підпунктів, абзаців, речень законопроекту, що не прийняті у другому читанні </w:t>
      </w:r>
      <w:r w:rsidRPr="007E2215">
        <w:rPr>
          <w:i/>
          <w:sz w:val="28"/>
          <w:szCs w:val="28"/>
        </w:rPr>
        <w:t>/частина перша статті 116/</w:t>
      </w:r>
      <w:r w:rsidRPr="007E2215">
        <w:rPr>
          <w:sz w:val="28"/>
          <w:szCs w:val="28"/>
        </w:rPr>
        <w:t xml:space="preserve">; на повторне друге читання законопроект подається головним комітетом у вигляді порівняльної таблиці, при цьому включаються всі пропозиції, поправки, у </w:t>
      </w:r>
      <w:proofErr w:type="spellStart"/>
      <w:r w:rsidRPr="007E2215">
        <w:rPr>
          <w:sz w:val="28"/>
          <w:szCs w:val="28"/>
        </w:rPr>
        <w:t>т.ч</w:t>
      </w:r>
      <w:proofErr w:type="spellEnd"/>
      <w:r w:rsidRPr="007E2215">
        <w:rPr>
          <w:sz w:val="28"/>
          <w:szCs w:val="28"/>
        </w:rPr>
        <w:t>. й ті, що внесені до цих статей чи їх частин на попереднє друге читання, повторне друге читання законопроекту здійснюється за процедурою другого читання</w:t>
      </w:r>
      <w:r w:rsidRPr="007E2215">
        <w:rPr>
          <w:i/>
          <w:sz w:val="28"/>
          <w:szCs w:val="28"/>
        </w:rPr>
        <w:t xml:space="preserve"> /стаття 124/</w:t>
      </w:r>
      <w:r w:rsidRPr="007E2215">
        <w:rPr>
          <w:sz w:val="28"/>
          <w:szCs w:val="28"/>
        </w:rPr>
        <w:t>.</w:t>
      </w:r>
    </w:p>
    <w:p w:rsidR="00C913F1" w:rsidRPr="00325723" w:rsidRDefault="00C913F1" w:rsidP="00C913F1">
      <w:pPr>
        <w:ind w:firstLine="709"/>
        <w:jc w:val="both"/>
        <w:rPr>
          <w:sz w:val="28"/>
          <w:szCs w:val="28"/>
        </w:rPr>
      </w:pPr>
      <w:r w:rsidRPr="007E2215">
        <w:rPr>
          <w:sz w:val="28"/>
          <w:szCs w:val="28"/>
        </w:rPr>
        <w:t xml:space="preserve">Відповідно до частини першої статті 116 Регламенту у встановлені строки </w:t>
      </w:r>
      <w:r w:rsidRPr="007E2215">
        <w:rPr>
          <w:i/>
          <w:sz w:val="28"/>
          <w:szCs w:val="28"/>
        </w:rPr>
        <w:t>/не пізніше 6 лютого 2022 року/</w:t>
      </w:r>
      <w:r w:rsidRPr="007E2215">
        <w:rPr>
          <w:sz w:val="28"/>
          <w:szCs w:val="28"/>
        </w:rPr>
        <w:t xml:space="preserve"> до повторного другого читання законопроекту № 5719 до Комітету надійшли нові пропозиції, згруповані та узагальнені у відповідній порівняльній таблиці у кількості 7 пропозицій. При цьому частина таких пропозицій безпосередньо не стосуються предмету правового регулювання законопроекту № 5719</w:t>
      </w:r>
      <w:r w:rsidRPr="007E2215">
        <w:rPr>
          <w:sz w:val="28"/>
          <w:szCs w:val="28"/>
          <w:shd w:val="clear" w:color="auto" w:fill="FFFFFF"/>
        </w:rPr>
        <w:t xml:space="preserve">. </w:t>
      </w:r>
      <w:r w:rsidR="00FA5406" w:rsidRPr="007E2215">
        <w:rPr>
          <w:sz w:val="28"/>
          <w:szCs w:val="28"/>
          <w:shd w:val="clear" w:color="auto" w:fill="FFFFFF"/>
        </w:rPr>
        <w:t xml:space="preserve">Разом з тим, </w:t>
      </w:r>
      <w:r w:rsidR="00FA5406" w:rsidRPr="00325723">
        <w:rPr>
          <w:sz w:val="28"/>
          <w:szCs w:val="28"/>
        </w:rPr>
        <w:t xml:space="preserve">керуючись цією нормою Регламенту, до порівняльної таблиці до законопроекту № 5719 на повторне друге читання не включено нові пропозиції народного депутата України </w:t>
      </w:r>
      <w:proofErr w:type="spellStart"/>
      <w:r w:rsidR="00FA5406" w:rsidRPr="00325723">
        <w:rPr>
          <w:sz w:val="28"/>
          <w:szCs w:val="28"/>
        </w:rPr>
        <w:t>Железняка</w:t>
      </w:r>
      <w:proofErr w:type="spellEnd"/>
      <w:r w:rsidR="00FA5406" w:rsidRPr="00325723">
        <w:rPr>
          <w:sz w:val="28"/>
          <w:szCs w:val="28"/>
        </w:rPr>
        <w:t xml:space="preserve"> Я.І., що надійшли до Комітету після вказаного встановленого строку </w:t>
      </w:r>
      <w:r w:rsidR="00FA5406" w:rsidRPr="00325723">
        <w:rPr>
          <w:i/>
          <w:sz w:val="28"/>
          <w:szCs w:val="28"/>
        </w:rPr>
        <w:t>/лист від 07.02.2022 р. №</w:t>
      </w:r>
      <w:r w:rsidR="00306C63" w:rsidRPr="00325723">
        <w:rPr>
          <w:i/>
          <w:sz w:val="28"/>
          <w:szCs w:val="28"/>
        </w:rPr>
        <w:t> </w:t>
      </w:r>
      <w:r w:rsidR="00FA5406" w:rsidRPr="00325723">
        <w:rPr>
          <w:i/>
          <w:sz w:val="28"/>
          <w:szCs w:val="28"/>
        </w:rPr>
        <w:t>212д9/5-2022/34314 9827893)/</w:t>
      </w:r>
      <w:r w:rsidR="00FA5406" w:rsidRPr="00325723">
        <w:rPr>
          <w:sz w:val="28"/>
          <w:szCs w:val="28"/>
        </w:rPr>
        <w:t>.</w:t>
      </w:r>
    </w:p>
    <w:p w:rsidR="00B71FB7" w:rsidRPr="00325723" w:rsidRDefault="00FA5406" w:rsidP="00C913F1">
      <w:pPr>
        <w:ind w:firstLine="709"/>
        <w:jc w:val="both"/>
        <w:rPr>
          <w:sz w:val="28"/>
          <w:szCs w:val="28"/>
        </w:rPr>
      </w:pPr>
      <w:r w:rsidRPr="00325723">
        <w:rPr>
          <w:sz w:val="28"/>
          <w:szCs w:val="28"/>
          <w:lang w:eastAsia="uk-UA"/>
        </w:rPr>
        <w:t xml:space="preserve">За підсумками опрацювання </w:t>
      </w:r>
      <w:r w:rsidR="00884AD4" w:rsidRPr="00325723">
        <w:rPr>
          <w:sz w:val="28"/>
          <w:szCs w:val="28"/>
          <w:lang w:eastAsia="uk-UA"/>
        </w:rPr>
        <w:t xml:space="preserve">даного питання </w:t>
      </w:r>
      <w:r w:rsidRPr="00325723">
        <w:rPr>
          <w:sz w:val="28"/>
          <w:szCs w:val="28"/>
          <w:lang w:eastAsia="uk-UA"/>
        </w:rPr>
        <w:t xml:space="preserve">у Комітеті за участю представників Міністерства фінансів України та Рахункової палати </w:t>
      </w:r>
      <w:r w:rsidR="00B71FB7" w:rsidRPr="00325723">
        <w:rPr>
          <w:sz w:val="28"/>
          <w:szCs w:val="28"/>
        </w:rPr>
        <w:t>запропоновано:</w:t>
      </w:r>
    </w:p>
    <w:p w:rsidR="00A87B05" w:rsidRPr="00325723" w:rsidRDefault="00B71FB7" w:rsidP="00C913F1">
      <w:pPr>
        <w:ind w:firstLine="709"/>
        <w:jc w:val="both"/>
        <w:rPr>
          <w:sz w:val="28"/>
          <w:szCs w:val="28"/>
        </w:rPr>
      </w:pPr>
      <w:r w:rsidRPr="00325723">
        <w:rPr>
          <w:sz w:val="28"/>
          <w:szCs w:val="28"/>
        </w:rPr>
        <w:t xml:space="preserve">переглянути висновки Комітету щодо пропозицій № 15, № 108 і № 109 у порівняльній таблиці </w:t>
      </w:r>
      <w:r w:rsidR="00A87B05" w:rsidRPr="00325723">
        <w:rPr>
          <w:sz w:val="28"/>
          <w:szCs w:val="28"/>
        </w:rPr>
        <w:t xml:space="preserve">до </w:t>
      </w:r>
      <w:r w:rsidRPr="00325723">
        <w:rPr>
          <w:sz w:val="28"/>
          <w:szCs w:val="28"/>
        </w:rPr>
        <w:t xml:space="preserve">законопроекту № 5719 </w:t>
      </w:r>
      <w:r w:rsidR="00A87B05" w:rsidRPr="00325723">
        <w:rPr>
          <w:sz w:val="28"/>
          <w:szCs w:val="28"/>
        </w:rPr>
        <w:t xml:space="preserve">на друге читання, відхиливши такі пропозиції, зважаючи, серед іншого, на їх </w:t>
      </w:r>
      <w:proofErr w:type="spellStart"/>
      <w:r w:rsidR="00A87B05" w:rsidRPr="00325723">
        <w:rPr>
          <w:sz w:val="28"/>
          <w:szCs w:val="28"/>
        </w:rPr>
        <w:t>непідтримку</w:t>
      </w:r>
      <w:proofErr w:type="spellEnd"/>
      <w:r w:rsidR="00A87B05" w:rsidRPr="00325723">
        <w:rPr>
          <w:sz w:val="28"/>
          <w:szCs w:val="28"/>
        </w:rPr>
        <w:t xml:space="preserve"> Верховною Радою України під час розгляду законопроекту № 5719 у другому читанні, тобто в остаточній редакції законопроекту № 5719 не передбачати змін до статті 24-1 Кодексу щодо державного фонду регіонального розвитку, а також змін до статті 7 Закону України «Про банки і банківську діяльність» і до розділу XX Податкового кодексу України;</w:t>
      </w:r>
    </w:p>
    <w:p w:rsidR="00A87B05" w:rsidRPr="00325723" w:rsidRDefault="00A87B05" w:rsidP="00C913F1">
      <w:pPr>
        <w:ind w:firstLine="709"/>
        <w:jc w:val="both"/>
        <w:rPr>
          <w:sz w:val="28"/>
          <w:szCs w:val="28"/>
        </w:rPr>
      </w:pPr>
      <w:r w:rsidRPr="00325723">
        <w:rPr>
          <w:sz w:val="28"/>
          <w:szCs w:val="28"/>
        </w:rPr>
        <w:t>не</w:t>
      </w:r>
      <w:r w:rsidR="00AA701C" w:rsidRPr="00325723">
        <w:rPr>
          <w:sz w:val="28"/>
          <w:szCs w:val="28"/>
        </w:rPr>
        <w:t> </w:t>
      </w:r>
      <w:r w:rsidRPr="00325723">
        <w:rPr>
          <w:sz w:val="28"/>
          <w:szCs w:val="28"/>
        </w:rPr>
        <w:t>переглядати висновки Комітету щодо інших пропозицій, поданих до другого читання законопроекту № 5719;</w:t>
      </w:r>
    </w:p>
    <w:p w:rsidR="00635B82" w:rsidRPr="00325723" w:rsidRDefault="00A87B05" w:rsidP="00C913F1">
      <w:pPr>
        <w:ind w:firstLine="709"/>
        <w:jc w:val="both"/>
        <w:rPr>
          <w:sz w:val="28"/>
          <w:szCs w:val="28"/>
        </w:rPr>
      </w:pPr>
      <w:r w:rsidRPr="00325723">
        <w:rPr>
          <w:sz w:val="28"/>
          <w:szCs w:val="28"/>
        </w:rPr>
        <w:t xml:space="preserve">врахувати нові </w:t>
      </w:r>
      <w:r w:rsidR="0050165A" w:rsidRPr="00325723">
        <w:rPr>
          <w:sz w:val="28"/>
          <w:szCs w:val="28"/>
        </w:rPr>
        <w:t xml:space="preserve">пропозиції №  111, № 114 і № 116 (подані до повторного другого читання законопроекту № 5719), тобто в остаточній редакції законопроекту № 5719 унормувати питання щодо: виключення плати за одержання контрольних марок із складу доходів загального фонду державного бюджету (у зв’язку із скасуванням з 2022 р. відповідного маркування згідно із Законом України від 15.12.2021 р. № 1965-IX); </w:t>
      </w:r>
      <w:r w:rsidR="00635B82" w:rsidRPr="00325723">
        <w:rPr>
          <w:sz w:val="28"/>
          <w:szCs w:val="28"/>
        </w:rPr>
        <w:t xml:space="preserve">особливостей здійснення місцевих внутрішніх запозичень для </w:t>
      </w:r>
      <w:proofErr w:type="spellStart"/>
      <w:r w:rsidR="00635B82" w:rsidRPr="00325723">
        <w:rPr>
          <w:sz w:val="28"/>
          <w:szCs w:val="28"/>
        </w:rPr>
        <w:lastRenderedPageBreak/>
        <w:t>термомодернізації</w:t>
      </w:r>
      <w:proofErr w:type="spellEnd"/>
      <w:r w:rsidR="00635B82" w:rsidRPr="00325723">
        <w:rPr>
          <w:sz w:val="28"/>
          <w:szCs w:val="28"/>
        </w:rPr>
        <w:t xml:space="preserve"> будівель; здійснення Міністерством закордонних справ України офіційного перекладу двосторонніх міжнародних договорів з міжнародними фінансовими організаціями.</w:t>
      </w:r>
    </w:p>
    <w:p w:rsidR="00AA701C" w:rsidRPr="00325723" w:rsidRDefault="00AA701C" w:rsidP="00C913F1">
      <w:pPr>
        <w:ind w:firstLine="709"/>
        <w:jc w:val="both"/>
        <w:rPr>
          <w:sz w:val="28"/>
          <w:szCs w:val="28"/>
        </w:rPr>
      </w:pPr>
      <w:r w:rsidRPr="00325723">
        <w:rPr>
          <w:sz w:val="28"/>
          <w:szCs w:val="28"/>
        </w:rPr>
        <w:t xml:space="preserve">Таким чином, </w:t>
      </w:r>
      <w:r w:rsidR="00635B82" w:rsidRPr="00325723">
        <w:rPr>
          <w:sz w:val="28"/>
          <w:szCs w:val="28"/>
        </w:rPr>
        <w:t xml:space="preserve">у порівняльній таблиці до законопроекту № 5719 на повторне друге читання із 117 пропозицій </w:t>
      </w:r>
      <w:r w:rsidRPr="00325723">
        <w:rPr>
          <w:sz w:val="28"/>
          <w:szCs w:val="28"/>
        </w:rPr>
        <w:t xml:space="preserve">Комітетом </w:t>
      </w:r>
      <w:r w:rsidR="00635B82" w:rsidRPr="00325723">
        <w:rPr>
          <w:sz w:val="28"/>
          <w:szCs w:val="28"/>
        </w:rPr>
        <w:t xml:space="preserve">вирішено </w:t>
      </w:r>
      <w:r w:rsidRPr="00325723">
        <w:rPr>
          <w:sz w:val="28"/>
          <w:szCs w:val="28"/>
        </w:rPr>
        <w:t>врахувати 38 пропозицій та відхилити 79 пропозицій</w:t>
      </w:r>
      <w:r w:rsidR="00635B82" w:rsidRPr="00325723">
        <w:rPr>
          <w:sz w:val="28"/>
          <w:szCs w:val="28"/>
        </w:rPr>
        <w:t>.</w:t>
      </w:r>
    </w:p>
    <w:p w:rsidR="00C913F1" w:rsidRPr="00013EF0" w:rsidRDefault="00C913F1" w:rsidP="00C913F1">
      <w:pPr>
        <w:ind w:firstLine="709"/>
        <w:jc w:val="both"/>
        <w:rPr>
          <w:sz w:val="28"/>
          <w:szCs w:val="28"/>
        </w:rPr>
      </w:pPr>
      <w:r w:rsidRPr="00325723">
        <w:rPr>
          <w:sz w:val="28"/>
          <w:szCs w:val="28"/>
        </w:rPr>
        <w:t>Окремо слід відмітити, що при доопрацюванні</w:t>
      </w:r>
      <w:r w:rsidRPr="007E2215">
        <w:rPr>
          <w:sz w:val="28"/>
          <w:szCs w:val="28"/>
        </w:rPr>
        <w:t xml:space="preserve"> законопроекту №5719 до другого читання передбачено унормувати деякі питання, запропоновані у відповідних законопроектах, а саме за реєстраційними номерами: </w:t>
      </w:r>
      <w:r w:rsidRPr="007E2215">
        <w:rPr>
          <w:bCs/>
          <w:iCs/>
          <w:sz w:val="28"/>
          <w:szCs w:val="28"/>
        </w:rPr>
        <w:t xml:space="preserve">№ 2503 </w:t>
      </w:r>
      <w:r w:rsidRPr="007E2215">
        <w:rPr>
          <w:bCs/>
          <w:i/>
          <w:iCs/>
          <w:sz w:val="28"/>
          <w:szCs w:val="28"/>
        </w:rPr>
        <w:t>(щодо удосконалення механізму справляння акцизного податку при реалізації тютюнових виробів)</w:t>
      </w:r>
      <w:r w:rsidRPr="007E2215">
        <w:rPr>
          <w:bCs/>
          <w:iCs/>
          <w:sz w:val="28"/>
          <w:szCs w:val="28"/>
        </w:rPr>
        <w:t xml:space="preserve"> і № 2503-1 </w:t>
      </w:r>
      <w:r w:rsidRPr="007E2215">
        <w:rPr>
          <w:bCs/>
          <w:i/>
          <w:iCs/>
          <w:sz w:val="28"/>
          <w:szCs w:val="28"/>
        </w:rPr>
        <w:t>(щодо удосконалення механізму справляння акцизного податку при реалізації алкогольних напоїв та тютюнових виробів)</w:t>
      </w:r>
      <w:r w:rsidRPr="007E2215">
        <w:rPr>
          <w:bCs/>
          <w:iCs/>
          <w:sz w:val="28"/>
          <w:szCs w:val="28"/>
        </w:rPr>
        <w:t xml:space="preserve">; </w:t>
      </w:r>
      <w:r w:rsidRPr="007E2215">
        <w:rPr>
          <w:sz w:val="28"/>
          <w:szCs w:val="28"/>
        </w:rPr>
        <w:t xml:space="preserve">№ 3970 </w:t>
      </w:r>
      <w:r w:rsidRPr="007E2215">
        <w:rPr>
          <w:i/>
          <w:sz w:val="28"/>
          <w:szCs w:val="28"/>
        </w:rPr>
        <w:t>(щодо фінансової зацікавленості органів місцевого самоврядування в посиленні контролю за виконанням вимог законодавства на транспорті)</w:t>
      </w:r>
      <w:r w:rsidRPr="007E2215">
        <w:rPr>
          <w:sz w:val="28"/>
          <w:szCs w:val="28"/>
        </w:rPr>
        <w:t xml:space="preserve">; </w:t>
      </w:r>
      <w:r w:rsidRPr="007E2215">
        <w:rPr>
          <w:bCs/>
          <w:iCs/>
          <w:sz w:val="28"/>
          <w:szCs w:val="28"/>
        </w:rPr>
        <w:t>№ 4606</w:t>
      </w:r>
      <w:r w:rsidRPr="007E2215">
        <w:rPr>
          <w:b/>
          <w:bCs/>
          <w:iCs/>
          <w:sz w:val="28"/>
          <w:szCs w:val="28"/>
        </w:rPr>
        <w:t xml:space="preserve"> </w:t>
      </w:r>
      <w:r w:rsidRPr="007E2215">
        <w:rPr>
          <w:bCs/>
          <w:iCs/>
          <w:sz w:val="28"/>
          <w:szCs w:val="28"/>
        </w:rPr>
        <w:t>(</w:t>
      </w:r>
      <w:r w:rsidRPr="007E2215">
        <w:rPr>
          <w:bCs/>
          <w:i/>
          <w:iCs/>
          <w:sz w:val="28"/>
          <w:szCs w:val="28"/>
        </w:rPr>
        <w:t>щодо порядку розподілу надходжень від правопорушення у сфері забезпечення безпеки дорожнього руху, зафіксовані в автоматичному режимі в межах населених пунктів)</w:t>
      </w:r>
      <w:r w:rsidRPr="007E2215">
        <w:rPr>
          <w:bCs/>
          <w:iCs/>
          <w:sz w:val="28"/>
          <w:szCs w:val="28"/>
        </w:rPr>
        <w:t xml:space="preserve">; </w:t>
      </w:r>
      <w:r w:rsidRPr="007E2215">
        <w:rPr>
          <w:sz w:val="28"/>
          <w:szCs w:val="28"/>
        </w:rPr>
        <w:t>№ 4692 (</w:t>
      </w:r>
      <w:r w:rsidRPr="007E2215">
        <w:rPr>
          <w:i/>
          <w:sz w:val="28"/>
          <w:szCs w:val="28"/>
        </w:rPr>
        <w:t>щодо приведення у відповідність із Законом від 29.04.2021 № 1432-IX «Про внесення змін до Закону України «Про культуру» щодо загальних засад надання населенню культурних послуг»)</w:t>
      </w:r>
      <w:r w:rsidRPr="007E2215">
        <w:rPr>
          <w:sz w:val="28"/>
          <w:szCs w:val="28"/>
        </w:rPr>
        <w:t xml:space="preserve">; № 5418 </w:t>
      </w:r>
      <w:r w:rsidRPr="007E2215">
        <w:rPr>
          <w:i/>
          <w:sz w:val="28"/>
          <w:szCs w:val="28"/>
        </w:rPr>
        <w:t>(щодо залучення населення до фізичної активності та занять спортом)</w:t>
      </w:r>
      <w:r w:rsidRPr="007E2215">
        <w:rPr>
          <w:sz w:val="28"/>
          <w:szCs w:val="28"/>
        </w:rPr>
        <w:t xml:space="preserve">; </w:t>
      </w:r>
      <w:r w:rsidRPr="007E2215">
        <w:rPr>
          <w:bCs/>
          <w:iCs/>
          <w:sz w:val="28"/>
          <w:szCs w:val="28"/>
        </w:rPr>
        <w:t xml:space="preserve">№ 5073 </w:t>
      </w:r>
      <w:r w:rsidRPr="007E2215">
        <w:rPr>
          <w:bCs/>
          <w:i/>
          <w:iCs/>
          <w:sz w:val="28"/>
          <w:szCs w:val="28"/>
        </w:rPr>
        <w:t>(щодо створення державного фонду підтримки медицини, спорту, освіти, культури та науки)</w:t>
      </w:r>
      <w:r w:rsidRPr="007E2215">
        <w:rPr>
          <w:bCs/>
          <w:iCs/>
          <w:sz w:val="28"/>
          <w:szCs w:val="28"/>
        </w:rPr>
        <w:t xml:space="preserve"> і № 5073-1</w:t>
      </w:r>
      <w:r w:rsidRPr="007E2215">
        <w:rPr>
          <w:b/>
          <w:bCs/>
          <w:iCs/>
          <w:sz w:val="28"/>
          <w:szCs w:val="28"/>
        </w:rPr>
        <w:t xml:space="preserve"> </w:t>
      </w:r>
      <w:r w:rsidRPr="007E2215">
        <w:rPr>
          <w:bCs/>
          <w:i/>
          <w:iCs/>
          <w:sz w:val="28"/>
          <w:szCs w:val="28"/>
        </w:rPr>
        <w:t>(щодо спрямування надходжень від легалізації азартних ігор на забезпечення деяких потреб у галузі медицини, освіти та науки, культури та спорту)</w:t>
      </w:r>
      <w:r w:rsidRPr="007E2215">
        <w:rPr>
          <w:bCs/>
          <w:iCs/>
          <w:sz w:val="28"/>
          <w:szCs w:val="28"/>
        </w:rPr>
        <w:t xml:space="preserve">; № 5743 </w:t>
      </w:r>
      <w:r w:rsidRPr="007E2215">
        <w:rPr>
          <w:bCs/>
          <w:i/>
          <w:iCs/>
          <w:sz w:val="28"/>
          <w:szCs w:val="28"/>
        </w:rPr>
        <w:t>(про внесення змін до статті 33 Кодексу)</w:t>
      </w:r>
      <w:r w:rsidRPr="007E2215">
        <w:rPr>
          <w:bCs/>
          <w:iCs/>
          <w:sz w:val="28"/>
          <w:szCs w:val="28"/>
        </w:rPr>
        <w:t xml:space="preserve">; </w:t>
      </w:r>
      <w:r w:rsidRPr="007E2215">
        <w:rPr>
          <w:sz w:val="28"/>
          <w:szCs w:val="28"/>
        </w:rPr>
        <w:t xml:space="preserve">№ 6062 </w:t>
      </w:r>
      <w:r w:rsidRPr="007E2215">
        <w:rPr>
          <w:i/>
          <w:sz w:val="28"/>
          <w:szCs w:val="28"/>
        </w:rPr>
        <w:t>(щодо узгодження із проектом Закону про державний бюджет на 2022 рік та деякими іншими законодавчими актами)</w:t>
      </w:r>
      <w:r w:rsidRPr="007E2215">
        <w:rPr>
          <w:sz w:val="28"/>
          <w:szCs w:val="28"/>
        </w:rPr>
        <w:t xml:space="preserve">; </w:t>
      </w:r>
      <w:r w:rsidRPr="007E2215">
        <w:rPr>
          <w:bCs/>
          <w:sz w:val="28"/>
          <w:szCs w:val="28"/>
        </w:rPr>
        <w:t>№ 6356</w:t>
      </w:r>
      <w:r w:rsidRPr="007E2215">
        <w:rPr>
          <w:b/>
          <w:bCs/>
          <w:sz w:val="28"/>
          <w:szCs w:val="28"/>
        </w:rPr>
        <w:t xml:space="preserve"> </w:t>
      </w:r>
      <w:r w:rsidRPr="007E2215">
        <w:rPr>
          <w:bCs/>
          <w:i/>
          <w:sz w:val="28"/>
          <w:szCs w:val="28"/>
        </w:rPr>
        <w:t>(щодо посилення соціального захисту громадян, які проживають на територіях зон спостереження атомних електростанцій)</w:t>
      </w:r>
      <w:r w:rsidRPr="007E2215">
        <w:rPr>
          <w:bCs/>
          <w:sz w:val="28"/>
          <w:szCs w:val="28"/>
        </w:rPr>
        <w:t xml:space="preserve">. </w:t>
      </w:r>
      <w:r w:rsidRPr="007E2215">
        <w:rPr>
          <w:bCs/>
          <w:iCs/>
          <w:sz w:val="28"/>
          <w:szCs w:val="28"/>
        </w:rPr>
        <w:t xml:space="preserve">Таким чином, у разі прийняття Верховною Радою України законопроекту № 5719 вищевказані законопроекти </w:t>
      </w:r>
      <w:r w:rsidRPr="007E2215">
        <w:rPr>
          <w:sz w:val="28"/>
          <w:szCs w:val="28"/>
        </w:rPr>
        <w:t xml:space="preserve">можуть вважатися по суті врахованими, а відтак втратять свою актуальність і не потребуватимуть окремого розгляду у Верховній Раді </w:t>
      </w:r>
      <w:r w:rsidRPr="00013EF0">
        <w:rPr>
          <w:sz w:val="28"/>
          <w:szCs w:val="28"/>
        </w:rPr>
        <w:t>України.</w:t>
      </w:r>
    </w:p>
    <w:p w:rsidR="0085429F" w:rsidRPr="00013EF0" w:rsidRDefault="0085429F" w:rsidP="00384E50">
      <w:pPr>
        <w:spacing w:before="120"/>
        <w:ind w:firstLine="709"/>
        <w:jc w:val="both"/>
        <w:rPr>
          <w:bCs/>
          <w:iCs/>
          <w:sz w:val="28"/>
          <w:szCs w:val="28"/>
        </w:rPr>
      </w:pPr>
      <w:r w:rsidRPr="00013EF0">
        <w:rPr>
          <w:sz w:val="28"/>
          <w:szCs w:val="28"/>
        </w:rPr>
        <w:t xml:space="preserve">За підсумками розгляду даного питання Комітет ухвалив </w:t>
      </w:r>
      <w:r w:rsidRPr="00013EF0">
        <w:rPr>
          <w:bCs/>
          <w:iCs/>
          <w:sz w:val="28"/>
          <w:szCs w:val="28"/>
        </w:rPr>
        <w:t xml:space="preserve">рішення: </w:t>
      </w:r>
      <w:r w:rsidR="0019075A" w:rsidRPr="00013EF0">
        <w:rPr>
          <w:sz w:val="28"/>
          <w:szCs w:val="28"/>
        </w:rPr>
        <w:t xml:space="preserve">рекомендувати Верховній Раді України </w:t>
      </w:r>
      <w:r w:rsidR="0019075A" w:rsidRPr="00013EF0">
        <w:rPr>
          <w:sz w:val="28"/>
          <w:szCs w:val="28"/>
          <w:lang w:eastAsia="uk-UA"/>
        </w:rPr>
        <w:t>за результатами розгляду у повторному другому читанні проект Закону України про внесення змін до Бюджетного кодексу України щодо зарахування акцизного</w:t>
      </w:r>
      <w:r w:rsidR="0019075A" w:rsidRPr="00013EF0">
        <w:rPr>
          <w:sz w:val="28"/>
          <w:szCs w:val="28"/>
        </w:rPr>
        <w:t xml:space="preserve"> податку з реалізації суб'єктами господарювання роздрібної торгівлі тютюнових виробів (реєстр. № 5719)</w:t>
      </w:r>
      <w:r w:rsidR="0019075A" w:rsidRPr="00013EF0">
        <w:rPr>
          <w:sz w:val="28"/>
          <w:szCs w:val="28"/>
          <w:lang w:eastAsia="uk-UA"/>
        </w:rPr>
        <w:t xml:space="preserve"> прийняти у другому читанні та в цілому як закон в остаточній редакції, викладеній Комітетом у порівняльній таблиці до зазначеного законопроекту на повторне друге читання, з урахуванням внесення необхідних техніко-юридичних і редакційних правок за результатами прийняття зазначеного законопроекту.</w:t>
      </w:r>
    </w:p>
    <w:p w:rsidR="0085429F" w:rsidRPr="00013EF0" w:rsidRDefault="00C51318" w:rsidP="005A6CDC">
      <w:pPr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Доповідачем</w:t>
      </w:r>
      <w:r w:rsidR="0085429F" w:rsidRPr="00013EF0">
        <w:rPr>
          <w:sz w:val="28"/>
          <w:szCs w:val="28"/>
        </w:rPr>
        <w:t xml:space="preserve"> з даного питання на пленарному засіданні Верховної Ради України пропонується заступник Голови Комітету </w:t>
      </w:r>
      <w:proofErr w:type="spellStart"/>
      <w:r w:rsidR="0085429F" w:rsidRPr="00013EF0">
        <w:rPr>
          <w:sz w:val="28"/>
          <w:szCs w:val="28"/>
        </w:rPr>
        <w:t>Копанчук</w:t>
      </w:r>
      <w:proofErr w:type="spellEnd"/>
      <w:r w:rsidR="0085429F" w:rsidRPr="00013EF0">
        <w:rPr>
          <w:sz w:val="28"/>
          <w:szCs w:val="28"/>
        </w:rPr>
        <w:t xml:space="preserve"> Олена Євгенівна.</w:t>
      </w:r>
    </w:p>
    <w:p w:rsidR="0019075A" w:rsidRPr="009022DD" w:rsidRDefault="005A6CDC" w:rsidP="00A02748">
      <w:pPr>
        <w:spacing w:before="360"/>
        <w:ind w:left="1985" w:hanging="1276"/>
        <w:jc w:val="both"/>
        <w:rPr>
          <w:sz w:val="28"/>
          <w:szCs w:val="28"/>
        </w:rPr>
      </w:pPr>
      <w:r w:rsidRPr="00013EF0">
        <w:rPr>
          <w:i/>
          <w:sz w:val="28"/>
          <w:szCs w:val="28"/>
        </w:rPr>
        <w:t>Додаток: порівняльна таблиця до законопроекту за реєстр. № 5719 на повторне друге читання.</w:t>
      </w:r>
    </w:p>
    <w:p w:rsidR="000B5A61" w:rsidRPr="007D0081" w:rsidRDefault="000B5A61" w:rsidP="00A02748">
      <w:pPr>
        <w:tabs>
          <w:tab w:val="left" w:pos="7371"/>
        </w:tabs>
        <w:spacing w:before="1440"/>
        <w:jc w:val="both"/>
        <w:rPr>
          <w:b/>
          <w:sz w:val="28"/>
          <w:szCs w:val="28"/>
        </w:rPr>
      </w:pPr>
      <w:r w:rsidRPr="007D0081">
        <w:rPr>
          <w:b/>
          <w:sz w:val="28"/>
          <w:szCs w:val="26"/>
        </w:rPr>
        <w:t>Голова Комітету</w:t>
      </w:r>
      <w:bookmarkStart w:id="0" w:name="_GoBack"/>
      <w:bookmarkEnd w:id="0"/>
      <w:r w:rsidRPr="007D0081">
        <w:rPr>
          <w:b/>
          <w:sz w:val="28"/>
          <w:szCs w:val="26"/>
        </w:rPr>
        <w:tab/>
        <w:t>Ю.Ю. Арістов</w:t>
      </w:r>
    </w:p>
    <w:sectPr w:rsidR="000B5A61" w:rsidRPr="007D0081" w:rsidSect="00013EF0">
      <w:headerReference w:type="even" r:id="rId7"/>
      <w:headerReference w:type="default" r:id="rId8"/>
      <w:headerReference w:type="first" r:id="rId9"/>
      <w:pgSz w:w="11906" w:h="16838" w:code="9"/>
      <w:pgMar w:top="1134" w:right="964" w:bottom="1134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A61" w:rsidRDefault="00BA5A61">
      <w:r>
        <w:separator/>
      </w:r>
    </w:p>
  </w:endnote>
  <w:endnote w:type="continuationSeparator" w:id="0">
    <w:p w:rsidR="00BA5A61" w:rsidRDefault="00BA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A61" w:rsidRDefault="00BA5A61">
      <w:r>
        <w:separator/>
      </w:r>
    </w:p>
  </w:footnote>
  <w:footnote w:type="continuationSeparator" w:id="0">
    <w:p w:rsidR="00BA5A61" w:rsidRDefault="00BA5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5694D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421537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A24AE" w:rsidRPr="005A24AE" w:rsidRDefault="005A24AE">
        <w:pPr>
          <w:pStyle w:val="ac"/>
          <w:jc w:val="center"/>
          <w:rPr>
            <w:sz w:val="24"/>
            <w:szCs w:val="24"/>
          </w:rPr>
        </w:pPr>
        <w:r w:rsidRPr="005A24AE">
          <w:rPr>
            <w:sz w:val="24"/>
            <w:szCs w:val="24"/>
          </w:rPr>
          <w:fldChar w:fldCharType="begin"/>
        </w:r>
        <w:r w:rsidRPr="005A24AE">
          <w:rPr>
            <w:sz w:val="24"/>
            <w:szCs w:val="24"/>
          </w:rPr>
          <w:instrText>PAGE   \* MERGEFORMAT</w:instrText>
        </w:r>
        <w:r w:rsidRPr="005A24AE">
          <w:rPr>
            <w:sz w:val="24"/>
            <w:szCs w:val="24"/>
          </w:rPr>
          <w:fldChar w:fldCharType="separate"/>
        </w:r>
        <w:r w:rsidR="00C51318">
          <w:rPr>
            <w:noProof/>
            <w:sz w:val="24"/>
            <w:szCs w:val="24"/>
          </w:rPr>
          <w:t>5</w:t>
        </w:r>
        <w:r w:rsidRPr="005A24AE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7"/>
  </w:num>
  <w:num w:numId="5">
    <w:abstractNumId w:val="3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5"/>
  </w:num>
  <w:num w:numId="12">
    <w:abstractNumId w:val="1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6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13EF0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67620"/>
    <w:rsid w:val="00070AED"/>
    <w:rsid w:val="00071901"/>
    <w:rsid w:val="00081668"/>
    <w:rsid w:val="000830CD"/>
    <w:rsid w:val="00083222"/>
    <w:rsid w:val="00083EF2"/>
    <w:rsid w:val="00087F50"/>
    <w:rsid w:val="0009038E"/>
    <w:rsid w:val="000906F6"/>
    <w:rsid w:val="00092018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D5A4B"/>
    <w:rsid w:val="000E009D"/>
    <w:rsid w:val="000E0FC3"/>
    <w:rsid w:val="000E2812"/>
    <w:rsid w:val="000E5DC5"/>
    <w:rsid w:val="000E6EC7"/>
    <w:rsid w:val="000F2080"/>
    <w:rsid w:val="000F27E4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25A78"/>
    <w:rsid w:val="00126CEC"/>
    <w:rsid w:val="00131601"/>
    <w:rsid w:val="001374CA"/>
    <w:rsid w:val="00137C58"/>
    <w:rsid w:val="001471EC"/>
    <w:rsid w:val="0014793F"/>
    <w:rsid w:val="00151BD6"/>
    <w:rsid w:val="00153BDC"/>
    <w:rsid w:val="00157D43"/>
    <w:rsid w:val="001618C8"/>
    <w:rsid w:val="00161B6D"/>
    <w:rsid w:val="00162EAC"/>
    <w:rsid w:val="001641D7"/>
    <w:rsid w:val="001668A6"/>
    <w:rsid w:val="00170616"/>
    <w:rsid w:val="00170776"/>
    <w:rsid w:val="00170F90"/>
    <w:rsid w:val="00171ADF"/>
    <w:rsid w:val="001723CA"/>
    <w:rsid w:val="0017367B"/>
    <w:rsid w:val="00176A60"/>
    <w:rsid w:val="00177F99"/>
    <w:rsid w:val="0019075A"/>
    <w:rsid w:val="0019158C"/>
    <w:rsid w:val="00191832"/>
    <w:rsid w:val="0019260D"/>
    <w:rsid w:val="00194840"/>
    <w:rsid w:val="001975B4"/>
    <w:rsid w:val="001B0A2B"/>
    <w:rsid w:val="001B2FBA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1F3E8D"/>
    <w:rsid w:val="002034B5"/>
    <w:rsid w:val="0020766A"/>
    <w:rsid w:val="00207F60"/>
    <w:rsid w:val="00212F32"/>
    <w:rsid w:val="00214058"/>
    <w:rsid w:val="002219C7"/>
    <w:rsid w:val="00222F8A"/>
    <w:rsid w:val="00225BF7"/>
    <w:rsid w:val="002267CD"/>
    <w:rsid w:val="00232FA4"/>
    <w:rsid w:val="0023405D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A6E66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93E"/>
    <w:rsid w:val="002F1DE4"/>
    <w:rsid w:val="002F2160"/>
    <w:rsid w:val="002F331F"/>
    <w:rsid w:val="002F7882"/>
    <w:rsid w:val="00301444"/>
    <w:rsid w:val="003034E4"/>
    <w:rsid w:val="003042BB"/>
    <w:rsid w:val="0030446B"/>
    <w:rsid w:val="00305DDD"/>
    <w:rsid w:val="00306935"/>
    <w:rsid w:val="00306C63"/>
    <w:rsid w:val="00312CA0"/>
    <w:rsid w:val="00313B7C"/>
    <w:rsid w:val="00315F06"/>
    <w:rsid w:val="00315F5A"/>
    <w:rsid w:val="00316158"/>
    <w:rsid w:val="00317400"/>
    <w:rsid w:val="0032351F"/>
    <w:rsid w:val="00324342"/>
    <w:rsid w:val="0032455D"/>
    <w:rsid w:val="00325723"/>
    <w:rsid w:val="00331EED"/>
    <w:rsid w:val="00332422"/>
    <w:rsid w:val="00340128"/>
    <w:rsid w:val="003403DD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39CE"/>
    <w:rsid w:val="00374823"/>
    <w:rsid w:val="00380963"/>
    <w:rsid w:val="003812DE"/>
    <w:rsid w:val="00384E50"/>
    <w:rsid w:val="003871E7"/>
    <w:rsid w:val="00387C14"/>
    <w:rsid w:val="00387D40"/>
    <w:rsid w:val="00390E5D"/>
    <w:rsid w:val="00391F3B"/>
    <w:rsid w:val="003A4B7E"/>
    <w:rsid w:val="003A7A27"/>
    <w:rsid w:val="003B0FBD"/>
    <w:rsid w:val="003B1C5B"/>
    <w:rsid w:val="003B45A0"/>
    <w:rsid w:val="003B6534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30C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5DA9"/>
    <w:rsid w:val="0042672C"/>
    <w:rsid w:val="00431534"/>
    <w:rsid w:val="00431F4F"/>
    <w:rsid w:val="00432EAF"/>
    <w:rsid w:val="00435596"/>
    <w:rsid w:val="004374FB"/>
    <w:rsid w:val="004408D0"/>
    <w:rsid w:val="004452DE"/>
    <w:rsid w:val="004453D9"/>
    <w:rsid w:val="004473F5"/>
    <w:rsid w:val="00450CC7"/>
    <w:rsid w:val="004549D1"/>
    <w:rsid w:val="00455928"/>
    <w:rsid w:val="00455F3A"/>
    <w:rsid w:val="0045694D"/>
    <w:rsid w:val="00457204"/>
    <w:rsid w:val="00460FD2"/>
    <w:rsid w:val="0046651F"/>
    <w:rsid w:val="00467BB2"/>
    <w:rsid w:val="004713A4"/>
    <w:rsid w:val="0047572D"/>
    <w:rsid w:val="00476F69"/>
    <w:rsid w:val="00480653"/>
    <w:rsid w:val="00481354"/>
    <w:rsid w:val="00482110"/>
    <w:rsid w:val="0048531E"/>
    <w:rsid w:val="004853B7"/>
    <w:rsid w:val="004856EF"/>
    <w:rsid w:val="004860AA"/>
    <w:rsid w:val="00487541"/>
    <w:rsid w:val="00493969"/>
    <w:rsid w:val="00496E48"/>
    <w:rsid w:val="004A373F"/>
    <w:rsid w:val="004A64A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2B1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4765"/>
    <w:rsid w:val="004E59DD"/>
    <w:rsid w:val="004E63CD"/>
    <w:rsid w:val="004E650F"/>
    <w:rsid w:val="004E665B"/>
    <w:rsid w:val="004E7486"/>
    <w:rsid w:val="004E79D1"/>
    <w:rsid w:val="004F4DF4"/>
    <w:rsid w:val="005008AB"/>
    <w:rsid w:val="0050165A"/>
    <w:rsid w:val="00504002"/>
    <w:rsid w:val="00505EE9"/>
    <w:rsid w:val="005068B0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5252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7337"/>
    <w:rsid w:val="005A24AE"/>
    <w:rsid w:val="005A3F6F"/>
    <w:rsid w:val="005A52E8"/>
    <w:rsid w:val="005A5589"/>
    <w:rsid w:val="005A5949"/>
    <w:rsid w:val="005A6CDC"/>
    <w:rsid w:val="005B3A98"/>
    <w:rsid w:val="005B55AE"/>
    <w:rsid w:val="005B7AE0"/>
    <w:rsid w:val="005C2C23"/>
    <w:rsid w:val="005C2F11"/>
    <w:rsid w:val="005C31D8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006"/>
    <w:rsid w:val="006168BE"/>
    <w:rsid w:val="00617B0A"/>
    <w:rsid w:val="00622175"/>
    <w:rsid w:val="0062396B"/>
    <w:rsid w:val="0062422F"/>
    <w:rsid w:val="00624CA9"/>
    <w:rsid w:val="00625812"/>
    <w:rsid w:val="006306F2"/>
    <w:rsid w:val="00630DFB"/>
    <w:rsid w:val="00631C3F"/>
    <w:rsid w:val="00631CC4"/>
    <w:rsid w:val="00632126"/>
    <w:rsid w:val="00632406"/>
    <w:rsid w:val="00635B82"/>
    <w:rsid w:val="00640374"/>
    <w:rsid w:val="00643A7C"/>
    <w:rsid w:val="00644D1B"/>
    <w:rsid w:val="006465EA"/>
    <w:rsid w:val="00650EE1"/>
    <w:rsid w:val="0065375A"/>
    <w:rsid w:val="00654DF3"/>
    <w:rsid w:val="00656CD2"/>
    <w:rsid w:val="00657740"/>
    <w:rsid w:val="00664391"/>
    <w:rsid w:val="00664424"/>
    <w:rsid w:val="00664D6F"/>
    <w:rsid w:val="006650A4"/>
    <w:rsid w:val="00665FE9"/>
    <w:rsid w:val="006672B2"/>
    <w:rsid w:val="00667317"/>
    <w:rsid w:val="00670DE3"/>
    <w:rsid w:val="0067222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E7119"/>
    <w:rsid w:val="006F16E2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4640"/>
    <w:rsid w:val="00735E92"/>
    <w:rsid w:val="007362C4"/>
    <w:rsid w:val="00737CC1"/>
    <w:rsid w:val="00741E78"/>
    <w:rsid w:val="00746F5F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B52FA"/>
    <w:rsid w:val="007C2690"/>
    <w:rsid w:val="007D0081"/>
    <w:rsid w:val="007D12EB"/>
    <w:rsid w:val="007D1692"/>
    <w:rsid w:val="007D1C63"/>
    <w:rsid w:val="007D3724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17003"/>
    <w:rsid w:val="00822D63"/>
    <w:rsid w:val="0082612F"/>
    <w:rsid w:val="008300FA"/>
    <w:rsid w:val="00831748"/>
    <w:rsid w:val="00832C67"/>
    <w:rsid w:val="008340AE"/>
    <w:rsid w:val="00835E6A"/>
    <w:rsid w:val="00836BF1"/>
    <w:rsid w:val="008418FB"/>
    <w:rsid w:val="008458F7"/>
    <w:rsid w:val="008477B2"/>
    <w:rsid w:val="00852FE2"/>
    <w:rsid w:val="0085429F"/>
    <w:rsid w:val="0085771E"/>
    <w:rsid w:val="00866CFE"/>
    <w:rsid w:val="00871F16"/>
    <w:rsid w:val="008738DF"/>
    <w:rsid w:val="008743D2"/>
    <w:rsid w:val="00880084"/>
    <w:rsid w:val="00884AD4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098B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02E8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250E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3E7B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503"/>
    <w:rsid w:val="00996EB1"/>
    <w:rsid w:val="009A358E"/>
    <w:rsid w:val="009A4148"/>
    <w:rsid w:val="009A4266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2748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17BBD"/>
    <w:rsid w:val="00A23319"/>
    <w:rsid w:val="00A2574B"/>
    <w:rsid w:val="00A2761F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254D"/>
    <w:rsid w:val="00A74446"/>
    <w:rsid w:val="00A7539B"/>
    <w:rsid w:val="00A77D2B"/>
    <w:rsid w:val="00A80407"/>
    <w:rsid w:val="00A82428"/>
    <w:rsid w:val="00A87B05"/>
    <w:rsid w:val="00A92128"/>
    <w:rsid w:val="00A92531"/>
    <w:rsid w:val="00A94136"/>
    <w:rsid w:val="00AA0B01"/>
    <w:rsid w:val="00AA2956"/>
    <w:rsid w:val="00AA701C"/>
    <w:rsid w:val="00AB7737"/>
    <w:rsid w:val="00AB7C23"/>
    <w:rsid w:val="00AC3B6A"/>
    <w:rsid w:val="00AC4DFF"/>
    <w:rsid w:val="00AC5389"/>
    <w:rsid w:val="00AC5A26"/>
    <w:rsid w:val="00AC6C16"/>
    <w:rsid w:val="00AD0868"/>
    <w:rsid w:val="00AD24B2"/>
    <w:rsid w:val="00AD2906"/>
    <w:rsid w:val="00AD4BC2"/>
    <w:rsid w:val="00AE2758"/>
    <w:rsid w:val="00AE4A27"/>
    <w:rsid w:val="00AE7F40"/>
    <w:rsid w:val="00AF0869"/>
    <w:rsid w:val="00AF09D2"/>
    <w:rsid w:val="00AF15F9"/>
    <w:rsid w:val="00B11F0C"/>
    <w:rsid w:val="00B12C7D"/>
    <w:rsid w:val="00B23479"/>
    <w:rsid w:val="00B32040"/>
    <w:rsid w:val="00B3343A"/>
    <w:rsid w:val="00B43914"/>
    <w:rsid w:val="00B45A02"/>
    <w:rsid w:val="00B46A8B"/>
    <w:rsid w:val="00B50585"/>
    <w:rsid w:val="00B5116D"/>
    <w:rsid w:val="00B518CF"/>
    <w:rsid w:val="00B5291A"/>
    <w:rsid w:val="00B61FAE"/>
    <w:rsid w:val="00B62672"/>
    <w:rsid w:val="00B715A3"/>
    <w:rsid w:val="00B71B13"/>
    <w:rsid w:val="00B71FB7"/>
    <w:rsid w:val="00B779AF"/>
    <w:rsid w:val="00B80921"/>
    <w:rsid w:val="00B816BC"/>
    <w:rsid w:val="00B83D33"/>
    <w:rsid w:val="00B85075"/>
    <w:rsid w:val="00B85286"/>
    <w:rsid w:val="00B865B6"/>
    <w:rsid w:val="00B879AC"/>
    <w:rsid w:val="00B938E1"/>
    <w:rsid w:val="00BA5A61"/>
    <w:rsid w:val="00BA6593"/>
    <w:rsid w:val="00BB2BC2"/>
    <w:rsid w:val="00BB3F64"/>
    <w:rsid w:val="00BB43AC"/>
    <w:rsid w:val="00BB7696"/>
    <w:rsid w:val="00BC03CD"/>
    <w:rsid w:val="00BC09B2"/>
    <w:rsid w:val="00BC0A2E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37C18"/>
    <w:rsid w:val="00C402BA"/>
    <w:rsid w:val="00C40650"/>
    <w:rsid w:val="00C414B6"/>
    <w:rsid w:val="00C42782"/>
    <w:rsid w:val="00C42B53"/>
    <w:rsid w:val="00C46D3F"/>
    <w:rsid w:val="00C4737D"/>
    <w:rsid w:val="00C47B42"/>
    <w:rsid w:val="00C50FB6"/>
    <w:rsid w:val="00C51318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0244"/>
    <w:rsid w:val="00C82018"/>
    <w:rsid w:val="00C85A9D"/>
    <w:rsid w:val="00C864FA"/>
    <w:rsid w:val="00C913F1"/>
    <w:rsid w:val="00C91577"/>
    <w:rsid w:val="00C9319A"/>
    <w:rsid w:val="00C973D0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220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39FF"/>
    <w:rsid w:val="00D24796"/>
    <w:rsid w:val="00D26FF3"/>
    <w:rsid w:val="00D31599"/>
    <w:rsid w:val="00D3169E"/>
    <w:rsid w:val="00D3389F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D73"/>
    <w:rsid w:val="00D779A3"/>
    <w:rsid w:val="00D82A78"/>
    <w:rsid w:val="00D82B69"/>
    <w:rsid w:val="00D854B8"/>
    <w:rsid w:val="00D85AC2"/>
    <w:rsid w:val="00D85C1A"/>
    <w:rsid w:val="00D86BE3"/>
    <w:rsid w:val="00D9033F"/>
    <w:rsid w:val="00D908DE"/>
    <w:rsid w:val="00D94311"/>
    <w:rsid w:val="00D94DF0"/>
    <w:rsid w:val="00D94E72"/>
    <w:rsid w:val="00D96B98"/>
    <w:rsid w:val="00DA2775"/>
    <w:rsid w:val="00DB059D"/>
    <w:rsid w:val="00DB5178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E79E6"/>
    <w:rsid w:val="00DF3B59"/>
    <w:rsid w:val="00DF3C7B"/>
    <w:rsid w:val="00DF4844"/>
    <w:rsid w:val="00E032BC"/>
    <w:rsid w:val="00E05E61"/>
    <w:rsid w:val="00E062F9"/>
    <w:rsid w:val="00E06F3C"/>
    <w:rsid w:val="00E100D6"/>
    <w:rsid w:val="00E1121D"/>
    <w:rsid w:val="00E131FA"/>
    <w:rsid w:val="00E1339C"/>
    <w:rsid w:val="00E13895"/>
    <w:rsid w:val="00E139C3"/>
    <w:rsid w:val="00E143E5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0186"/>
    <w:rsid w:val="00EB0AB2"/>
    <w:rsid w:val="00EB10A7"/>
    <w:rsid w:val="00EB2918"/>
    <w:rsid w:val="00EB390D"/>
    <w:rsid w:val="00EB49F7"/>
    <w:rsid w:val="00EB5B04"/>
    <w:rsid w:val="00EB7356"/>
    <w:rsid w:val="00EC0365"/>
    <w:rsid w:val="00EC1620"/>
    <w:rsid w:val="00EC472B"/>
    <w:rsid w:val="00EC550A"/>
    <w:rsid w:val="00EC5E94"/>
    <w:rsid w:val="00ED258B"/>
    <w:rsid w:val="00ED3C32"/>
    <w:rsid w:val="00ED49F9"/>
    <w:rsid w:val="00ED5B4B"/>
    <w:rsid w:val="00ED60C2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7F3"/>
    <w:rsid w:val="00F21DDF"/>
    <w:rsid w:val="00F24BE0"/>
    <w:rsid w:val="00F24F6D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6730C"/>
    <w:rsid w:val="00F6769C"/>
    <w:rsid w:val="00F7122D"/>
    <w:rsid w:val="00F7515F"/>
    <w:rsid w:val="00F7651E"/>
    <w:rsid w:val="00F774EB"/>
    <w:rsid w:val="00F77849"/>
    <w:rsid w:val="00F80260"/>
    <w:rsid w:val="00F8224F"/>
    <w:rsid w:val="00F824CF"/>
    <w:rsid w:val="00F83541"/>
    <w:rsid w:val="00F85FC7"/>
    <w:rsid w:val="00F8713A"/>
    <w:rsid w:val="00F90EF2"/>
    <w:rsid w:val="00F91542"/>
    <w:rsid w:val="00FA319D"/>
    <w:rsid w:val="00FA5406"/>
    <w:rsid w:val="00FA7113"/>
    <w:rsid w:val="00FB5920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6933"/>
    <w:rsid w:val="00FF6F2B"/>
    <w:rsid w:val="00FF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8119CD6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</w:rPr>
  </w:style>
  <w:style w:type="paragraph" w:styleId="a5">
    <w:name w:val="Body Text"/>
    <w:basedOn w:val="a"/>
    <w:rsid w:val="00C05592"/>
    <w:pPr>
      <w:jc w:val="both"/>
    </w:pPr>
    <w:rPr>
      <w:sz w:val="28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</w:rPr>
  </w:style>
  <w:style w:type="paragraph" w:styleId="3">
    <w:name w:val="Body Text 3"/>
    <w:basedOn w:val="a"/>
    <w:rsid w:val="00C05592"/>
    <w:rPr>
      <w:sz w:val="28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normaltextrun">
    <w:name w:val="normaltextrun"/>
    <w:rsid w:val="009E6E12"/>
    <w:rPr>
      <w:rFonts w:cs="Times New Roman"/>
    </w:rPr>
  </w:style>
  <w:style w:type="paragraph" w:styleId="af4">
    <w:name w:val="List Paragraph"/>
    <w:basedOn w:val="a"/>
    <w:uiPriority w:val="34"/>
    <w:qFormat/>
    <w:rsid w:val="00087F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8936</Words>
  <Characters>5095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Симончук Катерина Валентинівна</cp:lastModifiedBy>
  <cp:revision>3</cp:revision>
  <cp:lastPrinted>2022-01-21T16:20:00Z</cp:lastPrinted>
  <dcterms:created xsi:type="dcterms:W3CDTF">2022-02-10T12:01:00Z</dcterms:created>
  <dcterms:modified xsi:type="dcterms:W3CDTF">2022-02-10T13:05:00Z</dcterms:modified>
</cp:coreProperties>
</file>