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259" w:rsidRPr="00E531F5" w:rsidRDefault="00C61259" w:rsidP="00C61259">
      <w:pPr>
        <w:widowControl w:val="0"/>
        <w:autoSpaceDE w:val="0"/>
        <w:autoSpaceDN w:val="0"/>
        <w:adjustRightInd w:val="0"/>
        <w:spacing w:after="120" w:line="240" w:lineRule="auto"/>
        <w:ind w:firstLine="567"/>
        <w:jc w:val="center"/>
        <w:rPr>
          <w:rFonts w:ascii="Times New Roman" w:eastAsia="MS Mincho" w:hAnsi="Times New Roman" w:cs="Times New Roman"/>
          <w:b/>
          <w:bCs/>
          <w:sz w:val="28"/>
          <w:szCs w:val="28"/>
          <w:lang w:val="uk-UA" w:eastAsia="ru-RU"/>
        </w:rPr>
      </w:pPr>
      <w:bookmarkStart w:id="0" w:name="_GoBack"/>
      <w:bookmarkEnd w:id="0"/>
      <w:r w:rsidRPr="00E531F5">
        <w:rPr>
          <w:rFonts w:ascii="Times New Roman" w:eastAsia="MS Mincho" w:hAnsi="Times New Roman" w:cs="Times New Roman"/>
          <w:b/>
          <w:bCs/>
          <w:sz w:val="28"/>
          <w:szCs w:val="28"/>
          <w:lang w:val="uk-UA" w:eastAsia="ru-RU"/>
        </w:rPr>
        <w:t>ПОЯСНЮВАЛЬНА ЗАПИСКА</w:t>
      </w:r>
    </w:p>
    <w:p w:rsidR="00C61259" w:rsidRPr="00E531F5" w:rsidRDefault="00C61259" w:rsidP="00C61259">
      <w:pPr>
        <w:spacing w:after="120" w:line="240" w:lineRule="auto"/>
        <w:ind w:firstLine="567"/>
        <w:jc w:val="center"/>
        <w:rPr>
          <w:rFonts w:ascii="Times New Roman" w:eastAsia="MS Mincho" w:hAnsi="Times New Roman" w:cs="Times New Roman"/>
          <w:b/>
          <w:bCs/>
          <w:sz w:val="28"/>
          <w:szCs w:val="28"/>
          <w:lang w:val="uk-UA" w:eastAsia="ru-RU"/>
        </w:rPr>
      </w:pPr>
      <w:r w:rsidRPr="00E531F5">
        <w:rPr>
          <w:rFonts w:ascii="Times New Roman" w:eastAsia="MS Mincho" w:hAnsi="Times New Roman" w:cs="Times New Roman"/>
          <w:b/>
          <w:bCs/>
          <w:sz w:val="28"/>
          <w:szCs w:val="28"/>
          <w:lang w:val="uk-UA" w:eastAsia="ru-RU"/>
        </w:rPr>
        <w:t>до проекту Закону України ««Про внесення змін до деяких законів України щодо законодавчого регулювання комісійної винагороди інтерчейндж»</w:t>
      </w:r>
    </w:p>
    <w:p w:rsidR="00E531F5" w:rsidRPr="00E531F5" w:rsidRDefault="00E531F5" w:rsidP="00C61259">
      <w:pPr>
        <w:widowControl w:val="0"/>
        <w:tabs>
          <w:tab w:val="left" w:pos="851"/>
        </w:tabs>
        <w:autoSpaceDE w:val="0"/>
        <w:autoSpaceDN w:val="0"/>
        <w:adjustRightInd w:val="0"/>
        <w:spacing w:after="120" w:line="240" w:lineRule="auto"/>
        <w:ind w:firstLine="567"/>
        <w:jc w:val="center"/>
        <w:rPr>
          <w:rFonts w:ascii="Times New Roman" w:eastAsia="MS Mincho" w:hAnsi="Times New Roman" w:cs="Times New Roman"/>
          <w:b/>
          <w:bCs/>
          <w:sz w:val="28"/>
          <w:szCs w:val="28"/>
          <w:lang w:val="uk-UA" w:eastAsia="ru-RU"/>
        </w:rPr>
      </w:pPr>
    </w:p>
    <w:p w:rsidR="00C61259" w:rsidRPr="00E531F5" w:rsidRDefault="00C61259" w:rsidP="00C61259">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E531F5">
        <w:rPr>
          <w:rFonts w:ascii="Times New Roman" w:eastAsia="MS Mincho" w:hAnsi="Times New Roman" w:cs="Times New Roman"/>
          <w:b/>
          <w:bCs/>
          <w:sz w:val="28"/>
          <w:szCs w:val="28"/>
          <w:lang w:val="uk-UA" w:eastAsia="ru-RU"/>
        </w:rPr>
        <w:t>1. Обґрунтування необхідності прийняття законопроекту</w:t>
      </w:r>
    </w:p>
    <w:p w:rsidR="00C61259" w:rsidRPr="00E531F5" w:rsidRDefault="00C61259" w:rsidP="00C61259">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Проєкт Закону України «а саме: статті 141, 153, 157, 159 Цивільного кодексу України, статтю  9 Конвенції про права дитини, статтю 123 Цивільного процесуального кодексу України, що відповідно до статті 376 Цивільного кодексу України»  розроблений як альтернативний до законопроекту № 5734 від 06.07.2021 «Про внесення змін до деяких законів України щодо законодавчого регулювання комісійної винагороди за інтерчейндж відповідно до положень Регламенту 2015/751 Європейського Парламенту та Ради від 29 квітня 2015 року».</w:t>
      </w:r>
    </w:p>
    <w:p w:rsidR="00F53C2F" w:rsidRPr="00E531F5" w:rsidRDefault="001D2C0F" w:rsidP="00C61259">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 xml:space="preserve">06 липня 2021 року </w:t>
      </w:r>
      <w:r w:rsidR="00F53C2F" w:rsidRPr="00E531F5">
        <w:rPr>
          <w:rFonts w:ascii="Times New Roman" w:eastAsia="MS Mincho" w:hAnsi="Times New Roman" w:cs="Times New Roman"/>
          <w:sz w:val="28"/>
          <w:szCs w:val="28"/>
          <w:lang w:val="uk-UA" w:eastAsia="ru-RU"/>
        </w:rPr>
        <w:t>у Верховній Раді України був зареєстрований законопроєкт № 5734 «Про внесення змін до деяких законів України щодо законодавчого регулювання комісійної винагороди за інтерчейндж відповідно до положень Регламенту 2015/751 Європейського Парламенту та Ради від 29 квітня 2015 року».</w:t>
      </w:r>
    </w:p>
    <w:p w:rsidR="00F53C2F" w:rsidRPr="00E531F5" w:rsidRDefault="00F53C2F" w:rsidP="00C61259">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 xml:space="preserve">Зазначеним законопроєктом пропонується закріпити за законодавчому рівні обмеження </w:t>
      </w:r>
      <w:r w:rsidR="00DF35D5" w:rsidRPr="00E531F5">
        <w:rPr>
          <w:rFonts w:ascii="Times New Roman" w:eastAsia="MS Mincho" w:hAnsi="Times New Roman" w:cs="Times New Roman"/>
          <w:sz w:val="28"/>
          <w:szCs w:val="28"/>
          <w:lang w:val="uk-UA" w:eastAsia="ru-RU"/>
        </w:rPr>
        <w:t>розміру комісійної винагороди</w:t>
      </w:r>
      <w:r w:rsidRPr="00E531F5">
        <w:rPr>
          <w:rFonts w:ascii="Times New Roman" w:eastAsia="MS Mincho" w:hAnsi="Times New Roman" w:cs="Times New Roman"/>
          <w:sz w:val="28"/>
          <w:szCs w:val="28"/>
          <w:lang w:val="uk-UA" w:eastAsia="ru-RU"/>
        </w:rPr>
        <w:t xml:space="preserve"> інтерчейндж, а саме:</w:t>
      </w:r>
    </w:p>
    <w:p w:rsidR="00F53C2F" w:rsidRPr="00E531F5" w:rsidRDefault="00F53C2F" w:rsidP="00F53C2F">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з 1 січня 2022 року до 31 грудня 2022 року – 1%;</w:t>
      </w:r>
    </w:p>
    <w:p w:rsidR="00F53C2F" w:rsidRPr="00E531F5" w:rsidRDefault="00F53C2F" w:rsidP="00F53C2F">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з 1 січня 2023 року до 31 грудня 2023 року – 0,7%;</w:t>
      </w:r>
    </w:p>
    <w:p w:rsidR="00F53C2F" w:rsidRPr="00E531F5" w:rsidRDefault="00F53C2F" w:rsidP="00F53C2F">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з 1 січня 2024 року до 31 грудня 2024 року – 0,5%;</w:t>
      </w:r>
    </w:p>
    <w:p w:rsidR="00F53C2F" w:rsidRPr="00E531F5" w:rsidRDefault="00F53C2F" w:rsidP="00F53C2F">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w:t>
      </w:r>
      <w:r w:rsidRPr="00E531F5">
        <w:rPr>
          <w:rFonts w:ascii="Times New Roman" w:eastAsia="MS Mincho" w:hAnsi="Times New Roman" w:cs="Times New Roman"/>
          <w:sz w:val="28"/>
          <w:szCs w:val="28"/>
          <w:lang w:val="uk-UA" w:eastAsia="ru-RU"/>
        </w:rPr>
        <w:tab/>
        <w:t>закріпити, що розмір комісійної винагороди інтерчейндж з 1 січня 2025 року не може перевищувати відносно суми операції, здійсненої з використанням дебетової платіжної картки – 0,2%, з використанням кредитної платіжної картки – 0,3%.</w:t>
      </w:r>
    </w:p>
    <w:p w:rsidR="00F53C2F" w:rsidRPr="00E531F5" w:rsidRDefault="00F53C2F" w:rsidP="00F53C2F">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Вважаючи такі законодавчі ініціативи неприпустимими, а також спрямованими суто на лобіювання інтересів торговців, особливо великих торгівельних мереж, проте, усвідомлюючи необхідність збільшення мотиваційних елементів для користувачів платіжних засобів  з метою стимулювання проведення безготівкових розрахунків, пропонується внести цей законопроєкт як альтернативний до законопроєкту № 5734 від 06.07.2021.</w:t>
      </w:r>
    </w:p>
    <w:p w:rsidR="004A026D" w:rsidRPr="00E531F5" w:rsidRDefault="004A026D" w:rsidP="00F53C2F">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Як зазначено у пояснювальній записці до основного законопроєкту однією з цілей його прийняття є приведення норм національного законодавства у відповідність до Регламенту 2015/751 Європейського Парламенту та Ради від 29.04.2015 про міжбанківські коміс</w:t>
      </w:r>
      <w:r w:rsidR="0069468D" w:rsidRPr="00E531F5">
        <w:rPr>
          <w:rFonts w:ascii="Times New Roman" w:eastAsia="MS Mincho" w:hAnsi="Times New Roman" w:cs="Times New Roman"/>
          <w:sz w:val="28"/>
          <w:szCs w:val="28"/>
          <w:lang w:val="uk-UA" w:eastAsia="ru-RU"/>
        </w:rPr>
        <w:t xml:space="preserve">ійні збори за платіжні операції (надалі - </w:t>
      </w:r>
      <w:r w:rsidR="0069468D" w:rsidRPr="00E531F5">
        <w:rPr>
          <w:rFonts w:ascii="Times New Roman" w:eastAsia="MS Mincho" w:hAnsi="Times New Roman" w:cs="Times New Roman"/>
          <w:sz w:val="28"/>
          <w:szCs w:val="28"/>
          <w:lang w:val="uk-UA" w:eastAsia="ru-RU"/>
        </w:rPr>
        <w:lastRenderedPageBreak/>
        <w:t>Регламент)</w:t>
      </w:r>
    </w:p>
    <w:p w:rsidR="0069468D" w:rsidRPr="00E531F5" w:rsidRDefault="004A026D" w:rsidP="00F53C2F">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 xml:space="preserve">Проте, запровадження в Україні регулювання на державному рівні комісії </w:t>
      </w:r>
      <w:r w:rsidR="00DF35D5" w:rsidRPr="00E531F5">
        <w:rPr>
          <w:rFonts w:ascii="Times New Roman" w:eastAsia="MS Mincho" w:hAnsi="Times New Roman" w:cs="Times New Roman"/>
          <w:sz w:val="28"/>
          <w:szCs w:val="28"/>
          <w:lang w:val="uk-UA" w:eastAsia="ru-RU"/>
        </w:rPr>
        <w:t xml:space="preserve"> </w:t>
      </w:r>
      <w:r w:rsidRPr="00E531F5">
        <w:rPr>
          <w:rFonts w:ascii="Times New Roman" w:eastAsia="MS Mincho" w:hAnsi="Times New Roman" w:cs="Times New Roman"/>
          <w:sz w:val="28"/>
          <w:szCs w:val="28"/>
          <w:lang w:val="uk-UA" w:eastAsia="ru-RU"/>
        </w:rPr>
        <w:t>інтерчейндж матиме невідворотно негативні наслідки я</w:t>
      </w:r>
      <w:r w:rsidR="00DD243D" w:rsidRPr="00E531F5">
        <w:rPr>
          <w:rFonts w:ascii="Times New Roman" w:eastAsia="MS Mincho" w:hAnsi="Times New Roman" w:cs="Times New Roman"/>
          <w:sz w:val="28"/>
          <w:szCs w:val="28"/>
          <w:lang w:val="uk-UA" w:eastAsia="ru-RU"/>
        </w:rPr>
        <w:t>к</w:t>
      </w:r>
      <w:r w:rsidRPr="00E531F5">
        <w:rPr>
          <w:rFonts w:ascii="Times New Roman" w:eastAsia="MS Mincho" w:hAnsi="Times New Roman" w:cs="Times New Roman"/>
          <w:sz w:val="28"/>
          <w:szCs w:val="28"/>
          <w:lang w:val="uk-UA" w:eastAsia="ru-RU"/>
        </w:rPr>
        <w:t xml:space="preserve"> для користувачів платіжних карток, так і для розвитку карткового бізнесу в цілому.</w:t>
      </w:r>
    </w:p>
    <w:p w:rsidR="00D250F1" w:rsidRPr="00E531F5" w:rsidRDefault="0069468D" w:rsidP="00F53C2F">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 xml:space="preserve">Зокрема, як доводить досвід тих країн, які на виконання Регламенту запровадили </w:t>
      </w:r>
      <w:r w:rsidR="00D250F1" w:rsidRPr="00E531F5">
        <w:rPr>
          <w:rFonts w:ascii="Times New Roman" w:eastAsia="MS Mincho" w:hAnsi="Times New Roman" w:cs="Times New Roman"/>
          <w:sz w:val="28"/>
          <w:szCs w:val="28"/>
          <w:lang w:val="uk-UA" w:eastAsia="ru-RU"/>
        </w:rPr>
        <w:t xml:space="preserve">обмеження комісії </w:t>
      </w:r>
      <w:r w:rsidRPr="00E531F5">
        <w:rPr>
          <w:rFonts w:ascii="Times New Roman" w:eastAsia="MS Mincho" w:hAnsi="Times New Roman" w:cs="Times New Roman"/>
          <w:sz w:val="28"/>
          <w:szCs w:val="28"/>
          <w:lang w:val="uk-UA" w:eastAsia="ru-RU"/>
        </w:rPr>
        <w:t>інтерчейндж</w:t>
      </w:r>
      <w:r w:rsidR="00D250F1" w:rsidRPr="00E531F5">
        <w:rPr>
          <w:rFonts w:ascii="Times New Roman" w:eastAsia="MS Mincho" w:hAnsi="Times New Roman" w:cs="Times New Roman"/>
          <w:sz w:val="28"/>
          <w:szCs w:val="28"/>
          <w:lang w:val="uk-UA" w:eastAsia="ru-RU"/>
        </w:rPr>
        <w:t>, такі дії мали наступні негативні наслідки:</w:t>
      </w:r>
    </w:p>
    <w:p w:rsidR="00D250F1" w:rsidRPr="00E531F5" w:rsidRDefault="00D250F1" w:rsidP="00D250F1">
      <w:pPr>
        <w:pStyle w:val="a5"/>
        <w:widowControl w:val="0"/>
        <w:numPr>
          <w:ilvl w:val="0"/>
          <w:numId w:val="1"/>
        </w:numPr>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підвищення тарифів на банківські послуги для користувачів платіжних карток;</w:t>
      </w:r>
    </w:p>
    <w:p w:rsidR="00D250F1" w:rsidRPr="00E531F5" w:rsidRDefault="00D250F1" w:rsidP="00D250F1">
      <w:pPr>
        <w:pStyle w:val="a5"/>
        <w:widowControl w:val="0"/>
        <w:numPr>
          <w:ilvl w:val="0"/>
          <w:numId w:val="1"/>
        </w:numPr>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припинення програм лояльності, таких як кешбек, безкоштовний випуск та обслуговування карток, тощо;</w:t>
      </w:r>
    </w:p>
    <w:p w:rsidR="00D250F1" w:rsidRPr="00E531F5" w:rsidRDefault="00D250F1" w:rsidP="00D250F1">
      <w:pPr>
        <w:pStyle w:val="a5"/>
        <w:widowControl w:val="0"/>
        <w:numPr>
          <w:ilvl w:val="0"/>
          <w:numId w:val="1"/>
        </w:numPr>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гальмування поширення безготівкових розрахунків;</w:t>
      </w:r>
    </w:p>
    <w:p w:rsidR="00D250F1" w:rsidRPr="00E531F5" w:rsidRDefault="00D250F1" w:rsidP="00D250F1">
      <w:pPr>
        <w:pStyle w:val="a5"/>
        <w:widowControl w:val="0"/>
        <w:numPr>
          <w:ilvl w:val="0"/>
          <w:numId w:val="1"/>
        </w:numPr>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скорочення інвестування у розвиток банківської інфраструктури;</w:t>
      </w:r>
    </w:p>
    <w:p w:rsidR="00D250F1" w:rsidRPr="00E531F5" w:rsidRDefault="00D250F1" w:rsidP="00D250F1">
      <w:pPr>
        <w:pStyle w:val="a5"/>
        <w:widowControl w:val="0"/>
        <w:numPr>
          <w:ilvl w:val="0"/>
          <w:numId w:val="1"/>
        </w:numPr>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зменшення кількості карток в обігу</w:t>
      </w:r>
    </w:p>
    <w:p w:rsidR="00D250F1" w:rsidRPr="00E531F5" w:rsidRDefault="00D250F1" w:rsidP="00D250F1">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ab/>
        <w:t xml:space="preserve">При цьому, показовим </w:t>
      </w:r>
      <w:r w:rsidRPr="00E531F5">
        <w:rPr>
          <w:rFonts w:ascii="Times New Roman" w:eastAsia="MS Mincho" w:hAnsi="Times New Roman" w:cs="Times New Roman"/>
          <w:b/>
          <w:sz w:val="28"/>
          <w:szCs w:val="28"/>
          <w:lang w:val="uk-UA" w:eastAsia="ru-RU"/>
        </w:rPr>
        <w:t>є зростання прибутків</w:t>
      </w:r>
      <w:r w:rsidRPr="00E531F5">
        <w:rPr>
          <w:rFonts w:ascii="Times New Roman" w:eastAsia="MS Mincho" w:hAnsi="Times New Roman" w:cs="Times New Roman"/>
          <w:sz w:val="28"/>
          <w:szCs w:val="28"/>
          <w:lang w:val="uk-UA" w:eastAsia="ru-RU"/>
        </w:rPr>
        <w:t xml:space="preserve"> та надп</w:t>
      </w:r>
      <w:r w:rsidR="004C522B" w:rsidRPr="00E531F5">
        <w:rPr>
          <w:rFonts w:ascii="Times New Roman" w:eastAsia="MS Mincho" w:hAnsi="Times New Roman" w:cs="Times New Roman"/>
          <w:sz w:val="28"/>
          <w:szCs w:val="28"/>
          <w:lang w:val="uk-UA" w:eastAsia="ru-RU"/>
        </w:rPr>
        <w:t>р</w:t>
      </w:r>
      <w:r w:rsidRPr="00E531F5">
        <w:rPr>
          <w:rFonts w:ascii="Times New Roman" w:eastAsia="MS Mincho" w:hAnsi="Times New Roman" w:cs="Times New Roman"/>
          <w:sz w:val="28"/>
          <w:szCs w:val="28"/>
          <w:lang w:val="uk-UA" w:eastAsia="ru-RU"/>
        </w:rPr>
        <w:t xml:space="preserve">ибутків великих торгівельних мереж на </w:t>
      </w:r>
      <w:r w:rsidRPr="00E531F5">
        <w:rPr>
          <w:rFonts w:ascii="Times New Roman" w:eastAsia="MS Mincho" w:hAnsi="Times New Roman" w:cs="Times New Roman"/>
          <w:b/>
          <w:sz w:val="28"/>
          <w:szCs w:val="28"/>
          <w:lang w:val="uk-UA" w:eastAsia="ru-RU"/>
        </w:rPr>
        <w:t>фоні зростання витрат споживачів</w:t>
      </w:r>
      <w:r w:rsidRPr="00E531F5">
        <w:rPr>
          <w:rFonts w:ascii="Times New Roman" w:eastAsia="MS Mincho" w:hAnsi="Times New Roman" w:cs="Times New Roman"/>
          <w:sz w:val="28"/>
          <w:szCs w:val="28"/>
          <w:lang w:val="uk-UA" w:eastAsia="ru-RU"/>
        </w:rPr>
        <w:t xml:space="preserve"> товарів і послуг цих торгівельних мереж. </w:t>
      </w:r>
    </w:p>
    <w:p w:rsidR="00D250F1" w:rsidRPr="00E531F5" w:rsidRDefault="00D250F1" w:rsidP="00D250F1">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ab/>
        <w:t xml:space="preserve">За рахунок комісій інтерчейндж покривається частина витрат на емісію та обслуговування платіжних карт, фінансуються банками програми лояльності для клієнтів, придбавається устаткування для обслуговування платіжної інфраструктури, тощо. </w:t>
      </w:r>
    </w:p>
    <w:p w:rsidR="00D250F1" w:rsidRPr="00E531F5" w:rsidRDefault="00D250F1" w:rsidP="00D250F1">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ab/>
        <w:t xml:space="preserve">При законодавчому обмеженні комісії інтерчейндж всупереч ринкових умов, банки як емітенти платіжних карток будуть перекладати зазначені вище витрати на користувачів платіжних послуг. </w:t>
      </w:r>
    </w:p>
    <w:p w:rsidR="00F37947" w:rsidRPr="00E531F5" w:rsidRDefault="00F37947" w:rsidP="00D250F1">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ab/>
        <w:t xml:space="preserve">Зокрема, у США після запровадження регулювання комісії інтерчейндж ціни для кінцевого споживача не зазнали змін. Водночас банки скоротили програми лояльності або запровадили додаткові комісії за обслуговування рахунків. В Австрії регулювання комісії інтерчейндж виявилося складним, неефективним та економічно </w:t>
      </w:r>
      <w:r w:rsidR="004C522B" w:rsidRPr="00E531F5">
        <w:rPr>
          <w:rFonts w:ascii="Times New Roman" w:eastAsia="MS Mincho" w:hAnsi="Times New Roman" w:cs="Times New Roman"/>
          <w:sz w:val="28"/>
          <w:szCs w:val="28"/>
          <w:lang w:val="uk-UA" w:eastAsia="ru-RU"/>
        </w:rPr>
        <w:t>необґрунтованим</w:t>
      </w:r>
      <w:r w:rsidRPr="00E531F5">
        <w:rPr>
          <w:rFonts w:ascii="Times New Roman" w:eastAsia="MS Mincho" w:hAnsi="Times New Roman" w:cs="Times New Roman"/>
          <w:sz w:val="28"/>
          <w:szCs w:val="28"/>
          <w:lang w:val="uk-UA" w:eastAsia="ru-RU"/>
        </w:rPr>
        <w:t xml:space="preserve">, оскільки не вплинуло позитивно на кінцевого споживача. Так, після  запровадження  державного регулювання банки збільшили вартість річного обслуговування карток, а споживачі платити менше не стали. </w:t>
      </w:r>
    </w:p>
    <w:p w:rsidR="001251AC" w:rsidRPr="00E531F5" w:rsidRDefault="001251AC" w:rsidP="00D250F1">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ab/>
        <w:t>Банк Італії повідомив, що дослідження впливу Регламенту на комісії власників карток все ще перебувають на стадії їх оцінки. Результати не є однозначними: оціночні дані вказують на збільшення зборів, що застосовуються до споживачів.</w:t>
      </w:r>
    </w:p>
    <w:p w:rsidR="00047DFA" w:rsidRPr="00E531F5" w:rsidRDefault="00F37947" w:rsidP="00D250F1">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ab/>
        <w:t xml:space="preserve">Тобто, в кінцевому рахунку, банки </w:t>
      </w:r>
      <w:r w:rsidRPr="00E531F5">
        <w:rPr>
          <w:rFonts w:ascii="Times New Roman" w:eastAsia="MS Mincho" w:hAnsi="Times New Roman" w:cs="Times New Roman"/>
          <w:sz w:val="28"/>
          <w:szCs w:val="28"/>
          <w:u w:val="single"/>
          <w:lang w:val="uk-UA" w:eastAsia="ru-RU"/>
        </w:rPr>
        <w:t>не втратять нічого</w:t>
      </w:r>
      <w:r w:rsidRPr="00E531F5">
        <w:rPr>
          <w:rFonts w:ascii="Times New Roman" w:eastAsia="MS Mincho" w:hAnsi="Times New Roman" w:cs="Times New Roman"/>
          <w:sz w:val="28"/>
          <w:szCs w:val="28"/>
          <w:lang w:val="uk-UA" w:eastAsia="ru-RU"/>
        </w:rPr>
        <w:t xml:space="preserve">, компенсуючи втрати </w:t>
      </w:r>
      <w:r w:rsidRPr="00E531F5">
        <w:rPr>
          <w:rFonts w:ascii="Times New Roman" w:eastAsia="MS Mincho" w:hAnsi="Times New Roman" w:cs="Times New Roman"/>
          <w:sz w:val="28"/>
          <w:szCs w:val="28"/>
          <w:lang w:val="uk-UA" w:eastAsia="ru-RU"/>
        </w:rPr>
        <w:lastRenderedPageBreak/>
        <w:t xml:space="preserve">доходів у вигляді комісії  інтерчейндж за рахунок інших джерел,  торговці </w:t>
      </w:r>
      <w:r w:rsidRPr="00E531F5">
        <w:rPr>
          <w:rFonts w:ascii="Times New Roman" w:eastAsia="MS Mincho" w:hAnsi="Times New Roman" w:cs="Times New Roman"/>
          <w:sz w:val="28"/>
          <w:szCs w:val="28"/>
          <w:u w:val="single"/>
          <w:lang w:val="uk-UA" w:eastAsia="ru-RU"/>
        </w:rPr>
        <w:t>збільшать прибутки</w:t>
      </w:r>
      <w:r w:rsidRPr="00E531F5">
        <w:rPr>
          <w:rFonts w:ascii="Times New Roman" w:eastAsia="MS Mincho" w:hAnsi="Times New Roman" w:cs="Times New Roman"/>
          <w:sz w:val="28"/>
          <w:szCs w:val="28"/>
          <w:lang w:val="uk-UA" w:eastAsia="ru-RU"/>
        </w:rPr>
        <w:t>, споживач буде</w:t>
      </w:r>
      <w:r w:rsidR="00047DFA" w:rsidRPr="00E531F5">
        <w:rPr>
          <w:rFonts w:ascii="Times New Roman" w:eastAsia="MS Mincho" w:hAnsi="Times New Roman" w:cs="Times New Roman"/>
          <w:sz w:val="28"/>
          <w:szCs w:val="28"/>
          <w:lang w:val="uk-UA" w:eastAsia="ru-RU"/>
        </w:rPr>
        <w:t xml:space="preserve"> постраждалою стороною, оскільки</w:t>
      </w:r>
      <w:r w:rsidRPr="00E531F5">
        <w:rPr>
          <w:rFonts w:ascii="Times New Roman" w:eastAsia="MS Mincho" w:hAnsi="Times New Roman" w:cs="Times New Roman"/>
          <w:sz w:val="28"/>
          <w:szCs w:val="28"/>
          <w:lang w:val="uk-UA" w:eastAsia="ru-RU"/>
        </w:rPr>
        <w:t xml:space="preserve"> </w:t>
      </w:r>
      <w:r w:rsidRPr="00E531F5">
        <w:rPr>
          <w:rFonts w:ascii="Times New Roman" w:eastAsia="MS Mincho" w:hAnsi="Times New Roman" w:cs="Times New Roman"/>
          <w:sz w:val="28"/>
          <w:szCs w:val="28"/>
          <w:u w:val="single"/>
          <w:lang w:val="uk-UA" w:eastAsia="ru-RU"/>
        </w:rPr>
        <w:t xml:space="preserve">змушений </w:t>
      </w:r>
      <w:r w:rsidR="00047DFA" w:rsidRPr="00E531F5">
        <w:rPr>
          <w:rFonts w:ascii="Times New Roman" w:eastAsia="MS Mincho" w:hAnsi="Times New Roman" w:cs="Times New Roman"/>
          <w:sz w:val="28"/>
          <w:szCs w:val="28"/>
          <w:u w:val="single"/>
          <w:lang w:val="uk-UA" w:eastAsia="ru-RU"/>
        </w:rPr>
        <w:t xml:space="preserve">буде </w:t>
      </w:r>
      <w:r w:rsidRPr="00E531F5">
        <w:rPr>
          <w:rFonts w:ascii="Times New Roman" w:eastAsia="MS Mincho" w:hAnsi="Times New Roman" w:cs="Times New Roman"/>
          <w:sz w:val="28"/>
          <w:szCs w:val="28"/>
          <w:u w:val="single"/>
          <w:lang w:val="uk-UA" w:eastAsia="ru-RU"/>
        </w:rPr>
        <w:t>платити більше</w:t>
      </w:r>
      <w:r w:rsidR="00047DFA" w:rsidRPr="00E531F5">
        <w:rPr>
          <w:rFonts w:ascii="Times New Roman" w:eastAsia="MS Mincho" w:hAnsi="Times New Roman" w:cs="Times New Roman"/>
          <w:sz w:val="28"/>
          <w:szCs w:val="28"/>
          <w:lang w:val="uk-UA" w:eastAsia="ru-RU"/>
        </w:rPr>
        <w:t xml:space="preserve"> за банківські послуги. </w:t>
      </w:r>
    </w:p>
    <w:p w:rsidR="00047DFA" w:rsidRPr="00E531F5" w:rsidRDefault="00047DFA" w:rsidP="00D250F1">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ab/>
        <w:t>Крім того, найкрупніші платіжні системи вже заявили про поступове зменшення комісій інтерчейндж та еквайринг, оскільки розвиток відповідного  ринку, збільшення безготівкових розрахунків в кінцевому випадку призводить до такого зменшення, але ринковим шляхом.</w:t>
      </w:r>
    </w:p>
    <w:p w:rsidR="001251AC" w:rsidRPr="00E531F5" w:rsidRDefault="001251AC" w:rsidP="00D250F1">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ab/>
        <w:t xml:space="preserve">Зокрема, 17 травня 2021 року Національний банк України спільно із міжнародними платіжними системами Visa та Mastercard  підписали Меморандум про сприяння конкурентному платіжному ринку в Україні, в якому закріпили узгоджений підхід щодо поступового зниження граничного розміру комісії інтерчейндж. </w:t>
      </w:r>
    </w:p>
    <w:p w:rsidR="00F37947" w:rsidRPr="00E531F5" w:rsidRDefault="00047DFA" w:rsidP="00D250F1">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ab/>
        <w:t>Саме тому, з метою мотивації споживачів до проведення розрахунків за придбані товари та послуги за допомогою електронних платіжних засобів (платіжних карток), пропонується законодавчо зобов’язати торговців реалізовувати пропоновані ними товари та послуги  із зниженням ціни не менші, ніж на 1%, якщо розрахунок за такі товари та послуги проводиться у безготівковій формі.</w:t>
      </w:r>
    </w:p>
    <w:p w:rsidR="00047DFA" w:rsidRPr="00E531F5" w:rsidRDefault="00047DFA" w:rsidP="001251AC">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ab/>
        <w:t>Крім того, не порушуючи ринкових механізмів, з метою впливу на ринкову поведінку учасників відповідного ринку пропонується внести зміни у Закон України «Про платіжні системи та переказ коштів в Україні», зокрема наділити НБУ пр</w:t>
      </w:r>
      <w:r w:rsidR="001251AC" w:rsidRPr="00E531F5">
        <w:rPr>
          <w:rFonts w:ascii="Times New Roman" w:eastAsia="MS Mincho" w:hAnsi="Times New Roman" w:cs="Times New Roman"/>
          <w:sz w:val="28"/>
          <w:szCs w:val="28"/>
          <w:lang w:val="uk-UA" w:eastAsia="ru-RU"/>
        </w:rPr>
        <w:t xml:space="preserve">авом отримувати інформацію щодо даних статистичної звітності, плати за еквайринга, а також інтерчейнджу., а також правом отримувати на безоплатній основі інформацію від органів державної влади, банків, філій іноземних банків, фінансових установ, інших юридичних осіб з метою забезпечення виконання функції оверсайта. </w:t>
      </w:r>
    </w:p>
    <w:p w:rsidR="004A026D" w:rsidRPr="00E531F5" w:rsidRDefault="001251AC" w:rsidP="00D250F1">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ab/>
        <w:t>Зазначена норма міститься в Законі України «Про платіжні послуги», проте, є доцільність запровадити її раніше, до введення в дію зазначеного Закону  (Закон України «Про платіжні послуги» набуває чинності з дня його опублікування, а вводиться в дію через 12 місяців з дня набрання чинності).</w:t>
      </w:r>
      <w:r w:rsidR="004A026D" w:rsidRPr="00E531F5">
        <w:rPr>
          <w:rFonts w:ascii="Times New Roman" w:eastAsia="MS Mincho" w:hAnsi="Times New Roman" w:cs="Times New Roman"/>
          <w:sz w:val="28"/>
          <w:szCs w:val="28"/>
          <w:lang w:val="uk-UA" w:eastAsia="ru-RU"/>
        </w:rPr>
        <w:t xml:space="preserve"> </w:t>
      </w:r>
    </w:p>
    <w:p w:rsidR="00C61259" w:rsidRPr="00E531F5" w:rsidRDefault="00325690" w:rsidP="00C61259">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E531F5">
        <w:rPr>
          <w:rFonts w:ascii="Times New Roman" w:eastAsia="MS Mincho" w:hAnsi="Times New Roman" w:cs="Times New Roman"/>
          <w:sz w:val="28"/>
          <w:szCs w:val="28"/>
          <w:lang w:val="uk-UA" w:eastAsia="ru-RU"/>
        </w:rPr>
        <w:t xml:space="preserve"> </w:t>
      </w:r>
      <w:r w:rsidR="00F53C2F" w:rsidRPr="00E531F5">
        <w:rPr>
          <w:rFonts w:ascii="Times New Roman" w:eastAsia="MS Mincho" w:hAnsi="Times New Roman" w:cs="Times New Roman"/>
          <w:sz w:val="28"/>
          <w:szCs w:val="28"/>
          <w:lang w:val="uk-UA" w:eastAsia="ru-RU"/>
        </w:rPr>
        <w:t xml:space="preserve">  </w:t>
      </w:r>
      <w:r w:rsidR="00C61259" w:rsidRPr="00E531F5">
        <w:rPr>
          <w:rFonts w:ascii="Times New Roman" w:eastAsia="MS Mincho" w:hAnsi="Times New Roman" w:cs="Times New Roman"/>
          <w:b/>
          <w:bCs/>
          <w:sz w:val="28"/>
          <w:szCs w:val="28"/>
          <w:lang w:val="uk-UA" w:eastAsia="ru-RU"/>
        </w:rPr>
        <w:t>2. Цілі та завдання прийняття законопроекту</w:t>
      </w:r>
    </w:p>
    <w:p w:rsidR="00325690" w:rsidRPr="00E531F5" w:rsidRDefault="001251AC" w:rsidP="00C61259">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r w:rsidRPr="00E531F5">
        <w:rPr>
          <w:rFonts w:ascii="Times New Roman" w:eastAsia="MS Mincho" w:hAnsi="Times New Roman" w:cs="Times New Roman"/>
          <w:bCs/>
          <w:sz w:val="28"/>
          <w:szCs w:val="28"/>
          <w:lang w:val="uk-UA" w:eastAsia="ru-RU"/>
        </w:rPr>
        <w:t>Однією із цілей законопроєкту є закріплення</w:t>
      </w:r>
      <w:r w:rsidR="00325690" w:rsidRPr="00E531F5">
        <w:rPr>
          <w:rFonts w:ascii="Times New Roman" w:eastAsia="MS Mincho" w:hAnsi="Times New Roman" w:cs="Times New Roman"/>
          <w:bCs/>
          <w:sz w:val="28"/>
          <w:szCs w:val="28"/>
          <w:lang w:val="uk-UA" w:eastAsia="ru-RU"/>
        </w:rPr>
        <w:t xml:space="preserve"> на законодавчому рівні поняття «</w:t>
      </w:r>
      <w:r w:rsidR="00DF35D5" w:rsidRPr="00E531F5">
        <w:rPr>
          <w:rFonts w:ascii="Times New Roman" w:eastAsia="MS Mincho" w:hAnsi="Times New Roman" w:cs="Times New Roman"/>
          <w:bCs/>
          <w:sz w:val="28"/>
          <w:szCs w:val="28"/>
          <w:lang w:val="uk-UA" w:eastAsia="ru-RU"/>
        </w:rPr>
        <w:t xml:space="preserve">комісійна винагорода </w:t>
      </w:r>
      <w:r w:rsidR="00325690" w:rsidRPr="00E531F5">
        <w:rPr>
          <w:rFonts w:ascii="Times New Roman" w:eastAsia="MS Mincho" w:hAnsi="Times New Roman" w:cs="Times New Roman"/>
          <w:bCs/>
          <w:sz w:val="28"/>
          <w:szCs w:val="28"/>
          <w:lang w:val="uk-UA" w:eastAsia="ru-RU"/>
        </w:rPr>
        <w:t xml:space="preserve"> інтерчейндж». З метою сприяння створенню належного конкурентного середовища, в тому числі, шляхом забезпечення Національн</w:t>
      </w:r>
      <w:r w:rsidR="00DD243D" w:rsidRPr="00E531F5">
        <w:rPr>
          <w:rFonts w:ascii="Times New Roman" w:eastAsia="MS Mincho" w:hAnsi="Times New Roman" w:cs="Times New Roman"/>
          <w:bCs/>
          <w:sz w:val="28"/>
          <w:szCs w:val="28"/>
          <w:lang w:val="uk-UA" w:eastAsia="ru-RU"/>
        </w:rPr>
        <w:t>ого</w:t>
      </w:r>
      <w:r w:rsidR="00325690" w:rsidRPr="00E531F5">
        <w:rPr>
          <w:rFonts w:ascii="Times New Roman" w:eastAsia="MS Mincho" w:hAnsi="Times New Roman" w:cs="Times New Roman"/>
          <w:bCs/>
          <w:sz w:val="28"/>
          <w:szCs w:val="28"/>
          <w:lang w:val="uk-UA" w:eastAsia="ru-RU"/>
        </w:rPr>
        <w:t xml:space="preserve"> банк</w:t>
      </w:r>
      <w:r w:rsidR="00DD243D" w:rsidRPr="00E531F5">
        <w:rPr>
          <w:rFonts w:ascii="Times New Roman" w:eastAsia="MS Mincho" w:hAnsi="Times New Roman" w:cs="Times New Roman"/>
          <w:bCs/>
          <w:sz w:val="28"/>
          <w:szCs w:val="28"/>
          <w:lang w:val="uk-UA" w:eastAsia="ru-RU"/>
        </w:rPr>
        <w:t>у</w:t>
      </w:r>
      <w:r w:rsidR="00325690" w:rsidRPr="00E531F5">
        <w:rPr>
          <w:rFonts w:ascii="Times New Roman" w:eastAsia="MS Mincho" w:hAnsi="Times New Roman" w:cs="Times New Roman"/>
          <w:bCs/>
          <w:sz w:val="28"/>
          <w:szCs w:val="28"/>
          <w:lang w:val="uk-UA" w:eastAsia="ru-RU"/>
        </w:rPr>
        <w:t xml:space="preserve"> України  механізмами для реагування та нагляду</w:t>
      </w:r>
      <w:r w:rsidRPr="00E531F5">
        <w:rPr>
          <w:rFonts w:ascii="Times New Roman" w:eastAsia="MS Mincho" w:hAnsi="Times New Roman" w:cs="Times New Roman"/>
          <w:bCs/>
          <w:sz w:val="28"/>
          <w:szCs w:val="28"/>
          <w:lang w:val="uk-UA" w:eastAsia="ru-RU"/>
        </w:rPr>
        <w:t>, законопроєктом пропонується</w:t>
      </w:r>
      <w:r w:rsidR="00325690" w:rsidRPr="00E531F5">
        <w:rPr>
          <w:rFonts w:ascii="Times New Roman" w:eastAsia="MS Mincho" w:hAnsi="Times New Roman" w:cs="Times New Roman"/>
          <w:bCs/>
          <w:sz w:val="28"/>
          <w:szCs w:val="28"/>
          <w:lang w:val="uk-UA" w:eastAsia="ru-RU"/>
        </w:rPr>
        <w:t xml:space="preserve"> надати право Національному банку України отримувати на безоплатній основі від об’єктів оверсайта, у тому числі нерезидентів, інформацію </w:t>
      </w:r>
      <w:r w:rsidR="00325690" w:rsidRPr="00E531F5">
        <w:rPr>
          <w:rFonts w:ascii="Times New Roman" w:eastAsia="MS Mincho" w:hAnsi="Times New Roman" w:cs="Times New Roman"/>
          <w:bCs/>
          <w:sz w:val="28"/>
          <w:szCs w:val="28"/>
          <w:lang w:val="uk-UA" w:eastAsia="ru-RU"/>
        </w:rPr>
        <w:lastRenderedPageBreak/>
        <w:t>щодо їхньої діяльності, зокрема щодо даних статистично</w:t>
      </w:r>
      <w:r w:rsidR="00DD243D" w:rsidRPr="00E531F5">
        <w:rPr>
          <w:rFonts w:ascii="Times New Roman" w:eastAsia="MS Mincho" w:hAnsi="Times New Roman" w:cs="Times New Roman"/>
          <w:bCs/>
          <w:sz w:val="28"/>
          <w:szCs w:val="28"/>
          <w:lang w:val="uk-UA" w:eastAsia="ru-RU"/>
        </w:rPr>
        <w:t>ї звітності, плати за еквайринг</w:t>
      </w:r>
      <w:r w:rsidR="00325690" w:rsidRPr="00E531F5">
        <w:rPr>
          <w:rFonts w:ascii="Times New Roman" w:eastAsia="MS Mincho" w:hAnsi="Times New Roman" w:cs="Times New Roman"/>
          <w:bCs/>
          <w:sz w:val="28"/>
          <w:szCs w:val="28"/>
          <w:lang w:val="uk-UA" w:eastAsia="ru-RU"/>
        </w:rPr>
        <w:t>, а також інтерчейндж</w:t>
      </w:r>
      <w:r w:rsidRPr="00E531F5">
        <w:rPr>
          <w:rFonts w:ascii="Times New Roman" w:eastAsia="MS Mincho" w:hAnsi="Times New Roman" w:cs="Times New Roman"/>
          <w:bCs/>
          <w:sz w:val="28"/>
          <w:szCs w:val="28"/>
          <w:lang w:val="uk-UA" w:eastAsia="ru-RU"/>
        </w:rPr>
        <w:t xml:space="preserve">, </w:t>
      </w:r>
      <w:r w:rsidRPr="00E531F5">
        <w:rPr>
          <w:rFonts w:ascii="Times New Roman" w:eastAsia="MS Mincho" w:hAnsi="Times New Roman" w:cs="Times New Roman"/>
          <w:b/>
          <w:bCs/>
          <w:sz w:val="28"/>
          <w:szCs w:val="28"/>
          <w:u w:val="single"/>
          <w:lang w:val="uk-UA" w:eastAsia="ru-RU"/>
        </w:rPr>
        <w:t>до</w:t>
      </w:r>
      <w:r w:rsidRPr="00E531F5">
        <w:rPr>
          <w:rFonts w:ascii="Times New Roman" w:eastAsia="MS Mincho" w:hAnsi="Times New Roman" w:cs="Times New Roman"/>
          <w:bCs/>
          <w:sz w:val="28"/>
          <w:szCs w:val="28"/>
          <w:lang w:val="uk-UA" w:eastAsia="ru-RU"/>
        </w:rPr>
        <w:t xml:space="preserve"> введення в дію Закону України «Про платіжні послуги», який</w:t>
      </w:r>
      <w:r w:rsidR="00DD243D" w:rsidRPr="00E531F5">
        <w:rPr>
          <w:rFonts w:ascii="Times New Roman" w:eastAsia="MS Mincho" w:hAnsi="Times New Roman" w:cs="Times New Roman"/>
          <w:bCs/>
          <w:sz w:val="28"/>
          <w:szCs w:val="28"/>
          <w:lang w:val="uk-UA" w:eastAsia="ru-RU"/>
        </w:rPr>
        <w:t>,</w:t>
      </w:r>
      <w:r w:rsidRPr="00E531F5">
        <w:rPr>
          <w:rFonts w:ascii="Times New Roman" w:eastAsia="MS Mincho" w:hAnsi="Times New Roman" w:cs="Times New Roman"/>
          <w:bCs/>
          <w:sz w:val="28"/>
          <w:szCs w:val="28"/>
          <w:lang w:val="uk-UA" w:eastAsia="ru-RU"/>
        </w:rPr>
        <w:t xml:space="preserve"> </w:t>
      </w:r>
      <w:r w:rsidR="00DD243D" w:rsidRPr="00E531F5">
        <w:rPr>
          <w:rFonts w:ascii="Times New Roman" w:eastAsia="MS Mincho" w:hAnsi="Times New Roman" w:cs="Times New Roman"/>
          <w:bCs/>
          <w:sz w:val="28"/>
          <w:szCs w:val="28"/>
          <w:lang w:val="uk-UA" w:eastAsia="ru-RU"/>
        </w:rPr>
        <w:t>наразі,</w:t>
      </w:r>
      <w:r w:rsidRPr="00E531F5">
        <w:rPr>
          <w:rFonts w:ascii="Times New Roman" w:eastAsia="MS Mincho" w:hAnsi="Times New Roman" w:cs="Times New Roman"/>
          <w:bCs/>
          <w:sz w:val="28"/>
          <w:szCs w:val="28"/>
          <w:lang w:val="uk-UA" w:eastAsia="ru-RU"/>
        </w:rPr>
        <w:t xml:space="preserve"> містить </w:t>
      </w:r>
      <w:r w:rsidR="00DD243D" w:rsidRPr="00E531F5">
        <w:rPr>
          <w:rFonts w:ascii="Times New Roman" w:eastAsia="MS Mincho" w:hAnsi="Times New Roman" w:cs="Times New Roman"/>
          <w:bCs/>
          <w:sz w:val="28"/>
          <w:szCs w:val="28"/>
          <w:lang w:val="uk-UA" w:eastAsia="ru-RU"/>
        </w:rPr>
        <w:t>аналогічні</w:t>
      </w:r>
      <w:r w:rsidRPr="00E531F5">
        <w:rPr>
          <w:rFonts w:ascii="Times New Roman" w:eastAsia="MS Mincho" w:hAnsi="Times New Roman" w:cs="Times New Roman"/>
          <w:bCs/>
          <w:sz w:val="28"/>
          <w:szCs w:val="28"/>
          <w:lang w:val="uk-UA" w:eastAsia="ru-RU"/>
        </w:rPr>
        <w:t xml:space="preserve"> норми.</w:t>
      </w:r>
    </w:p>
    <w:p w:rsidR="00325690" w:rsidRPr="00E531F5" w:rsidRDefault="00325690" w:rsidP="00C61259">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r w:rsidRPr="00E531F5">
        <w:rPr>
          <w:rFonts w:ascii="Times New Roman" w:eastAsia="MS Mincho" w:hAnsi="Times New Roman" w:cs="Times New Roman"/>
          <w:bCs/>
          <w:sz w:val="28"/>
          <w:szCs w:val="28"/>
          <w:lang w:val="uk-UA" w:eastAsia="ru-RU"/>
        </w:rPr>
        <w:t xml:space="preserve">Крім того, однією з головних цілей законопроєкту є стимулювання проведення безготівкових розрахунків за придбані товари та послуги  шляхом реалізації торговцями таких товарів або послуг із знижкою не менше ніж 1 %, порівняно із вартістю цих товарів чи послуг, якщо оплата за них здійснюється у готівковій формі.    </w:t>
      </w:r>
    </w:p>
    <w:p w:rsidR="00C61259" w:rsidRPr="00E531F5" w:rsidRDefault="00C61259" w:rsidP="00C61259">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E531F5">
        <w:rPr>
          <w:rFonts w:ascii="Times New Roman" w:eastAsia="MS Mincho" w:hAnsi="Times New Roman" w:cs="Times New Roman"/>
          <w:b/>
          <w:bCs/>
          <w:sz w:val="28"/>
          <w:szCs w:val="28"/>
          <w:lang w:val="uk-UA" w:eastAsia="ru-RU"/>
        </w:rPr>
        <w:t xml:space="preserve">3. </w:t>
      </w:r>
      <w:r w:rsidR="00336B1D" w:rsidRPr="00E531F5">
        <w:rPr>
          <w:rFonts w:ascii="Times New Roman" w:eastAsia="MS Mincho" w:hAnsi="Times New Roman" w:cs="Times New Roman"/>
          <w:b/>
          <w:bCs/>
          <w:sz w:val="28"/>
          <w:szCs w:val="28"/>
          <w:lang w:val="uk-UA" w:eastAsia="ru-RU"/>
        </w:rPr>
        <w:t>Загальн</w:t>
      </w:r>
      <w:r w:rsidRPr="00E531F5">
        <w:rPr>
          <w:rFonts w:ascii="Times New Roman" w:eastAsia="MS Mincho" w:hAnsi="Times New Roman" w:cs="Times New Roman"/>
          <w:b/>
          <w:bCs/>
          <w:sz w:val="28"/>
          <w:szCs w:val="28"/>
          <w:lang w:val="uk-UA" w:eastAsia="ru-RU"/>
        </w:rPr>
        <w:t>а характеристика та основні положення законопро</w:t>
      </w:r>
      <w:r w:rsidR="00336B1D" w:rsidRPr="00E531F5">
        <w:rPr>
          <w:rFonts w:ascii="Times New Roman" w:eastAsia="MS Mincho" w:hAnsi="Times New Roman" w:cs="Times New Roman"/>
          <w:b/>
          <w:bCs/>
          <w:sz w:val="28"/>
          <w:szCs w:val="28"/>
          <w:lang w:val="uk-UA" w:eastAsia="ru-RU"/>
        </w:rPr>
        <w:t>є</w:t>
      </w:r>
      <w:r w:rsidRPr="00E531F5">
        <w:rPr>
          <w:rFonts w:ascii="Times New Roman" w:eastAsia="MS Mincho" w:hAnsi="Times New Roman" w:cs="Times New Roman"/>
          <w:b/>
          <w:bCs/>
          <w:sz w:val="28"/>
          <w:szCs w:val="28"/>
          <w:lang w:val="uk-UA" w:eastAsia="ru-RU"/>
        </w:rPr>
        <w:t>кту</w:t>
      </w:r>
    </w:p>
    <w:p w:rsidR="00C61259" w:rsidRPr="00E531F5" w:rsidRDefault="00325690" w:rsidP="00C61259">
      <w:pPr>
        <w:tabs>
          <w:tab w:val="left" w:pos="851"/>
        </w:tabs>
        <w:spacing w:after="0"/>
        <w:ind w:firstLine="567"/>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 xml:space="preserve">Законопроєктом пропонується внести зміни до Законів України «Про платіжні послуги та переказ коштів в Україні» та «Про платіжні послуги». </w:t>
      </w:r>
    </w:p>
    <w:p w:rsidR="00C61259" w:rsidRPr="00E531F5" w:rsidRDefault="00C61259" w:rsidP="00C61259">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E531F5">
        <w:rPr>
          <w:rFonts w:ascii="Times New Roman" w:eastAsia="MS Mincho" w:hAnsi="Times New Roman" w:cs="Times New Roman"/>
          <w:b/>
          <w:bCs/>
          <w:sz w:val="28"/>
          <w:szCs w:val="28"/>
          <w:lang w:val="uk-UA" w:eastAsia="ru-RU"/>
        </w:rPr>
        <w:t>4. Стан нормативно-правової бази</w:t>
      </w:r>
    </w:p>
    <w:p w:rsidR="00325690" w:rsidRPr="00E531F5" w:rsidRDefault="00325690" w:rsidP="00C61259">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r w:rsidRPr="00E531F5">
        <w:rPr>
          <w:rFonts w:ascii="Times New Roman" w:eastAsia="MS Mincho" w:hAnsi="Times New Roman" w:cs="Times New Roman"/>
          <w:bCs/>
          <w:sz w:val="28"/>
          <w:szCs w:val="28"/>
          <w:lang w:val="uk-UA" w:eastAsia="ru-RU"/>
        </w:rPr>
        <w:t>Нормативно-правову базу в сфері правового регулювання становлять Конституція України, Закони України ««Про платіжні послуги та переказ коштів в Україні» та «Про платіжні послуги».</w:t>
      </w:r>
    </w:p>
    <w:p w:rsidR="00C61259" w:rsidRPr="00E531F5" w:rsidRDefault="00C61259" w:rsidP="00C61259">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E531F5">
        <w:rPr>
          <w:rFonts w:ascii="Times New Roman" w:eastAsia="MS Mincho" w:hAnsi="Times New Roman" w:cs="Times New Roman"/>
          <w:b/>
          <w:bCs/>
          <w:sz w:val="28"/>
          <w:szCs w:val="28"/>
          <w:lang w:val="uk-UA" w:eastAsia="ru-RU"/>
        </w:rPr>
        <w:t>5. Фінансово-економічне обґрунтування</w:t>
      </w:r>
    </w:p>
    <w:p w:rsidR="00C61259" w:rsidRPr="00E531F5" w:rsidRDefault="00BF0909" w:rsidP="00C61259">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Прийняття законопроекту не потребує додаткових витрат з Державного бюджету України.</w:t>
      </w:r>
    </w:p>
    <w:p w:rsidR="00C61259" w:rsidRPr="00E531F5" w:rsidRDefault="00C61259" w:rsidP="00C61259">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E531F5">
        <w:rPr>
          <w:rFonts w:ascii="Times New Roman" w:eastAsia="MS Mincho" w:hAnsi="Times New Roman" w:cs="Times New Roman"/>
          <w:b/>
          <w:bCs/>
          <w:sz w:val="28"/>
          <w:szCs w:val="28"/>
          <w:lang w:val="uk-UA" w:eastAsia="ru-RU"/>
        </w:rPr>
        <w:t xml:space="preserve">6. Прогноз соціально-економічних та інших наслідків прийняття </w:t>
      </w:r>
      <w:r w:rsidR="00336B1D" w:rsidRPr="00E531F5">
        <w:rPr>
          <w:rFonts w:ascii="Times New Roman" w:eastAsia="MS Mincho" w:hAnsi="Times New Roman" w:cs="Times New Roman"/>
          <w:b/>
          <w:bCs/>
          <w:sz w:val="28"/>
          <w:szCs w:val="28"/>
          <w:lang w:val="uk-UA" w:eastAsia="ru-RU"/>
        </w:rPr>
        <w:t>законо</w:t>
      </w:r>
      <w:r w:rsidRPr="00E531F5">
        <w:rPr>
          <w:rFonts w:ascii="Times New Roman" w:eastAsia="MS Mincho" w:hAnsi="Times New Roman" w:cs="Times New Roman"/>
          <w:b/>
          <w:bCs/>
          <w:sz w:val="28"/>
          <w:szCs w:val="28"/>
          <w:lang w:val="uk-UA" w:eastAsia="ru-RU"/>
        </w:rPr>
        <w:t>проєкту</w:t>
      </w:r>
    </w:p>
    <w:p w:rsidR="00BF0909" w:rsidRPr="00E531F5" w:rsidRDefault="00BF0909" w:rsidP="00C61259">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 xml:space="preserve">Прийняття законопроєкту стимулюватиме розвиток конкурентноспроможності на ринку платіжних послуг, що без втручання держави призведе до зниження вартості послуг еквайрингу та </w:t>
      </w:r>
      <w:r w:rsidR="00336B1D" w:rsidRPr="00E531F5">
        <w:rPr>
          <w:rFonts w:ascii="Times New Roman" w:eastAsia="MS Mincho" w:hAnsi="Times New Roman" w:cs="Times New Roman"/>
          <w:sz w:val="28"/>
          <w:szCs w:val="28"/>
          <w:lang w:val="uk-UA" w:eastAsia="ru-RU"/>
        </w:rPr>
        <w:t>комісії інтерчейндж</w:t>
      </w:r>
      <w:r w:rsidRPr="00E531F5">
        <w:rPr>
          <w:rFonts w:ascii="Times New Roman" w:eastAsia="MS Mincho" w:hAnsi="Times New Roman" w:cs="Times New Roman"/>
          <w:sz w:val="28"/>
          <w:szCs w:val="28"/>
          <w:lang w:val="uk-UA" w:eastAsia="ru-RU"/>
        </w:rPr>
        <w:t>, а також сприятиме проведенню споживачами розрахунків за придбані товари та послуги  у безготівковій формі.</w:t>
      </w:r>
    </w:p>
    <w:p w:rsidR="00E531F5" w:rsidRDefault="00BF0909" w:rsidP="00C61259">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 xml:space="preserve"> </w:t>
      </w:r>
    </w:p>
    <w:p w:rsidR="00C61259" w:rsidRPr="00E531F5" w:rsidRDefault="00C61259" w:rsidP="00C61259">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r w:rsidRPr="00E531F5">
        <w:rPr>
          <w:rFonts w:ascii="Times New Roman" w:eastAsia="MS Mincho" w:hAnsi="Times New Roman" w:cs="Times New Roman"/>
          <w:sz w:val="28"/>
          <w:szCs w:val="28"/>
          <w:lang w:val="uk-UA" w:eastAsia="ru-RU"/>
        </w:rPr>
        <w:t xml:space="preserve"> </w:t>
      </w:r>
    </w:p>
    <w:p w:rsidR="00BC11CB" w:rsidRPr="00E531F5" w:rsidRDefault="00C61259" w:rsidP="004C522B">
      <w:pPr>
        <w:tabs>
          <w:tab w:val="left" w:pos="7371"/>
        </w:tabs>
        <w:spacing w:after="0"/>
        <w:ind w:right="258"/>
        <w:contextualSpacing/>
        <w:jc w:val="center"/>
        <w:rPr>
          <w:lang w:val="uk-UA"/>
        </w:rPr>
      </w:pPr>
      <w:r w:rsidRPr="00E531F5">
        <w:rPr>
          <w:rFonts w:ascii="Times New Roman" w:eastAsia="MS Mincho" w:hAnsi="Times New Roman" w:cs="Times New Roman"/>
          <w:b/>
          <w:sz w:val="28"/>
          <w:szCs w:val="28"/>
          <w:lang w:val="uk-UA" w:eastAsia="ru-RU"/>
        </w:rPr>
        <w:t xml:space="preserve"> </w:t>
      </w:r>
      <w:r w:rsidRPr="00E531F5">
        <w:rPr>
          <w:rFonts w:ascii="Times New Roman" w:eastAsia="Times New Roman" w:hAnsi="Times New Roman" w:cs="Times New Roman"/>
          <w:b/>
          <w:sz w:val="28"/>
          <w:szCs w:val="28"/>
          <w:lang w:val="uk-UA"/>
        </w:rPr>
        <w:t>Народний депутат України                                        О.А. Дубінський</w:t>
      </w:r>
    </w:p>
    <w:sectPr w:rsidR="00BC11CB" w:rsidRPr="00E531F5" w:rsidSect="00E531F5">
      <w:footerReference w:type="default" r:id="rId10"/>
      <w:pgSz w:w="12240" w:h="15840"/>
      <w:pgMar w:top="850" w:right="850" w:bottom="850" w:left="1417"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E51" w:rsidRDefault="00915E51">
      <w:pPr>
        <w:spacing w:after="0" w:line="240" w:lineRule="auto"/>
      </w:pPr>
      <w:r>
        <w:separator/>
      </w:r>
    </w:p>
  </w:endnote>
  <w:endnote w:type="continuationSeparator" w:id="0">
    <w:p w:rsidR="00915E51" w:rsidRDefault="00915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735" w:rsidRDefault="001D2C0F">
    <w:pPr>
      <w:pStyle w:val="a3"/>
      <w:jc w:val="right"/>
    </w:pPr>
    <w:r>
      <w:fldChar w:fldCharType="begin"/>
    </w:r>
    <w:r>
      <w:instrText>PAGE   \* MERGEFORMAT</w:instrText>
    </w:r>
    <w:r>
      <w:fldChar w:fldCharType="separate"/>
    </w:r>
    <w:r w:rsidR="00E06AC3" w:rsidRPr="00E06AC3">
      <w:rPr>
        <w:noProof/>
        <w:lang w:val="uk-UA"/>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E51" w:rsidRDefault="00915E51">
      <w:pPr>
        <w:spacing w:after="0" w:line="240" w:lineRule="auto"/>
      </w:pPr>
      <w:r>
        <w:separator/>
      </w:r>
    </w:p>
  </w:footnote>
  <w:footnote w:type="continuationSeparator" w:id="0">
    <w:p w:rsidR="00915E51" w:rsidRDefault="00915E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4E4629"/>
    <w:multiLevelType w:val="hybridMultilevel"/>
    <w:tmpl w:val="39AE1046"/>
    <w:lvl w:ilvl="0" w:tplc="D66A3518">
      <w:start w:val="5"/>
      <w:numFmt w:val="bullet"/>
      <w:lvlText w:val="-"/>
      <w:lvlJc w:val="left"/>
      <w:pPr>
        <w:ind w:left="927" w:hanging="360"/>
      </w:pPr>
      <w:rPr>
        <w:rFonts w:ascii="Times New Roman" w:eastAsia="MS Mincho"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259"/>
    <w:rsid w:val="00047DFA"/>
    <w:rsid w:val="001251AC"/>
    <w:rsid w:val="001D2C0F"/>
    <w:rsid w:val="00246459"/>
    <w:rsid w:val="00325690"/>
    <w:rsid w:val="00336B1D"/>
    <w:rsid w:val="00420452"/>
    <w:rsid w:val="004A026D"/>
    <w:rsid w:val="004C522B"/>
    <w:rsid w:val="00530E83"/>
    <w:rsid w:val="0069468D"/>
    <w:rsid w:val="00915E51"/>
    <w:rsid w:val="00BC11CB"/>
    <w:rsid w:val="00BF0909"/>
    <w:rsid w:val="00C0258F"/>
    <w:rsid w:val="00C61259"/>
    <w:rsid w:val="00D250F1"/>
    <w:rsid w:val="00DD243D"/>
    <w:rsid w:val="00DF35D5"/>
    <w:rsid w:val="00E06AC3"/>
    <w:rsid w:val="00E531F5"/>
    <w:rsid w:val="00F37947"/>
    <w:rsid w:val="00F53C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DAE04D-FD58-4DDF-B3DD-4D24F887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C61259"/>
    <w:pPr>
      <w:tabs>
        <w:tab w:val="center" w:pos="4677"/>
        <w:tab w:val="right" w:pos="9355"/>
      </w:tabs>
      <w:spacing w:after="0" w:line="240" w:lineRule="auto"/>
    </w:pPr>
  </w:style>
  <w:style w:type="character" w:customStyle="1" w:styleId="a4">
    <w:name w:val="Нижній колонтитул Знак"/>
    <w:basedOn w:val="a0"/>
    <w:link w:val="a3"/>
    <w:uiPriority w:val="99"/>
    <w:semiHidden/>
    <w:rsid w:val="00C61259"/>
  </w:style>
  <w:style w:type="paragraph" w:styleId="a5">
    <w:name w:val="List Paragraph"/>
    <w:basedOn w:val="a"/>
    <w:uiPriority w:val="34"/>
    <w:qFormat/>
    <w:rsid w:val="00D250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594D1C-6FB4-4D85-BEF2-6E116A616A32}">
  <ds:schemaRefs>
    <ds:schemaRef ds:uri="http://schemas.microsoft.com/sharepoint/v3/contenttype/forms"/>
  </ds:schemaRefs>
</ds:datastoreItem>
</file>

<file path=customXml/itemProps2.xml><?xml version="1.0" encoding="utf-8"?>
<ds:datastoreItem xmlns:ds="http://schemas.openxmlformats.org/officeDocument/2006/customXml" ds:itemID="{A42D6C43-FE50-40DA-9B90-04E11A7DA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29B36E-DFAA-4E30-84B2-AA88A2C5371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5310</Words>
  <Characters>3028</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2021-07-09T12:32:00Z</dcterms:created>
  <dcterms:modified xsi:type="dcterms:W3CDTF">2021-07-09T12:32:00Z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