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47C18" w:rsidRDefault="002A23C8" w:rsidP="00D77B05">
      <w:pPr>
        <w:widowControl w:val="0"/>
        <w:spacing w:before="5" w:after="5"/>
        <w:ind w:right="-6"/>
        <w:jc w:val="right"/>
        <w:rPr>
          <w:rFonts w:ascii="Times New Roman" w:eastAsia="Times New Roman" w:hAnsi="Times New Roman" w:cs="Times New Roman"/>
          <w:sz w:val="28"/>
          <w:szCs w:val="28"/>
        </w:rPr>
      </w:pPr>
      <w:bookmarkStart w:id="0" w:name="_gjdgxs" w:colFirst="0" w:colLast="0"/>
      <w:bookmarkStart w:id="1" w:name="_GoBack"/>
      <w:bookmarkEnd w:id="0"/>
      <w:bookmarkEnd w:id="1"/>
      <w:r>
        <w:rPr>
          <w:rFonts w:ascii="Times New Roman" w:eastAsia="Times New Roman" w:hAnsi="Times New Roman" w:cs="Times New Roman"/>
          <w:sz w:val="28"/>
          <w:szCs w:val="28"/>
        </w:rPr>
        <w:t>Проект</w:t>
      </w:r>
    </w:p>
    <w:p w14:paraId="00000002" w14:textId="649A5C80" w:rsidR="00747C18" w:rsidRDefault="002A23C8" w:rsidP="00D77B05">
      <w:pPr>
        <w:widowControl w:val="0"/>
        <w:spacing w:before="5" w:after="5"/>
        <w:ind w:right="-6"/>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вноситься народним</w:t>
      </w:r>
      <w:r w:rsidR="00357509">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 депута</w:t>
      </w:r>
      <w:r w:rsidR="00357509">
        <w:rPr>
          <w:rFonts w:ascii="Times New Roman" w:eastAsia="Times New Roman" w:hAnsi="Times New Roman" w:cs="Times New Roman"/>
          <w:sz w:val="28"/>
          <w:szCs w:val="28"/>
        </w:rPr>
        <w:t>тами</w:t>
      </w:r>
      <w:r>
        <w:rPr>
          <w:rFonts w:ascii="Times New Roman" w:eastAsia="Times New Roman" w:hAnsi="Times New Roman" w:cs="Times New Roman"/>
          <w:sz w:val="28"/>
          <w:szCs w:val="28"/>
        </w:rPr>
        <w:t xml:space="preserve"> України</w:t>
      </w:r>
    </w:p>
    <w:p w14:paraId="00000003" w14:textId="77777777" w:rsidR="00747C18" w:rsidRDefault="00747C18" w:rsidP="00D77B05">
      <w:pPr>
        <w:widowControl w:val="0"/>
        <w:spacing w:before="5" w:after="5"/>
        <w:ind w:right="-6"/>
        <w:jc w:val="right"/>
        <w:rPr>
          <w:rFonts w:ascii="Times New Roman" w:eastAsia="Times New Roman" w:hAnsi="Times New Roman" w:cs="Times New Roman"/>
          <w:sz w:val="28"/>
          <w:szCs w:val="28"/>
        </w:rPr>
      </w:pPr>
    </w:p>
    <w:p w14:paraId="0000000B" w14:textId="77777777" w:rsidR="00747C18" w:rsidRDefault="00747C18" w:rsidP="00D77B05">
      <w:pPr>
        <w:widowControl w:val="0"/>
        <w:spacing w:before="5" w:after="5"/>
        <w:ind w:right="-6"/>
        <w:rPr>
          <w:rFonts w:ascii="Times New Roman" w:eastAsia="Times New Roman" w:hAnsi="Times New Roman" w:cs="Times New Roman"/>
          <w:sz w:val="28"/>
          <w:szCs w:val="28"/>
        </w:rPr>
      </w:pPr>
    </w:p>
    <w:p w14:paraId="0000000C" w14:textId="77777777" w:rsidR="00747C18" w:rsidRDefault="00747C18" w:rsidP="00D77B05">
      <w:pPr>
        <w:widowControl w:val="0"/>
        <w:spacing w:before="5" w:after="5"/>
        <w:ind w:right="-6"/>
        <w:jc w:val="right"/>
        <w:rPr>
          <w:rFonts w:ascii="Times New Roman" w:eastAsia="Times New Roman" w:hAnsi="Times New Roman" w:cs="Times New Roman"/>
          <w:sz w:val="28"/>
          <w:szCs w:val="28"/>
        </w:rPr>
      </w:pPr>
    </w:p>
    <w:p w14:paraId="0000000D" w14:textId="77777777" w:rsidR="00747C18" w:rsidRDefault="00747C18" w:rsidP="00D77B05">
      <w:pPr>
        <w:widowControl w:val="0"/>
        <w:spacing w:before="5" w:after="5"/>
        <w:ind w:right="-6"/>
        <w:jc w:val="right"/>
        <w:rPr>
          <w:rFonts w:ascii="Times New Roman" w:eastAsia="Times New Roman" w:hAnsi="Times New Roman" w:cs="Times New Roman"/>
          <w:sz w:val="28"/>
          <w:szCs w:val="28"/>
        </w:rPr>
      </w:pPr>
    </w:p>
    <w:p w14:paraId="0000000E" w14:textId="77777777" w:rsidR="00747C18" w:rsidRDefault="00747C18" w:rsidP="00D77B05">
      <w:pPr>
        <w:widowControl w:val="0"/>
        <w:spacing w:before="5" w:after="5"/>
        <w:ind w:right="-6"/>
        <w:jc w:val="right"/>
        <w:rPr>
          <w:rFonts w:ascii="Times New Roman" w:eastAsia="Times New Roman" w:hAnsi="Times New Roman" w:cs="Times New Roman"/>
          <w:sz w:val="28"/>
          <w:szCs w:val="28"/>
        </w:rPr>
      </w:pPr>
    </w:p>
    <w:p w14:paraId="0000000F" w14:textId="77777777" w:rsidR="00747C18" w:rsidRDefault="00747C18" w:rsidP="00D77B05">
      <w:pPr>
        <w:widowControl w:val="0"/>
        <w:spacing w:before="5" w:after="5"/>
        <w:ind w:right="-6"/>
        <w:jc w:val="center"/>
        <w:rPr>
          <w:rFonts w:ascii="Times New Roman" w:eastAsia="Times New Roman" w:hAnsi="Times New Roman" w:cs="Times New Roman"/>
          <w:sz w:val="28"/>
          <w:szCs w:val="28"/>
        </w:rPr>
      </w:pPr>
    </w:p>
    <w:p w14:paraId="00000010" w14:textId="77777777" w:rsidR="00747C18" w:rsidRDefault="00747C18" w:rsidP="00D77B05">
      <w:pPr>
        <w:widowControl w:val="0"/>
        <w:spacing w:before="5" w:after="5"/>
        <w:ind w:right="-6"/>
        <w:jc w:val="center"/>
        <w:rPr>
          <w:rFonts w:ascii="Times New Roman" w:eastAsia="Times New Roman" w:hAnsi="Times New Roman" w:cs="Times New Roman"/>
          <w:sz w:val="28"/>
          <w:szCs w:val="28"/>
        </w:rPr>
      </w:pPr>
    </w:p>
    <w:p w14:paraId="00000011" w14:textId="77777777" w:rsidR="00747C18" w:rsidRPr="00054B5A" w:rsidRDefault="002A23C8" w:rsidP="00D77B05">
      <w:pPr>
        <w:widowControl w:val="0"/>
        <w:spacing w:before="5" w:after="5"/>
        <w:ind w:right="-6"/>
        <w:jc w:val="center"/>
        <w:rPr>
          <w:rFonts w:ascii="Times New Roman" w:eastAsia="Times New Roman" w:hAnsi="Times New Roman" w:cs="Times New Roman"/>
          <w:b/>
          <w:bCs/>
          <w:sz w:val="28"/>
          <w:szCs w:val="28"/>
        </w:rPr>
      </w:pPr>
      <w:r w:rsidRPr="00054B5A">
        <w:rPr>
          <w:rFonts w:ascii="Times New Roman" w:eastAsia="Times New Roman" w:hAnsi="Times New Roman" w:cs="Times New Roman"/>
          <w:b/>
          <w:bCs/>
          <w:sz w:val="28"/>
          <w:szCs w:val="28"/>
        </w:rPr>
        <w:t>ЗАКОН УКРАЇНИ</w:t>
      </w:r>
    </w:p>
    <w:p w14:paraId="00000012" w14:textId="77777777" w:rsidR="00747C18" w:rsidRPr="00054B5A" w:rsidRDefault="002A23C8" w:rsidP="00D77B05">
      <w:pPr>
        <w:widowControl w:val="0"/>
        <w:spacing w:before="5" w:after="5"/>
        <w:ind w:right="-6"/>
        <w:jc w:val="center"/>
        <w:rPr>
          <w:rFonts w:ascii="Times New Roman" w:eastAsia="Times New Roman" w:hAnsi="Times New Roman" w:cs="Times New Roman"/>
          <w:b/>
          <w:bCs/>
          <w:color w:val="000000" w:themeColor="text1"/>
          <w:sz w:val="28"/>
          <w:szCs w:val="28"/>
        </w:rPr>
      </w:pPr>
      <w:r w:rsidRPr="00054B5A">
        <w:rPr>
          <w:rFonts w:ascii="Times New Roman" w:eastAsia="Times New Roman" w:hAnsi="Times New Roman" w:cs="Times New Roman"/>
          <w:b/>
          <w:bCs/>
          <w:color w:val="000000" w:themeColor="text1"/>
          <w:sz w:val="28"/>
          <w:szCs w:val="28"/>
        </w:rPr>
        <w:t>Про внесення змін до Кодексу України про адміністративні правопорушення та Кримінального кодексу України для реалізації положень Закону України “Про право на самозахист та володіння цивільною вогнепальною зброєю”</w:t>
      </w:r>
    </w:p>
    <w:p w14:paraId="00000013" w14:textId="77777777" w:rsidR="00747C18" w:rsidRDefault="00747C18" w:rsidP="00D77B05">
      <w:pPr>
        <w:widowControl w:val="0"/>
        <w:spacing w:before="5" w:after="5"/>
        <w:ind w:right="-6"/>
        <w:jc w:val="center"/>
        <w:rPr>
          <w:rFonts w:ascii="Times New Roman" w:eastAsia="Times New Roman" w:hAnsi="Times New Roman" w:cs="Times New Roman"/>
          <w:sz w:val="28"/>
          <w:szCs w:val="28"/>
        </w:rPr>
      </w:pPr>
    </w:p>
    <w:p w14:paraId="00000014" w14:textId="77777777"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Верховна Рада України постановляє:</w:t>
      </w:r>
    </w:p>
    <w:p w14:paraId="00000015" w14:textId="77777777" w:rsidR="00747C18" w:rsidRDefault="00747C18" w:rsidP="00D77B05">
      <w:pPr>
        <w:widowControl w:val="0"/>
        <w:tabs>
          <w:tab w:val="left" w:pos="993"/>
        </w:tabs>
        <w:spacing w:before="5" w:after="5"/>
        <w:ind w:right="-6" w:firstLine="720"/>
        <w:jc w:val="both"/>
        <w:rPr>
          <w:rFonts w:ascii="Times New Roman" w:eastAsia="Times New Roman" w:hAnsi="Times New Roman" w:cs="Times New Roman"/>
          <w:sz w:val="28"/>
          <w:szCs w:val="28"/>
        </w:rPr>
      </w:pPr>
    </w:p>
    <w:p w14:paraId="00000016" w14:textId="77777777" w:rsidR="00747C18" w:rsidRDefault="002A23C8" w:rsidP="00D77B05">
      <w:pPr>
        <w:widowControl w:val="0"/>
        <w:tabs>
          <w:tab w:val="left" w:pos="993"/>
        </w:tabs>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 Внести зміни до таких законодавчих актів України:</w:t>
      </w:r>
    </w:p>
    <w:p w14:paraId="00000017" w14:textId="77777777" w:rsidR="00747C18" w:rsidRDefault="00747C18" w:rsidP="00D77B05">
      <w:pPr>
        <w:widowControl w:val="0"/>
        <w:tabs>
          <w:tab w:val="left" w:pos="3873"/>
        </w:tabs>
        <w:spacing w:before="5" w:after="5"/>
        <w:ind w:right="-6" w:firstLine="720"/>
        <w:jc w:val="both"/>
        <w:rPr>
          <w:rFonts w:ascii="Times New Roman" w:eastAsia="Times New Roman" w:hAnsi="Times New Roman" w:cs="Times New Roman"/>
          <w:sz w:val="28"/>
          <w:szCs w:val="28"/>
        </w:rPr>
      </w:pPr>
    </w:p>
    <w:p w14:paraId="00000018" w14:textId="73545B30"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Кодексі України про адміністративні правопорушення</w:t>
      </w:r>
      <w:r w:rsidR="00894CE7">
        <w:rPr>
          <w:rFonts w:ascii="Times New Roman" w:eastAsia="Times New Roman" w:hAnsi="Times New Roman" w:cs="Times New Roman"/>
          <w:sz w:val="28"/>
          <w:szCs w:val="28"/>
        </w:rPr>
        <w:t xml:space="preserve"> (</w:t>
      </w:r>
      <w:r w:rsidR="00894CE7" w:rsidRPr="00894CE7">
        <w:rPr>
          <w:rFonts w:ascii="Times New Roman" w:eastAsia="Times New Roman" w:hAnsi="Times New Roman" w:cs="Times New Roman"/>
          <w:sz w:val="28"/>
          <w:szCs w:val="28"/>
        </w:rPr>
        <w:t>80731-X</w:t>
      </w:r>
      <w:r w:rsidR="00894CE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894CE7" w:rsidRPr="00894CE7">
        <w:rPr>
          <w:rFonts w:ascii="Times New Roman" w:eastAsia="Times New Roman" w:hAnsi="Times New Roman" w:cs="Times New Roman"/>
          <w:sz w:val="28"/>
          <w:szCs w:val="28"/>
        </w:rPr>
        <w:t>Відомості Верховної Ради Української РСР (ВВР) 1984, додаток до № 51, ст.1122</w:t>
      </w:r>
      <w:r w:rsidR="00894CE7">
        <w:rPr>
          <w:rFonts w:ascii="Times New Roman" w:eastAsia="Times New Roman" w:hAnsi="Times New Roman" w:cs="Times New Roman"/>
          <w:sz w:val="28"/>
          <w:szCs w:val="28"/>
        </w:rPr>
        <w:t xml:space="preserve"> із подальшими змінами</w:t>
      </w:r>
      <w:r>
        <w:rPr>
          <w:rFonts w:ascii="Times New Roman" w:eastAsia="Times New Roman" w:hAnsi="Times New Roman" w:cs="Times New Roman"/>
          <w:sz w:val="28"/>
          <w:szCs w:val="28"/>
        </w:rPr>
        <w:t>):</w:t>
      </w:r>
    </w:p>
    <w:p w14:paraId="2F57E3FE" w14:textId="77777777" w:rsidR="0050492E"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пункт 5 частини першої статті 24 викласти в такій редакції:</w:t>
      </w:r>
    </w:p>
    <w:p w14:paraId="00000019" w14:textId="10F8AED5"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“5) позбавлення спеціального права, наданого даному громадянинові (права керування транспортними засобами, права полювання, права на користування цивільною зброєю та набоями);</w:t>
      </w:r>
    </w:p>
    <w:p w14:paraId="0000001A"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w:t>
      </w:r>
    </w:p>
    <w:p w14:paraId="0000001B" w14:textId="77777777" w:rsidR="00747C18" w:rsidRDefault="00747C18" w:rsidP="00D77B05">
      <w:pPr>
        <w:spacing w:before="5" w:after="5"/>
        <w:jc w:val="both"/>
        <w:rPr>
          <w:rFonts w:ascii="Times New Roman" w:eastAsia="Times New Roman" w:hAnsi="Times New Roman" w:cs="Times New Roman"/>
          <w:sz w:val="28"/>
          <w:szCs w:val="28"/>
        </w:rPr>
      </w:pPr>
    </w:p>
    <w:p w14:paraId="0000001C" w14:textId="59D24D1B"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2) частину першу статті 25 викласти в такій редакції:</w:t>
      </w:r>
    </w:p>
    <w:p w14:paraId="73E4E9BC" w14:textId="77777777" w:rsidR="0050492E" w:rsidRDefault="0050492E" w:rsidP="00D77B05">
      <w:pPr>
        <w:spacing w:before="5" w:after="5"/>
        <w:jc w:val="both"/>
        <w:rPr>
          <w:rFonts w:ascii="Times New Roman" w:eastAsia="Times New Roman" w:hAnsi="Times New Roman" w:cs="Times New Roman"/>
          <w:sz w:val="28"/>
          <w:szCs w:val="28"/>
        </w:rPr>
      </w:pPr>
    </w:p>
    <w:p w14:paraId="0000001D"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“Оплатне вилучення, конфіскація предметів, позбавлення права керування транспортними засобами та права на користування цивільною зброєю та набоями можуть застосовуватися як основні, так і додаткові адміністративні стягнення; позбавлення права обіймати певні посади або займатися певною діяльністю – тільки як додаткове; інші адміністративні стягнення, зазначені в частині першій статті 24 цього Кодексу, можуть застосовуватися тільки як основні.</w:t>
      </w:r>
    </w:p>
    <w:p w14:paraId="0000001E" w14:textId="77777777" w:rsidR="00747C18" w:rsidRDefault="00747C18" w:rsidP="00D77B05">
      <w:pPr>
        <w:spacing w:before="5" w:after="5"/>
        <w:jc w:val="both"/>
        <w:rPr>
          <w:rFonts w:ascii="Times New Roman" w:eastAsia="Times New Roman" w:hAnsi="Times New Roman" w:cs="Times New Roman"/>
          <w:sz w:val="28"/>
          <w:szCs w:val="28"/>
        </w:rPr>
      </w:pPr>
    </w:p>
    <w:p w14:paraId="0000001F"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одне адміністративне правопорушення може бути накладено основне або основне і додаткове стягнення.”</w:t>
      </w:r>
    </w:p>
    <w:p w14:paraId="00000020" w14:textId="77777777" w:rsidR="00747C18" w:rsidRDefault="00747C18" w:rsidP="00D77B05">
      <w:pPr>
        <w:spacing w:before="5" w:after="5"/>
        <w:jc w:val="both"/>
        <w:rPr>
          <w:rFonts w:ascii="Times New Roman" w:eastAsia="Times New Roman" w:hAnsi="Times New Roman" w:cs="Times New Roman"/>
          <w:sz w:val="28"/>
          <w:szCs w:val="28"/>
        </w:rPr>
      </w:pPr>
    </w:p>
    <w:p w14:paraId="00000021" w14:textId="2FE7C4D6"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3) Статтю 30 викласти в наступній редакції:</w:t>
      </w:r>
    </w:p>
    <w:p w14:paraId="6977232D" w14:textId="77777777" w:rsidR="0050492E" w:rsidRDefault="0050492E" w:rsidP="00D77B05">
      <w:pPr>
        <w:spacing w:before="5" w:after="5"/>
        <w:jc w:val="both"/>
        <w:rPr>
          <w:rFonts w:ascii="Times New Roman" w:eastAsia="Times New Roman" w:hAnsi="Times New Roman" w:cs="Times New Roman"/>
          <w:sz w:val="28"/>
          <w:szCs w:val="28"/>
        </w:rPr>
      </w:pPr>
    </w:p>
    <w:p w14:paraId="00000022"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00000023" w14:textId="77777777" w:rsidR="00747C18" w:rsidRDefault="00747C18" w:rsidP="00D77B05">
      <w:pPr>
        <w:spacing w:before="5" w:after="5"/>
        <w:jc w:val="both"/>
        <w:rPr>
          <w:rFonts w:ascii="Times New Roman" w:eastAsia="Times New Roman" w:hAnsi="Times New Roman" w:cs="Times New Roman"/>
          <w:sz w:val="28"/>
          <w:szCs w:val="28"/>
        </w:rPr>
      </w:pPr>
    </w:p>
    <w:p w14:paraId="00000024"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полювання застосовується на строк до трьох років за грубе або систематичне порушення порядку користування цим правом.</w:t>
      </w:r>
    </w:p>
    <w:p w14:paraId="00000025" w14:textId="77777777" w:rsidR="00747C18" w:rsidRDefault="00747C18" w:rsidP="00D77B05">
      <w:pPr>
        <w:spacing w:before="5" w:after="5"/>
        <w:jc w:val="both"/>
        <w:rPr>
          <w:rFonts w:ascii="Times New Roman" w:eastAsia="Times New Roman" w:hAnsi="Times New Roman" w:cs="Times New Roman"/>
          <w:sz w:val="28"/>
          <w:szCs w:val="28"/>
        </w:rPr>
      </w:pPr>
    </w:p>
    <w:p w14:paraId="00000026"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на користування цивільною зброєю та набоями застосовується на строк до трьох років за порушення порядку користування цим правом або на строк від трьох до десяти років за систематичне (три та більше разів протягом року) порушення порядку користування цим правом.</w:t>
      </w:r>
    </w:p>
    <w:p w14:paraId="00000027" w14:textId="77777777" w:rsidR="00747C18" w:rsidRDefault="00747C18" w:rsidP="00D77B05">
      <w:pPr>
        <w:spacing w:before="5" w:after="5"/>
        <w:jc w:val="both"/>
        <w:rPr>
          <w:rFonts w:ascii="Times New Roman" w:eastAsia="Times New Roman" w:hAnsi="Times New Roman" w:cs="Times New Roman"/>
          <w:sz w:val="28"/>
          <w:szCs w:val="28"/>
        </w:rPr>
      </w:pPr>
    </w:p>
    <w:p w14:paraId="00000028"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або на строк до десяти років за систематичне порушення порядку користування цим правом.</w:t>
      </w:r>
    </w:p>
    <w:p w14:paraId="00000029" w14:textId="77777777" w:rsidR="00747C18" w:rsidRDefault="00747C18" w:rsidP="00D77B05">
      <w:pPr>
        <w:spacing w:before="5" w:after="5"/>
        <w:jc w:val="both"/>
        <w:rPr>
          <w:rFonts w:ascii="Times New Roman" w:eastAsia="Times New Roman" w:hAnsi="Times New Roman" w:cs="Times New Roman"/>
          <w:sz w:val="28"/>
          <w:szCs w:val="28"/>
        </w:rPr>
      </w:pPr>
    </w:p>
    <w:p w14:paraId="0000002A"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0000002B" w14:textId="77777777" w:rsidR="00747C18" w:rsidRDefault="00747C18" w:rsidP="00D77B05">
      <w:pPr>
        <w:spacing w:before="5" w:after="5"/>
        <w:jc w:val="both"/>
        <w:rPr>
          <w:rFonts w:ascii="Times New Roman" w:eastAsia="Times New Roman" w:hAnsi="Times New Roman" w:cs="Times New Roman"/>
          <w:sz w:val="28"/>
          <w:szCs w:val="28"/>
        </w:rPr>
      </w:pPr>
    </w:p>
    <w:p w14:paraId="0000002C"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на строк від шести місяців до одного року, незалежно від того, чи передбачене воно в санкції статті (санкції частини статті) Особливої частини цього Кодексу, коли з урахуванням характеру адміністративного правопорушення, вчиненого за посадою, особи, яка вчинила адміністративне правопорушення, та інших обставин справи суд визнає за неможливе збереження за нею права обіймати певні посади або займатися певною діяльністю.</w:t>
      </w:r>
    </w:p>
    <w:p w14:paraId="0000002D" w14:textId="77777777" w:rsidR="00747C18" w:rsidRDefault="00747C18" w:rsidP="00D77B05">
      <w:pPr>
        <w:spacing w:before="5" w:after="5"/>
        <w:jc w:val="both"/>
        <w:rPr>
          <w:rFonts w:ascii="Times New Roman" w:eastAsia="Times New Roman" w:hAnsi="Times New Roman" w:cs="Times New Roman"/>
          <w:sz w:val="28"/>
          <w:szCs w:val="28"/>
        </w:rPr>
      </w:pPr>
    </w:p>
    <w:p w14:paraId="0000002E"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строком на один рік, коли його спеціально передбачено в санкції статті (санкції частини статті) Особливої частини цього Кодексу.”;</w:t>
      </w:r>
    </w:p>
    <w:p w14:paraId="0000002F" w14:textId="77777777" w:rsidR="00747C18" w:rsidRDefault="00747C18" w:rsidP="00D77B05">
      <w:pPr>
        <w:spacing w:before="5" w:after="5"/>
        <w:jc w:val="both"/>
        <w:rPr>
          <w:rFonts w:ascii="Times New Roman" w:eastAsia="Times New Roman" w:hAnsi="Times New Roman" w:cs="Times New Roman"/>
          <w:sz w:val="28"/>
          <w:szCs w:val="28"/>
        </w:rPr>
      </w:pPr>
    </w:p>
    <w:p w14:paraId="00000030" w14:textId="77777777"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 статтю 190 викласти в наступній редакції:</w:t>
      </w:r>
    </w:p>
    <w:p w14:paraId="00000031" w14:textId="77777777"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190. Порушення громадянами порядку придбання, зберігання, передачі іншим особам або продажу цивільної зброї</w:t>
      </w:r>
    </w:p>
    <w:p w14:paraId="00000032" w14:textId="77777777" w:rsidR="00747C18" w:rsidRDefault="00747C18" w:rsidP="00D77B05">
      <w:pPr>
        <w:spacing w:before="5" w:after="5"/>
        <w:jc w:val="both"/>
        <w:rPr>
          <w:rFonts w:ascii="Times New Roman" w:eastAsia="Times New Roman" w:hAnsi="Times New Roman" w:cs="Times New Roman"/>
          <w:sz w:val="28"/>
          <w:szCs w:val="28"/>
        </w:rPr>
      </w:pPr>
    </w:p>
    <w:p w14:paraId="00000033"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Придбання, зберігання, передача іншим особам або продаж громадянами цивільної зброї категорії B без відповідного документа дозвільного характеру, виданого уповноваженим державним органом, –</w:t>
      </w:r>
    </w:p>
    <w:p w14:paraId="00000034" w14:textId="77777777" w:rsidR="00747C18" w:rsidRDefault="00747C18" w:rsidP="00D77B05">
      <w:pPr>
        <w:spacing w:before="5" w:after="5"/>
        <w:jc w:val="both"/>
        <w:rPr>
          <w:rFonts w:ascii="Times New Roman" w:eastAsia="Times New Roman" w:hAnsi="Times New Roman" w:cs="Times New Roman"/>
          <w:sz w:val="28"/>
          <w:szCs w:val="28"/>
        </w:rPr>
      </w:pPr>
    </w:p>
    <w:p w14:paraId="00000035"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семидесяти до ста неоподатковуваних мінімумів доходів громадян з конфіскацією зброї або без такої.</w:t>
      </w:r>
    </w:p>
    <w:p w14:paraId="00000036" w14:textId="77777777" w:rsidR="00747C18" w:rsidRDefault="00747C18" w:rsidP="00D77B05">
      <w:pPr>
        <w:spacing w:before="5" w:after="5"/>
        <w:jc w:val="both"/>
        <w:rPr>
          <w:rFonts w:ascii="Times New Roman" w:eastAsia="Times New Roman" w:hAnsi="Times New Roman" w:cs="Times New Roman"/>
          <w:sz w:val="28"/>
          <w:szCs w:val="28"/>
        </w:rPr>
      </w:pPr>
    </w:p>
    <w:p w14:paraId="00000037"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38" w14:textId="77777777" w:rsidR="00747C18" w:rsidRDefault="00747C18" w:rsidP="00D77B05">
      <w:pPr>
        <w:spacing w:before="5" w:after="5"/>
        <w:jc w:val="both"/>
        <w:rPr>
          <w:rFonts w:ascii="Times New Roman" w:eastAsia="Times New Roman" w:hAnsi="Times New Roman" w:cs="Times New Roman"/>
          <w:sz w:val="28"/>
          <w:szCs w:val="28"/>
        </w:rPr>
      </w:pPr>
    </w:p>
    <w:p w14:paraId="00000039"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ста п’ятдесяти до двохсот неоподатковуваних мінімумів доходів громадян з конфіскацією зброї та позбавленням права на володіння цивільною зброєю та набоями на строк до одного року.”;</w:t>
      </w:r>
    </w:p>
    <w:p w14:paraId="0000003A" w14:textId="77777777" w:rsidR="00747C18" w:rsidRDefault="00747C18" w:rsidP="00D77B05">
      <w:pPr>
        <w:spacing w:before="5" w:after="5"/>
        <w:jc w:val="both"/>
        <w:rPr>
          <w:rFonts w:ascii="Times New Roman" w:eastAsia="Times New Roman" w:hAnsi="Times New Roman" w:cs="Times New Roman"/>
          <w:sz w:val="28"/>
          <w:szCs w:val="28"/>
        </w:rPr>
      </w:pPr>
    </w:p>
    <w:p w14:paraId="0000003B" w14:textId="1A8D6299"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5) статтю 191 викласти в наступній редакції:</w:t>
      </w:r>
    </w:p>
    <w:p w14:paraId="3D0C349D" w14:textId="77777777" w:rsidR="0050492E" w:rsidRDefault="0050492E" w:rsidP="00D77B05">
      <w:pPr>
        <w:spacing w:before="5" w:after="5"/>
        <w:jc w:val="both"/>
        <w:rPr>
          <w:rFonts w:ascii="Times New Roman" w:eastAsia="Times New Roman" w:hAnsi="Times New Roman" w:cs="Times New Roman"/>
          <w:sz w:val="28"/>
          <w:szCs w:val="28"/>
        </w:rPr>
      </w:pPr>
    </w:p>
    <w:p w14:paraId="0000003C" w14:textId="77777777"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191. Порушення громадянами правил зберігання або транспортування цивільної зброї і набоїв</w:t>
      </w:r>
    </w:p>
    <w:p w14:paraId="0000003D"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правил зберігання або транспортування цивільної зброї і набоїв громадянами, які мають відповідний документ дозвільного характеру, виданий уповноваженим державним органом, –</w:t>
      </w:r>
    </w:p>
    <w:p w14:paraId="0000003E" w14:textId="77777777" w:rsidR="00747C18" w:rsidRDefault="00747C18" w:rsidP="00D77B05">
      <w:pPr>
        <w:spacing w:before="5" w:after="5"/>
        <w:jc w:val="both"/>
        <w:rPr>
          <w:rFonts w:ascii="Times New Roman" w:eastAsia="Times New Roman" w:hAnsi="Times New Roman" w:cs="Times New Roman"/>
          <w:sz w:val="28"/>
          <w:szCs w:val="28"/>
        </w:rPr>
      </w:pPr>
    </w:p>
    <w:p w14:paraId="0000003F"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накладення штрафу від семидесяти до ста неоподатковуваних мінімумів доходів громадян.</w:t>
      </w:r>
    </w:p>
    <w:p w14:paraId="00000040" w14:textId="77777777" w:rsidR="00747C18" w:rsidRDefault="00747C18" w:rsidP="00D77B05">
      <w:pPr>
        <w:spacing w:before="5" w:after="5"/>
        <w:jc w:val="both"/>
        <w:rPr>
          <w:rFonts w:ascii="Times New Roman" w:eastAsia="Times New Roman" w:hAnsi="Times New Roman" w:cs="Times New Roman"/>
          <w:sz w:val="28"/>
          <w:szCs w:val="28"/>
        </w:rPr>
      </w:pPr>
    </w:p>
    <w:p w14:paraId="00000041"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42" w14:textId="77777777" w:rsidR="00747C18" w:rsidRDefault="00747C18" w:rsidP="00D77B05">
      <w:pPr>
        <w:spacing w:before="5" w:after="5"/>
        <w:jc w:val="both"/>
        <w:rPr>
          <w:rFonts w:ascii="Times New Roman" w:eastAsia="Times New Roman" w:hAnsi="Times New Roman" w:cs="Times New Roman"/>
          <w:sz w:val="28"/>
          <w:szCs w:val="28"/>
        </w:rPr>
      </w:pPr>
    </w:p>
    <w:p w14:paraId="00000043"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ста п’ятдесяти до двохсот неоподатковуваних мінімумів доходів громадян та/або оплатне вилучення зброї та/або набоїв, які зберігалися або транспортувалися із порушенням встановлених правил.</w:t>
      </w:r>
    </w:p>
    <w:p w14:paraId="00000044" w14:textId="77777777" w:rsidR="00747C18" w:rsidRDefault="00747C18" w:rsidP="00D77B05">
      <w:pPr>
        <w:spacing w:before="5" w:after="5"/>
        <w:jc w:val="both"/>
        <w:rPr>
          <w:rFonts w:ascii="Times New Roman" w:eastAsia="Times New Roman" w:hAnsi="Times New Roman" w:cs="Times New Roman"/>
          <w:sz w:val="28"/>
          <w:szCs w:val="28"/>
        </w:rPr>
      </w:pPr>
    </w:p>
    <w:p w14:paraId="00000045"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Втрата цивільної зброї з вини власника, –</w:t>
      </w:r>
    </w:p>
    <w:p w14:paraId="00000046" w14:textId="77777777" w:rsidR="00747C18" w:rsidRDefault="00747C18" w:rsidP="00D77B05">
      <w:pPr>
        <w:spacing w:before="5" w:after="5"/>
        <w:jc w:val="both"/>
        <w:rPr>
          <w:rFonts w:ascii="Times New Roman" w:eastAsia="Times New Roman" w:hAnsi="Times New Roman" w:cs="Times New Roman"/>
          <w:sz w:val="28"/>
          <w:szCs w:val="28"/>
        </w:rPr>
      </w:pPr>
    </w:p>
    <w:p w14:paraId="00000047"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тягне за собою накладення штрафу від ста до двохсот неоподатковуваних мінімумів доходів громадян.</w:t>
      </w:r>
    </w:p>
    <w:p w14:paraId="00000048" w14:textId="77777777" w:rsidR="00747C18" w:rsidRDefault="00747C18" w:rsidP="00D77B05">
      <w:pPr>
        <w:spacing w:before="5" w:after="5"/>
        <w:jc w:val="both"/>
        <w:rPr>
          <w:rFonts w:ascii="Times New Roman" w:eastAsia="Times New Roman" w:hAnsi="Times New Roman" w:cs="Times New Roman"/>
          <w:sz w:val="28"/>
          <w:szCs w:val="28"/>
        </w:rPr>
      </w:pPr>
    </w:p>
    <w:p w14:paraId="00000049"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Повторна, протягом року, втрата цивільної зброї з вини власника –</w:t>
      </w:r>
    </w:p>
    <w:p w14:paraId="0000004A" w14:textId="77777777" w:rsidR="00747C18" w:rsidRDefault="00747C18" w:rsidP="00D77B05">
      <w:pPr>
        <w:spacing w:before="5" w:after="5"/>
        <w:jc w:val="both"/>
        <w:rPr>
          <w:rFonts w:ascii="Times New Roman" w:eastAsia="Times New Roman" w:hAnsi="Times New Roman" w:cs="Times New Roman"/>
          <w:sz w:val="28"/>
          <w:szCs w:val="28"/>
        </w:rPr>
      </w:pPr>
    </w:p>
    <w:p w14:paraId="0000004B"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накладення штрафу від двохсот п’ятидесяти до п’ятисот неоподатковуваних мінімумів доходів громадян.”;</w:t>
      </w:r>
    </w:p>
    <w:p w14:paraId="0000004C" w14:textId="77777777" w:rsidR="00747C18" w:rsidRDefault="00747C18" w:rsidP="00D77B05">
      <w:pPr>
        <w:spacing w:before="5" w:after="5"/>
        <w:jc w:val="both"/>
        <w:rPr>
          <w:rFonts w:ascii="Times New Roman" w:eastAsia="Times New Roman" w:hAnsi="Times New Roman" w:cs="Times New Roman"/>
          <w:sz w:val="28"/>
          <w:szCs w:val="28"/>
        </w:rPr>
      </w:pPr>
    </w:p>
    <w:p w14:paraId="7A6B3535" w14:textId="7DE52BEF" w:rsidR="0050492E"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статтю 192 викласти в наступній редакції:</w:t>
      </w:r>
    </w:p>
    <w:p w14:paraId="0000004E" w14:textId="1B926C0F"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“Стаття 192. Порушення строків повідомлення про зміну місця постійного зберігання цивільної зброї</w:t>
      </w:r>
    </w:p>
    <w:p w14:paraId="0000004F"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встановлених строків повідомлення про зміну місця постійного зберігання цивільної зброї –</w:t>
      </w:r>
    </w:p>
    <w:p w14:paraId="00000050" w14:textId="77777777" w:rsidR="00747C18" w:rsidRDefault="00747C18" w:rsidP="00D77B05">
      <w:pPr>
        <w:spacing w:before="5" w:after="5"/>
        <w:jc w:val="both"/>
        <w:rPr>
          <w:rFonts w:ascii="Times New Roman" w:eastAsia="Times New Roman" w:hAnsi="Times New Roman" w:cs="Times New Roman"/>
          <w:sz w:val="28"/>
          <w:szCs w:val="28"/>
        </w:rPr>
      </w:pPr>
    </w:p>
    <w:p w14:paraId="00000051"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попередження або накладення штрафу від десяти до п’ятидесяти неоподатковуваних мінімумів доходів громадян.</w:t>
      </w:r>
    </w:p>
    <w:p w14:paraId="00000052" w14:textId="77777777" w:rsidR="00747C18" w:rsidRDefault="00747C18" w:rsidP="00D77B05">
      <w:pPr>
        <w:spacing w:before="5" w:after="5"/>
        <w:jc w:val="both"/>
        <w:rPr>
          <w:rFonts w:ascii="Times New Roman" w:eastAsia="Times New Roman" w:hAnsi="Times New Roman" w:cs="Times New Roman"/>
          <w:sz w:val="28"/>
          <w:szCs w:val="28"/>
        </w:rPr>
      </w:pPr>
    </w:p>
    <w:p w14:paraId="00000053"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54" w14:textId="77777777" w:rsidR="00747C18" w:rsidRDefault="00747C18" w:rsidP="00D77B05">
      <w:pPr>
        <w:spacing w:before="5" w:after="5"/>
        <w:jc w:val="both"/>
        <w:rPr>
          <w:rFonts w:ascii="Times New Roman" w:eastAsia="Times New Roman" w:hAnsi="Times New Roman" w:cs="Times New Roman"/>
          <w:sz w:val="28"/>
          <w:szCs w:val="28"/>
        </w:rPr>
      </w:pPr>
    </w:p>
    <w:p w14:paraId="00000055"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п’ятидесяти до ста неоподатковуваних мінімумів доходів громадян.”;</w:t>
      </w:r>
    </w:p>
    <w:p w14:paraId="00000056" w14:textId="77777777" w:rsidR="00747C18" w:rsidRDefault="00747C18" w:rsidP="00D77B05">
      <w:pPr>
        <w:spacing w:before="5" w:after="5"/>
        <w:jc w:val="both"/>
        <w:rPr>
          <w:rFonts w:ascii="Times New Roman" w:eastAsia="Times New Roman" w:hAnsi="Times New Roman" w:cs="Times New Roman"/>
          <w:sz w:val="28"/>
          <w:szCs w:val="28"/>
        </w:rPr>
      </w:pPr>
    </w:p>
    <w:p w14:paraId="00000057" w14:textId="5BD36F6D"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статтю 193 викласти в наступній редакції:</w:t>
      </w:r>
    </w:p>
    <w:p w14:paraId="59668F53" w14:textId="77777777" w:rsidR="0050492E" w:rsidRDefault="0050492E" w:rsidP="00D77B05">
      <w:pPr>
        <w:widowControl w:val="0"/>
        <w:spacing w:before="5" w:after="5"/>
        <w:ind w:right="-6" w:firstLine="720"/>
        <w:jc w:val="both"/>
        <w:rPr>
          <w:rFonts w:ascii="Times New Roman" w:eastAsia="Times New Roman" w:hAnsi="Times New Roman" w:cs="Times New Roman"/>
          <w:sz w:val="28"/>
          <w:szCs w:val="28"/>
        </w:rPr>
      </w:pPr>
    </w:p>
    <w:p w14:paraId="00000058" w14:textId="291BE723" w:rsidR="00747C18" w:rsidRDefault="0050492E" w:rsidP="00D77B05">
      <w:pPr>
        <w:widowControl w:val="0"/>
        <w:spacing w:before="5" w:after="5"/>
        <w:ind w:right="-6" w:firstLine="720"/>
        <w:jc w:val="both"/>
        <w:rPr>
          <w:rFonts w:ascii="Times New Roman" w:eastAsia="Times New Roman" w:hAnsi="Times New Roman" w:cs="Times New Roman"/>
          <w:sz w:val="28"/>
          <w:szCs w:val="28"/>
        </w:rPr>
      </w:pPr>
      <w:r w:rsidRPr="00894CE7">
        <w:rPr>
          <w:rFonts w:ascii="Times New Roman" w:eastAsia="Times New Roman" w:hAnsi="Times New Roman" w:cs="Times New Roman"/>
          <w:sz w:val="28"/>
          <w:szCs w:val="28"/>
        </w:rPr>
        <w:t>“</w:t>
      </w:r>
      <w:r w:rsidR="002A23C8">
        <w:rPr>
          <w:rFonts w:ascii="Times New Roman" w:eastAsia="Times New Roman" w:hAnsi="Times New Roman" w:cs="Times New Roman"/>
          <w:sz w:val="28"/>
          <w:szCs w:val="28"/>
        </w:rPr>
        <w:t>Стаття 193. Ухилення від реалізації цивільної зброї і набоїв</w:t>
      </w:r>
    </w:p>
    <w:p w14:paraId="00000059"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Ухилення від реалізації цивільної зброї і набоїв громадянами після припинення дії документу дозвільного характеру, –</w:t>
      </w:r>
    </w:p>
    <w:p w14:paraId="0000005A" w14:textId="77777777" w:rsidR="00747C18" w:rsidRDefault="00747C18" w:rsidP="00D77B05">
      <w:pPr>
        <w:spacing w:before="5" w:after="5"/>
        <w:jc w:val="both"/>
        <w:rPr>
          <w:rFonts w:ascii="Times New Roman" w:eastAsia="Times New Roman" w:hAnsi="Times New Roman" w:cs="Times New Roman"/>
          <w:sz w:val="28"/>
          <w:szCs w:val="28"/>
        </w:rPr>
      </w:pPr>
    </w:p>
    <w:p w14:paraId="0000005B"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накладення штрафу від п’ятдесяти до сімдесяти неоподатковуваних мінімумів доходів громадян з оплатним вилученням (за ринковою ціною) зброї і набоїв.”;</w:t>
      </w:r>
    </w:p>
    <w:p w14:paraId="0000005C" w14:textId="04E7F59B"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Pr>
          <w:rFonts w:ascii="Times New Roman" w:eastAsia="Times New Roman" w:hAnsi="Times New Roman" w:cs="Times New Roman"/>
          <w:sz w:val="28"/>
          <w:szCs w:val="28"/>
        </w:rPr>
        <w:tab/>
        <w:t>8)</w:t>
      </w:r>
      <w:r w:rsidR="0050492E" w:rsidRPr="0050492E">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rPr>
        <w:t>статтю 194 викласти в наступній редакції:</w:t>
      </w:r>
    </w:p>
    <w:p w14:paraId="51C5F2C1" w14:textId="77777777" w:rsidR="0050492E" w:rsidRDefault="0050492E" w:rsidP="00D77B05">
      <w:pPr>
        <w:spacing w:before="5" w:after="5"/>
        <w:jc w:val="both"/>
        <w:rPr>
          <w:rFonts w:ascii="Times New Roman" w:eastAsia="Times New Roman" w:hAnsi="Times New Roman" w:cs="Times New Roman"/>
          <w:sz w:val="28"/>
          <w:szCs w:val="28"/>
        </w:rPr>
      </w:pPr>
    </w:p>
    <w:p w14:paraId="0000005D" w14:textId="31628603" w:rsidR="00747C18" w:rsidRDefault="0050492E" w:rsidP="00D77B05">
      <w:pPr>
        <w:widowControl w:val="0"/>
        <w:spacing w:before="5" w:after="5"/>
        <w:ind w:right="-6" w:firstLine="720"/>
        <w:jc w:val="both"/>
        <w:rPr>
          <w:rFonts w:ascii="Times New Roman" w:eastAsia="Times New Roman" w:hAnsi="Times New Roman" w:cs="Times New Roman"/>
          <w:sz w:val="28"/>
          <w:szCs w:val="28"/>
        </w:rPr>
      </w:pPr>
      <w:r w:rsidRPr="00894CE7">
        <w:rPr>
          <w:rFonts w:ascii="Times New Roman" w:eastAsia="Times New Roman" w:hAnsi="Times New Roman" w:cs="Times New Roman"/>
          <w:sz w:val="28"/>
          <w:szCs w:val="28"/>
          <w:lang w:val="ru-RU"/>
        </w:rPr>
        <w:t>“</w:t>
      </w:r>
      <w:r w:rsidR="002A23C8">
        <w:rPr>
          <w:rFonts w:ascii="Times New Roman" w:eastAsia="Times New Roman" w:hAnsi="Times New Roman" w:cs="Times New Roman"/>
          <w:sz w:val="28"/>
          <w:szCs w:val="28"/>
        </w:rPr>
        <w:t>Стаття 194. Порушення працівниками торговельних підприємств (організацій) порядку продажу цивільної зброї і набоїв</w:t>
      </w:r>
    </w:p>
    <w:p w14:paraId="0000005E" w14:textId="77777777" w:rsidR="00747C18" w:rsidRDefault="00747C18" w:rsidP="00D77B05">
      <w:pPr>
        <w:spacing w:before="5" w:after="5"/>
        <w:jc w:val="both"/>
        <w:rPr>
          <w:rFonts w:ascii="Times New Roman" w:eastAsia="Times New Roman" w:hAnsi="Times New Roman" w:cs="Times New Roman"/>
          <w:sz w:val="28"/>
          <w:szCs w:val="28"/>
        </w:rPr>
      </w:pPr>
    </w:p>
    <w:p w14:paraId="0000005F"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Продаж працівниками торговельних підприємств (організацій) цивільної зброї і набоїв підприємствам, установам, організаціям та громадянам, які не мають відповідного документа дозвільного характеру, виданого уповноваженим державним органом, –</w:t>
      </w:r>
    </w:p>
    <w:p w14:paraId="00000060" w14:textId="77777777" w:rsidR="00747C18" w:rsidRDefault="00747C18" w:rsidP="00D77B05">
      <w:pPr>
        <w:spacing w:before="5" w:after="5"/>
        <w:jc w:val="both"/>
        <w:rPr>
          <w:rFonts w:ascii="Times New Roman" w:eastAsia="Times New Roman" w:hAnsi="Times New Roman" w:cs="Times New Roman"/>
          <w:sz w:val="28"/>
          <w:szCs w:val="28"/>
        </w:rPr>
      </w:pPr>
    </w:p>
    <w:p w14:paraId="00000061"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тягне за собою накладення штрафу від тисячі до тисячі п’ятсот неоподатковуваних мінімумів доходів громадян.</w:t>
      </w:r>
    </w:p>
    <w:p w14:paraId="00000062" w14:textId="77777777" w:rsidR="00747C18" w:rsidRDefault="00747C18" w:rsidP="00D77B05">
      <w:pPr>
        <w:spacing w:before="5" w:after="5"/>
        <w:jc w:val="both"/>
        <w:rPr>
          <w:rFonts w:ascii="Times New Roman" w:eastAsia="Times New Roman" w:hAnsi="Times New Roman" w:cs="Times New Roman"/>
          <w:sz w:val="28"/>
          <w:szCs w:val="28"/>
        </w:rPr>
      </w:pPr>
    </w:p>
    <w:p w14:paraId="00000063"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00000064" w14:textId="77777777" w:rsidR="00747C18" w:rsidRDefault="00747C18" w:rsidP="00D77B05">
      <w:pPr>
        <w:spacing w:before="5" w:after="5"/>
        <w:jc w:val="both"/>
        <w:rPr>
          <w:rFonts w:ascii="Times New Roman" w:eastAsia="Times New Roman" w:hAnsi="Times New Roman" w:cs="Times New Roman"/>
          <w:sz w:val="28"/>
          <w:szCs w:val="28"/>
        </w:rPr>
      </w:pPr>
    </w:p>
    <w:p w14:paraId="00000065"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двох тисяч до п’яти тисяч неоподатковуваних мінімумів доходів громадян.”;</w:t>
      </w:r>
    </w:p>
    <w:p w14:paraId="00000066" w14:textId="77777777" w:rsidR="00747C18" w:rsidRDefault="00747C18" w:rsidP="00D77B05">
      <w:pPr>
        <w:spacing w:before="5" w:after="5"/>
        <w:jc w:val="both"/>
        <w:rPr>
          <w:rFonts w:ascii="Times New Roman" w:eastAsia="Times New Roman" w:hAnsi="Times New Roman" w:cs="Times New Roman"/>
          <w:sz w:val="28"/>
          <w:szCs w:val="28"/>
        </w:rPr>
      </w:pPr>
    </w:p>
    <w:p w14:paraId="00000067" w14:textId="77777777"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статтю 195 викласти в наступній редакції:</w:t>
      </w:r>
    </w:p>
    <w:p w14:paraId="00000068" w14:textId="77777777"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195. Порушення працівниками підприємств, установ, організацій правил зберігання або транспортування цивільної зброї і набоїв</w:t>
      </w:r>
    </w:p>
    <w:p w14:paraId="00000069"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правил зберігання або перевезення цивільної зброї і набоїв працівниками підприємств, установ, організацій, відповідальними за їх охорону, а так само використання ними зазначеної зброї і набоїв не за призначенням –</w:t>
      </w:r>
    </w:p>
    <w:p w14:paraId="0000006A" w14:textId="77777777" w:rsidR="00747C18" w:rsidRDefault="00747C18" w:rsidP="00D77B05">
      <w:pPr>
        <w:spacing w:before="5" w:after="5"/>
        <w:jc w:val="both"/>
        <w:rPr>
          <w:rFonts w:ascii="Times New Roman" w:eastAsia="Times New Roman" w:hAnsi="Times New Roman" w:cs="Times New Roman"/>
          <w:sz w:val="28"/>
          <w:szCs w:val="28"/>
        </w:rPr>
      </w:pPr>
    </w:p>
    <w:p w14:paraId="0000006B"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тисячі до тисячі п’ятсот неоподатковуваних мінімумів доходів громадян.</w:t>
      </w:r>
    </w:p>
    <w:p w14:paraId="0000006C" w14:textId="77777777" w:rsidR="00747C18" w:rsidRDefault="00747C18" w:rsidP="00D77B05">
      <w:pPr>
        <w:spacing w:before="5" w:after="5"/>
        <w:jc w:val="both"/>
        <w:rPr>
          <w:rFonts w:ascii="Times New Roman" w:eastAsia="Times New Roman" w:hAnsi="Times New Roman" w:cs="Times New Roman"/>
          <w:sz w:val="28"/>
          <w:szCs w:val="28"/>
        </w:rPr>
      </w:pPr>
    </w:p>
    <w:p w14:paraId="0000006D" w14:textId="77777777" w:rsidR="00747C18" w:rsidRDefault="002A23C8" w:rsidP="00D77B05">
      <w:pPr>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6E" w14:textId="77777777" w:rsidR="00747C18" w:rsidRDefault="00747C18" w:rsidP="00D77B05">
      <w:pPr>
        <w:spacing w:before="5" w:after="5"/>
        <w:jc w:val="both"/>
        <w:rPr>
          <w:rFonts w:ascii="Times New Roman" w:eastAsia="Times New Roman" w:hAnsi="Times New Roman" w:cs="Times New Roman"/>
          <w:sz w:val="28"/>
          <w:szCs w:val="28"/>
        </w:rPr>
      </w:pPr>
    </w:p>
    <w:p w14:paraId="0000006F" w14:textId="77777777" w:rsidR="00747C18" w:rsidRDefault="002A23C8" w:rsidP="00D77B05">
      <w:pPr>
        <w:spacing w:before="5" w:after="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тягнуть за собою накладення штрафу від тисячі п’ятисот до трьох тисяч неоподатковуваних мінімумів доходів громадян.”;</w:t>
      </w:r>
    </w:p>
    <w:p w14:paraId="00000070" w14:textId="77777777" w:rsidR="00747C18" w:rsidRDefault="00747C18" w:rsidP="00D77B05">
      <w:pPr>
        <w:spacing w:before="5" w:after="5"/>
        <w:jc w:val="center"/>
        <w:rPr>
          <w:rFonts w:ascii="Times New Roman" w:eastAsia="Times New Roman" w:hAnsi="Times New Roman" w:cs="Times New Roman"/>
          <w:sz w:val="28"/>
          <w:szCs w:val="28"/>
        </w:rPr>
      </w:pPr>
    </w:p>
    <w:p w14:paraId="63154AF8" w14:textId="42EA0A20" w:rsidR="0050492E"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після статті 266 додати статтю 266</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наступного змісту:</w:t>
      </w:r>
    </w:p>
    <w:p w14:paraId="00000072" w14:textId="77777777"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266</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Огляд особи, яка здійснює транспортування або носіння цивільної зброї на стан алкогольного та/або наркотичного сп’яніння (нетверезий стан)</w:t>
      </w:r>
    </w:p>
    <w:p w14:paraId="00000073" w14:textId="77777777" w:rsidR="00747C18" w:rsidRDefault="002A23C8" w:rsidP="00D77B05">
      <w:pPr>
        <w:shd w:val="clear" w:color="auto" w:fill="FFFFFF"/>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Особи, які здійснюють транспортування або носіння цивільної зброї і щодо яких є підстави вважати, що вони перебувають у стані алкогольного та/або наркотичного сп’яніння (нетверезому стані).</w:t>
      </w:r>
    </w:p>
    <w:p w14:paraId="00000074" w14:textId="77777777" w:rsidR="00747C18" w:rsidRDefault="00747C18" w:rsidP="00D77B05">
      <w:pPr>
        <w:shd w:val="clear" w:color="auto" w:fill="FFFFFF"/>
        <w:spacing w:before="5" w:after="5"/>
        <w:jc w:val="both"/>
        <w:rPr>
          <w:rFonts w:ascii="Times New Roman" w:eastAsia="Times New Roman" w:hAnsi="Times New Roman" w:cs="Times New Roman"/>
          <w:sz w:val="28"/>
          <w:szCs w:val="28"/>
        </w:rPr>
      </w:pPr>
    </w:p>
    <w:p w14:paraId="00000075" w14:textId="77777777" w:rsidR="00747C18" w:rsidRDefault="002A23C8" w:rsidP="00D77B05">
      <w:pPr>
        <w:shd w:val="clear" w:color="auto" w:fill="FFFFFF"/>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Огляд такої особи на стан алкогольного та/або наркотичного сп’яніння (нетверезий стан) проводиться в порядку передбаченому статтею 266 цього Кодексу.</w:t>
      </w:r>
    </w:p>
    <w:p w14:paraId="00000076" w14:textId="77777777" w:rsidR="00747C18" w:rsidRDefault="00747C18" w:rsidP="00D77B05">
      <w:pPr>
        <w:shd w:val="clear" w:color="auto" w:fill="FFFFFF"/>
        <w:spacing w:before="5" w:after="5"/>
        <w:jc w:val="both"/>
        <w:rPr>
          <w:rFonts w:ascii="Times New Roman" w:eastAsia="Times New Roman" w:hAnsi="Times New Roman" w:cs="Times New Roman"/>
          <w:sz w:val="28"/>
          <w:szCs w:val="28"/>
        </w:rPr>
      </w:pPr>
    </w:p>
    <w:p w14:paraId="00000077" w14:textId="77777777" w:rsidR="00747C18" w:rsidRDefault="002A23C8" w:rsidP="00D77B05">
      <w:pPr>
        <w:shd w:val="clear" w:color="auto" w:fill="FFFFFF"/>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Примітка: </w:t>
      </w:r>
    </w:p>
    <w:p w14:paraId="00000078" w14:textId="77777777" w:rsidR="00747C18" w:rsidRDefault="002A23C8" w:rsidP="00D77B05">
      <w:pPr>
        <w:shd w:val="clear" w:color="auto" w:fill="FFFFFF"/>
        <w:spacing w:before="5" w:after="5"/>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Стан алкогольного та/або наркотичного сп’яніння (нетверезий стан) - стан перебування особи під впливом дії алкоголю (вміст чистого алкоголю перевищує значення 0,45 г на літр крові або перевищує значення 0,20 мг на літр повітря, що видихає така особа) та/або під дією речовин, визначених у переліку наркотичних засобів, психотропних речовин і прекурсорів, затверджених постановою Кабінету Міністрів України.”.</w:t>
      </w:r>
    </w:p>
    <w:p w14:paraId="00000079" w14:textId="77777777" w:rsidR="00747C18" w:rsidRDefault="00747C18" w:rsidP="00D77B05">
      <w:pPr>
        <w:widowControl w:val="0"/>
        <w:spacing w:before="5" w:after="5"/>
        <w:ind w:right="-6" w:firstLine="720"/>
        <w:jc w:val="both"/>
        <w:rPr>
          <w:rFonts w:ascii="Times New Roman" w:eastAsia="Times New Roman" w:hAnsi="Times New Roman" w:cs="Times New Roman"/>
          <w:sz w:val="28"/>
          <w:szCs w:val="28"/>
        </w:rPr>
      </w:pPr>
    </w:p>
    <w:p w14:paraId="0000007A" w14:textId="1AB22FA4" w:rsidR="00747C18" w:rsidRDefault="002A23C8" w:rsidP="00D77B05">
      <w:pPr>
        <w:widowControl w:val="0"/>
        <w:tabs>
          <w:tab w:val="left" w:pos="1134"/>
        </w:tabs>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rPr>
        <w:tab/>
        <w:t>У Кримінальному Кодексі України</w:t>
      </w:r>
      <w:r w:rsidR="00894CE7">
        <w:rPr>
          <w:rFonts w:ascii="Times New Roman" w:eastAsia="Times New Roman" w:hAnsi="Times New Roman" w:cs="Times New Roman"/>
          <w:sz w:val="28"/>
          <w:szCs w:val="28"/>
        </w:rPr>
        <w:t xml:space="preserve"> (</w:t>
      </w:r>
      <w:r w:rsidR="00894CE7" w:rsidRPr="00894CE7">
        <w:rPr>
          <w:rFonts w:ascii="Times New Roman" w:eastAsia="Times New Roman" w:hAnsi="Times New Roman" w:cs="Times New Roman"/>
          <w:sz w:val="28"/>
          <w:szCs w:val="28"/>
        </w:rPr>
        <w:t>2341-III</w:t>
      </w:r>
      <w:r w:rsidR="00894CE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(Відомості Верховної Ради України, 2001 р., № 25-26, ст.131</w:t>
      </w:r>
      <w:r w:rsidR="00894CE7">
        <w:rPr>
          <w:rFonts w:ascii="Times New Roman" w:eastAsia="Times New Roman" w:hAnsi="Times New Roman" w:cs="Times New Roman"/>
          <w:sz w:val="28"/>
          <w:szCs w:val="28"/>
        </w:rPr>
        <w:t xml:space="preserve"> із подальшими змінами</w:t>
      </w:r>
      <w:r>
        <w:rPr>
          <w:rFonts w:ascii="Times New Roman" w:eastAsia="Times New Roman" w:hAnsi="Times New Roman" w:cs="Times New Roman"/>
          <w:sz w:val="28"/>
          <w:szCs w:val="28"/>
        </w:rPr>
        <w:t>):</w:t>
      </w:r>
    </w:p>
    <w:p w14:paraId="0000007B" w14:textId="556651B7" w:rsidR="00747C18" w:rsidRDefault="0050492E" w:rsidP="00D77B05">
      <w:pPr>
        <w:widowControl w:val="0"/>
        <w:tabs>
          <w:tab w:val="left" w:pos="1134"/>
        </w:tabs>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2A23C8">
        <w:rPr>
          <w:rFonts w:ascii="Times New Roman" w:eastAsia="Times New Roman" w:hAnsi="Times New Roman" w:cs="Times New Roman"/>
          <w:sz w:val="28"/>
          <w:szCs w:val="28"/>
        </w:rPr>
        <w:t>1) Статтю 36 викласти в такій редакції:</w:t>
      </w:r>
    </w:p>
    <w:p w14:paraId="0000007C" w14:textId="77777777" w:rsidR="00747C18" w:rsidRDefault="002A23C8" w:rsidP="00D77B05">
      <w:pPr>
        <w:widowControl w:val="0"/>
        <w:tabs>
          <w:tab w:val="left" w:pos="1134"/>
        </w:tabs>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“Стаття 36. Необхідна оборона</w:t>
      </w:r>
    </w:p>
    <w:p w14:paraId="0000007D"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Необхідною обороною є застосування сили та інші дії, які вчинені з метою захисту охоронюваних законом прав, свобод та/або інтересів особи, що захищається та/або інших осіб, а також суспільних інтересів та/або інтересів держави від суспільно небезпечного, протиправного посягання із застосуванням насильства, чи реальної загрози такого посягання шляхом заподіяння шкоди тому хто посягає, задля негайного відвернення чи припинення такого посягання.</w:t>
      </w:r>
    </w:p>
    <w:p w14:paraId="0000007E"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7F"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Кожна особа має право на необхідну оборону незалежно від можливості уникнути суспільно небезпечного, протиправного посягання та/або можливості звернутися за допомогою до інших осіб чи до органів влади.</w:t>
      </w:r>
    </w:p>
    <w:p w14:paraId="00000080"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81"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Якщо внаслідок сильного душевного хвилювання, яке викликане суспільно небезпечним, протиправним  посяганням, особа, яка захищалася, не могла оцінити відповідність заподіяної нею шкоди небезпечності посягання чи обстановці захисту, така особа, не підлягає кримінальній відповідальності.</w:t>
      </w:r>
    </w:p>
    <w:p w14:paraId="00000082"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83"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Не є кримінальним правопорушенням та виключає кримінальну відповідальність застосування особою будь-якої зброї чи будь-яких інших засобів, чи предметів у випадках:</w:t>
      </w:r>
    </w:p>
    <w:p w14:paraId="00000084"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захисту від нападу озброєної особи, чи негайного відвернення реальної загрози такого нападу, незалежно від мети нападу;</w:t>
      </w:r>
    </w:p>
    <w:p w14:paraId="00000085"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захисту від нападу групи (двох або більше) осіб, чи негайного відвернення реальної загрози такого нападу, незалежно від мети нападу;</w:t>
      </w:r>
    </w:p>
    <w:p w14:paraId="00000086"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для відвернення протиправного насильницького вторгнення у житло, транспортний засіб чи інше володіння особи; </w:t>
      </w:r>
    </w:p>
    <w:p w14:paraId="00000087"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захисту від нападу, чи негайного відвернення реальної загрози нападу неозброєної особи, якщо така особа має беззаперечні переваги у фізичній кондиції порівняно з особою, яка реалізує право на необхідну оборону, незалежно від мети нападу;</w:t>
      </w:r>
    </w:p>
    <w:p w14:paraId="00000088"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захисту від насильницького задоволення статевої пристрасті у будь-яких формах чи проявах, чи для негайного відвернення загрози такого насильства;</w:t>
      </w:r>
    </w:p>
    <w:p w14:paraId="00000089"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захисту від особи, яку виявлено на місці злочину під час вчинення тяжкого чи особливо тяжкого злочину та яка із застосуванням сили чи з погрозою її застосування намагається втекти з місця скоєння злочину або перешкоджає поверненню майна, яким протиправно заволоділа;</w:t>
      </w:r>
    </w:p>
    <w:p w14:paraId="0000008A"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відвернення спроби протиправного заволодіння вогнепальною зброєю, яка законно перебуває у власності особи, незалежно від тяжкості шкоди, яку заподіяно тому, хто посягає.</w:t>
      </w:r>
    </w:p>
    <w:p w14:paraId="0000008B"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8C"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Примітки: </w:t>
      </w:r>
    </w:p>
    <w:p w14:paraId="0000008D"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8E"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 охоронюваними законом правами, свободами та/або інтересами особи, що захищається та/або інших осіб, а також суспільними інтересами та/або інтересами держави в цій статті визнаються особисті майнові, немайнові та інші права, свободи та інтереси, які гарантовані або закріплені в Конституції України, інших законах України та міжнародних договорах, які ратифіковані Верховною Радою України або набули чинності в Україні в інший, передбачений ними, спосіб. </w:t>
      </w:r>
    </w:p>
    <w:p w14:paraId="0000008F"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90"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 протиправним посяганням в цій статті визнаються будь-які протиправні дії певної особи (осіб), які мають місце в дійсності і часі, які  спрямовані на завдання шкоди (чи завдають шкоду) охоронюваним законом правам, свободам та інтересам особи, а також - суспільним чи державним інтересам та які не припинилися на момент реалізації права на необхідну оборону.</w:t>
      </w:r>
    </w:p>
    <w:p w14:paraId="00000091"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92"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 реальною загрозою в цій статті визнаються обставини, сукупність яких дозволяє особі, яка захищається, зробити висновок про необхідність реалізації права на необхідну оборону. Такими обставинами зокрема, але не виключно, можуть бути: події, очевидцем яких є особа, яка захищається; поведінка нападника та інтенсивність і характер його дій, спрямованість умислу як по відношенню до особи, що захищається, так і по відношенню до третіх осіб тощо.</w:t>
      </w:r>
    </w:p>
    <w:p w14:paraId="00000093"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94"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Сильним душевним хвилюванням (фізіологічним афектом) є раптовий емоційний процес, викликаний поведінкою особи, що посягає, який протікає швидко і бурхливо, та певною мірою знижує здатність особи усвідомлювати свої дії і керувати ними. Наявність такого стану в момент реалізації права на необхідну оборону має визначатися шляхом проведення відповідної експертизи.</w:t>
      </w:r>
    </w:p>
    <w:p w14:paraId="00000095"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96"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 нападом визнаються активні протиправні дії правопорушника, які спрямовані проти особи, що захищається та/або проти інших осіб, внаслідок яких особа, що захищається та/або інші особи можуть втратити життя, </w:t>
      </w:r>
      <w:r>
        <w:rPr>
          <w:rFonts w:ascii="Times New Roman" w:eastAsia="Times New Roman" w:hAnsi="Times New Roman" w:cs="Times New Roman"/>
          <w:sz w:val="28"/>
          <w:szCs w:val="28"/>
        </w:rPr>
        <w:lastRenderedPageBreak/>
        <w:t>здоров'я, свободу та/або майно, що є їх власністю чи яке належить їм на відповідній правовій підставі.</w:t>
      </w:r>
    </w:p>
    <w:p w14:paraId="00000097"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98"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Озброєною визнається особа, яка вчиняє протиправне посягання із застосуванням будь-якого технічного пристрою чи будь-якого іншого предмету, що за своїми властивостями здатен завдати шкоди життю та/або здоров’ю хоча б однієї особи.</w:t>
      </w:r>
    </w:p>
    <w:p w14:paraId="00000099"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9A"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Беззаперечними перевагами у фізичній кондиції визнаються: фізичний стан нападника, рівень його вмінь та навичок та/або стан жертви (вік, стать, фізичний стан тощо), які обумовлюють безпорадність жертви у протистоянні з нападником голіруч.</w:t>
      </w:r>
    </w:p>
    <w:p w14:paraId="0000009B"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9C"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Житлом у цій статті визнається в цілому житловий будинок, квартира, інше жиле приміщення, призначене та придатне для постійного або тимчасового проживання в них на законних підставах. </w:t>
      </w:r>
    </w:p>
    <w:p w14:paraId="0000009D"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9E"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Садибою в цій статті визнається приватне домоволодіння особи – житловий будинок з прилеглою земельною ділянкою та будь-якими нежитловими спорудами на цій ділянці, однак лише за умови, що:</w:t>
      </w:r>
    </w:p>
    <w:p w14:paraId="0000009F"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доступ на відповідну земельну ділянку фізично обмежений таким чином, що виключає ненавмисний чи випадковий доступ сторонніх осіб на неї та сама земельна ділянка знаходиться у власності чи користуванні тощо у передбачений законом спосіб, що підтверджується відповідними документами;</w:t>
      </w:r>
    </w:p>
    <w:p w14:paraId="000000A0" w14:textId="77777777" w:rsidR="00747C18" w:rsidRDefault="002A23C8" w:rsidP="00D77B05">
      <w:pPr>
        <w:spacing w:before="5" w:after="5"/>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периметр зовнішніх меж садиби має позначки, які наочно та зрозуміло попереджають про заборону стороннім особам знаходитися в межах садиби.</w:t>
      </w:r>
    </w:p>
    <w:p w14:paraId="000000A1"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A2"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 іншим володінням особи розуміються нерухомі (зокрема, але не виключно - садиба) чи рухомі речі (включаючи будь-який транспортний засіб), які належать особі, яка захищається, на будь-якому правовому титулі і які можуть використовуватися нею для задоволення необмеженого кола потреб, а також місце, транспортний засіб або територія, де особа, яка захищається, знаходиться правомірно та має право знаходитися.</w:t>
      </w:r>
    </w:p>
    <w:p w14:paraId="000000A3"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A4" w14:textId="77777777" w:rsidR="00747C18" w:rsidRDefault="002A23C8" w:rsidP="00D77B05">
      <w:pPr>
        <w:spacing w:before="5" w:after="5"/>
        <w:ind w:right="-6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 насильницьким задоволенням статевої пристрасті в цій статті розуміється задоволення статевої пристрасті у будь-якій формі чи проявах, що поєднане з умисним зовнішнім негативним впливом (залякуванням, погрозою вчинити зовнішній негативний вплив) на організм особи, що захищається (або її родичів та/чи близьких осіб) або на її фізичну свободу (або її родичів та/чи близьких осіб), вчинений з метою подолання чи попередження опору потерпілої особи або приведення її у безпорадний стан. Такий вплив може виражатись у нанесенні ударів, побоїв, заподіянні тілесних ушкоджень, </w:t>
      </w:r>
      <w:r>
        <w:rPr>
          <w:rFonts w:ascii="Times New Roman" w:eastAsia="Times New Roman" w:hAnsi="Times New Roman" w:cs="Times New Roman"/>
          <w:sz w:val="28"/>
          <w:szCs w:val="28"/>
        </w:rPr>
        <w:lastRenderedPageBreak/>
        <w:t>здавлюванні дихальних шляхів чи іншому обмеженні доступу повітря для дихання, зв'язуванні та/або триманні рук або ніг, обмеженні або позбавленні особистої волі, демонстрації (застосуванні) зброї або інших предметів, які спроможні нанести тілесні ушкодження чи завдати болю, уведенні в організм потерпілої особи проти її волі наркотичних засобів, психотропних, отруйних, сильнодіючих речовин тощо.”;</w:t>
      </w:r>
    </w:p>
    <w:p w14:paraId="000000A5" w14:textId="77777777" w:rsidR="00747C18" w:rsidRDefault="00747C18" w:rsidP="00D77B05">
      <w:pPr>
        <w:spacing w:before="5" w:after="5"/>
        <w:ind w:right="-61"/>
        <w:jc w:val="both"/>
        <w:rPr>
          <w:rFonts w:ascii="Times New Roman" w:eastAsia="Times New Roman" w:hAnsi="Times New Roman" w:cs="Times New Roman"/>
          <w:sz w:val="28"/>
          <w:szCs w:val="28"/>
        </w:rPr>
      </w:pPr>
    </w:p>
    <w:p w14:paraId="000000A6" w14:textId="77777777" w:rsidR="00747C18" w:rsidRDefault="002A23C8" w:rsidP="00D77B05">
      <w:pPr>
        <w:widowControl w:val="0"/>
        <w:tabs>
          <w:tab w:val="left" w:pos="1134"/>
        </w:tabs>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статтю 263 викласти в такій редакції:</w:t>
      </w:r>
    </w:p>
    <w:p w14:paraId="000000A7" w14:textId="77777777" w:rsidR="00747C18" w:rsidRDefault="002A23C8" w:rsidP="00D77B05">
      <w:pPr>
        <w:widowControl w:val="0"/>
        <w:tabs>
          <w:tab w:val="left" w:pos="1134"/>
        </w:tabs>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263. Незаконне поводження зі зброєю, набоями або вибуховими речовинами</w:t>
      </w:r>
    </w:p>
    <w:p w14:paraId="000000A8" w14:textId="77777777"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Носіння, зберігання, придбання, передача чи збут цивільної вогнепальної зброї (крім гладкоствольної мисливської та набоїв до неї), набоїв, без передбаченого законом дозволу -</w:t>
      </w:r>
    </w:p>
    <w:p w14:paraId="000000A9" w14:textId="77777777"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караються позбавленням волі на строк до трьох років.</w:t>
      </w:r>
    </w:p>
    <w:p w14:paraId="000000AA" w14:textId="77777777"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Носіння, зберігання, придбання, передача чи збут вогнепальної зброї, забороненої законом у цивільному обігу -</w:t>
      </w:r>
    </w:p>
    <w:p w14:paraId="000000AB" w14:textId="77777777"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караються позбавленням волі на строк від трьох до п’яти років.</w:t>
      </w:r>
    </w:p>
    <w:p w14:paraId="000000AC" w14:textId="77777777"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Носіння, зберігання, придбання, передача чи збут вибухових речовин (крім пороху та капсулів, що використовуються для спорядження набоїв) або вибухових пристроїв без передбаченого законом дозволу –</w:t>
      </w:r>
    </w:p>
    <w:p w14:paraId="000000AD" w14:textId="77777777"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карається позбавленням волі на строк від трьох до п’яти років.</w:t>
      </w:r>
    </w:p>
    <w:p w14:paraId="000000AE" w14:textId="77777777"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Використання зброї, вибухових речовин або вибухових пристроїв, набутих без передбаченого законом дозволу, як знаряддя чи засіб вчинення злочину, відповідальність за який передбачена статтями 110, 112, 113, 121, 122, 129, 146, 147, 187, 189, 194, 261, 294, 342, 345, 345-1, 346, 347, 347-1, 348, 348-1, 349, 349-1, 350, 352, 377, 378, 379, 398, 399, 400 цього Кодексу -</w:t>
      </w:r>
    </w:p>
    <w:p w14:paraId="000000AF" w14:textId="77777777"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караються позбавленням волі на строк від трьох до десяти років</w:t>
      </w:r>
    </w:p>
    <w:p w14:paraId="000000B0" w14:textId="77777777" w:rsidR="00747C18" w:rsidRDefault="002A23C8" w:rsidP="00D77B05">
      <w:pPr>
        <w:widowControl w:val="0"/>
        <w:spacing w:before="5" w:after="5"/>
        <w:ind w:right="-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Звільняється від кримінальної відповідальності особа, яка вчинила злочин, передбачений частинами першою, другою або третьою цієї статті, якщо вона добровільно здала органам влади зброю, набої, вибухові речовини або вибухові пристрої.</w:t>
      </w:r>
    </w:p>
    <w:p w14:paraId="000000B1" w14:textId="77777777"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Примітка.</w:t>
      </w:r>
    </w:p>
    <w:p w14:paraId="000000B2" w14:textId="77777777" w:rsidR="00747C18" w:rsidRDefault="002A23C8" w:rsidP="00D77B05">
      <w:pPr>
        <w:widowControl w:val="0"/>
        <w:spacing w:before="5" w:after="5"/>
        <w:ind w:right="-6"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 містять складу злочину і не мають наслідком кримінальну відповідальність за ст. 263 Кримінального кодексу дії пов’язані із виготовленням, зберіганням або транспортуванням аналогів старовинної вогнепальної зброї, незалежно від мети виготовлення.”</w:t>
      </w:r>
    </w:p>
    <w:p w14:paraId="000000B3" w14:textId="77777777" w:rsidR="00747C18" w:rsidRDefault="00747C18" w:rsidP="00D77B05">
      <w:pPr>
        <w:widowControl w:val="0"/>
        <w:spacing w:before="5" w:after="5"/>
        <w:ind w:right="-6"/>
        <w:jc w:val="both"/>
        <w:rPr>
          <w:rFonts w:ascii="Times New Roman" w:eastAsia="Times New Roman" w:hAnsi="Times New Roman" w:cs="Times New Roman"/>
          <w:sz w:val="28"/>
          <w:szCs w:val="28"/>
        </w:rPr>
      </w:pPr>
    </w:p>
    <w:p w14:paraId="000000B4" w14:textId="77777777" w:rsidR="00747C18" w:rsidRDefault="002A23C8" w:rsidP="00D77B05">
      <w:pPr>
        <w:widowControl w:val="0"/>
        <w:spacing w:before="5" w:after="5"/>
        <w:ind w:right="-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ІI. Прикінцеві та перехідні положення</w:t>
      </w:r>
    </w:p>
    <w:p w14:paraId="000000B5" w14:textId="77777777" w:rsidR="00747C18" w:rsidRDefault="002A23C8" w:rsidP="00D77B05">
      <w:pPr>
        <w:widowControl w:val="0"/>
        <w:spacing w:before="5" w:after="5"/>
        <w:ind w:right="-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Цей Закон набирає чинності одночасно з набранням чинності Закону України “Про право на самозахист та володіння цивільною вогнепальною зброєю”.</w:t>
      </w:r>
    </w:p>
    <w:p w14:paraId="000000B6" w14:textId="77777777" w:rsidR="00747C18" w:rsidRDefault="00747C18" w:rsidP="00D77B05">
      <w:pPr>
        <w:widowControl w:val="0"/>
        <w:spacing w:before="5" w:after="5"/>
        <w:ind w:right="-6"/>
        <w:jc w:val="both"/>
        <w:rPr>
          <w:rFonts w:ascii="Times New Roman" w:eastAsia="Times New Roman" w:hAnsi="Times New Roman" w:cs="Times New Roman"/>
          <w:sz w:val="28"/>
          <w:szCs w:val="28"/>
        </w:rPr>
      </w:pPr>
    </w:p>
    <w:p w14:paraId="000000B7" w14:textId="77777777" w:rsidR="00747C18" w:rsidRDefault="00747C18" w:rsidP="00D77B05">
      <w:pPr>
        <w:widowControl w:val="0"/>
        <w:spacing w:before="5" w:after="5"/>
        <w:ind w:right="-6" w:firstLine="720"/>
        <w:jc w:val="both"/>
        <w:rPr>
          <w:rFonts w:ascii="Times New Roman" w:eastAsia="Times New Roman" w:hAnsi="Times New Roman" w:cs="Times New Roman"/>
          <w:sz w:val="28"/>
          <w:szCs w:val="28"/>
        </w:rPr>
      </w:pPr>
    </w:p>
    <w:p w14:paraId="000000B9" w14:textId="4AB58344" w:rsidR="00747C18" w:rsidRDefault="002A23C8" w:rsidP="00D77B05">
      <w:pPr>
        <w:pBdr>
          <w:top w:val="nil"/>
          <w:left w:val="nil"/>
          <w:bottom w:val="nil"/>
          <w:right w:val="nil"/>
          <w:between w:val="nil"/>
        </w:pBdr>
        <w:spacing w:before="5" w:after="5"/>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Голова </w:t>
      </w:r>
      <w:r>
        <w:rPr>
          <w:rFonts w:ascii="Times New Roman" w:eastAsia="Times New Roman" w:hAnsi="Times New Roman" w:cs="Times New Roman"/>
          <w:sz w:val="28"/>
          <w:szCs w:val="28"/>
        </w:rPr>
        <w:br/>
        <w:t xml:space="preserve">Верховної Ради України                                                   </w:t>
      </w:r>
    </w:p>
    <w:sectPr w:rsidR="00747C18">
      <w:headerReference w:type="even" r:id="rId9"/>
      <w:headerReference w:type="default" r:id="rId10"/>
      <w:pgSz w:w="11900" w:h="16840"/>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6D9DC9" w14:textId="77777777" w:rsidR="00AA5732" w:rsidRDefault="00AA5732">
      <w:r>
        <w:separator/>
      </w:r>
    </w:p>
  </w:endnote>
  <w:endnote w:type="continuationSeparator" w:id="0">
    <w:p w14:paraId="4824BAF0" w14:textId="77777777" w:rsidR="00AA5732" w:rsidRDefault="00AA5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A61650" w14:textId="77777777" w:rsidR="00AA5732" w:rsidRDefault="00AA5732">
      <w:r>
        <w:separator/>
      </w:r>
    </w:p>
  </w:footnote>
  <w:footnote w:type="continuationSeparator" w:id="0">
    <w:p w14:paraId="455EB3E8" w14:textId="77777777" w:rsidR="00AA5732" w:rsidRDefault="00AA57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D" w14:textId="77777777" w:rsidR="00747C18" w:rsidRDefault="002A23C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000000BE" w14:textId="77777777" w:rsidR="00747C18" w:rsidRDefault="00747C18">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A" w14:textId="4DB65C60" w:rsidR="00747C18" w:rsidRDefault="002A23C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C85AB3">
      <w:rPr>
        <w:noProof/>
        <w:color w:val="000000"/>
      </w:rPr>
      <w:t>2</w:t>
    </w:r>
    <w:r>
      <w:rPr>
        <w:color w:val="000000"/>
      </w:rPr>
      <w:fldChar w:fldCharType="end"/>
    </w:r>
  </w:p>
  <w:p w14:paraId="000000BB" w14:textId="77777777" w:rsidR="00747C18" w:rsidRDefault="00747C18">
    <w:pPr>
      <w:pBdr>
        <w:top w:val="nil"/>
        <w:left w:val="nil"/>
        <w:bottom w:val="nil"/>
        <w:right w:val="nil"/>
        <w:between w:val="nil"/>
      </w:pBdr>
      <w:tabs>
        <w:tab w:val="center" w:pos="4677"/>
        <w:tab w:val="right" w:pos="9355"/>
      </w:tabs>
      <w:jc w:val="center"/>
      <w:rPr>
        <w:color w:val="000000"/>
      </w:rPr>
    </w:pPr>
  </w:p>
  <w:p w14:paraId="000000BC" w14:textId="77777777" w:rsidR="00747C18" w:rsidRDefault="00747C18">
    <w:pPr>
      <w:pBdr>
        <w:top w:val="nil"/>
        <w:left w:val="nil"/>
        <w:bottom w:val="nil"/>
        <w:right w:val="nil"/>
        <w:between w:val="nil"/>
      </w:pBdr>
      <w:tabs>
        <w:tab w:val="center" w:pos="4677"/>
        <w:tab w:val="right" w:pos="9355"/>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C18"/>
    <w:rsid w:val="00053E40"/>
    <w:rsid w:val="00054B5A"/>
    <w:rsid w:val="0008205C"/>
    <w:rsid w:val="002A23C8"/>
    <w:rsid w:val="00357509"/>
    <w:rsid w:val="0050492E"/>
    <w:rsid w:val="005D112B"/>
    <w:rsid w:val="00747C18"/>
    <w:rsid w:val="007D2A64"/>
    <w:rsid w:val="00894CE7"/>
    <w:rsid w:val="00AA5732"/>
    <w:rsid w:val="00C85AB3"/>
    <w:rsid w:val="00D77B05"/>
    <w:rsid w:val="00EA3034"/>
    <w:rsid w:val="00F96C7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D4236"/>
  <w15:docId w15:val="{A60656F4-5111-1748-B196-D8D4B39F7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53290">
      <w:bodyDiv w:val="1"/>
      <w:marLeft w:val="0"/>
      <w:marRight w:val="0"/>
      <w:marTop w:val="0"/>
      <w:marBottom w:val="0"/>
      <w:divBdr>
        <w:top w:val="none" w:sz="0" w:space="0" w:color="auto"/>
        <w:left w:val="none" w:sz="0" w:space="0" w:color="auto"/>
        <w:bottom w:val="none" w:sz="0" w:space="0" w:color="auto"/>
        <w:right w:val="none" w:sz="0" w:space="0" w:color="auto"/>
      </w:divBdr>
    </w:div>
    <w:div w:id="120418712">
      <w:bodyDiv w:val="1"/>
      <w:marLeft w:val="0"/>
      <w:marRight w:val="0"/>
      <w:marTop w:val="0"/>
      <w:marBottom w:val="0"/>
      <w:divBdr>
        <w:top w:val="none" w:sz="0" w:space="0" w:color="auto"/>
        <w:left w:val="none" w:sz="0" w:space="0" w:color="auto"/>
        <w:bottom w:val="none" w:sz="0" w:space="0" w:color="auto"/>
        <w:right w:val="none" w:sz="0" w:space="0" w:color="auto"/>
      </w:divBdr>
    </w:div>
    <w:div w:id="15076759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6EC047-C0E1-4DEA-9DD1-E8FE2A0BBB54}">
  <ds:schemaRefs>
    <ds:schemaRef ds:uri="http://schemas.microsoft.com/sharepoint/v3/contenttype/forms"/>
  </ds:schemaRefs>
</ds:datastoreItem>
</file>

<file path=customXml/itemProps2.xml><?xml version="1.0" encoding="utf-8"?>
<ds:datastoreItem xmlns:ds="http://schemas.openxmlformats.org/officeDocument/2006/customXml" ds:itemID="{F974D2AB-0297-41FF-9CD1-CC1D4D711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3257E3-4266-45C4-BF53-B83A2B41C7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11801</Words>
  <Characters>6728</Characters>
  <Application>Microsoft Office Word</Application>
  <DocSecurity>0</DocSecurity>
  <Lines>56</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18493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2021-07-13T10:49:00Z</dcterms:created>
  <dcterms:modified xsi:type="dcterms:W3CDTF">2021-07-13T10:49:00Z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