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68C" w:rsidRPr="00824A98" w:rsidRDefault="000D068C" w:rsidP="000D068C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val="uk-UA" w:eastAsia="ja-JP" w:bidi="ug-CN"/>
        </w:rPr>
      </w:pPr>
      <w:bookmarkStart w:id="0" w:name="_GoBack"/>
      <w:bookmarkEnd w:id="0"/>
      <w:r w:rsidRPr="00824A98">
        <w:rPr>
          <w:rFonts w:ascii="Times New Roman" w:eastAsia="MS Mincho" w:hAnsi="Times New Roman" w:cs="Times New Roman"/>
          <w:b/>
          <w:color w:val="000000"/>
          <w:sz w:val="28"/>
          <w:szCs w:val="28"/>
          <w:lang w:val="uk-UA" w:eastAsia="ru-RU" w:bidi="ug-CN"/>
        </w:rPr>
        <w:t>ПОЯСНЮВАЛЬНА ЗАПИСКА</w:t>
      </w:r>
      <w:r w:rsidRPr="00824A98">
        <w:rPr>
          <w:rFonts w:ascii="Times New Roman" w:eastAsia="MS Mincho" w:hAnsi="Times New Roman" w:cs="Times New Roman"/>
          <w:b/>
          <w:color w:val="000000"/>
          <w:sz w:val="28"/>
          <w:szCs w:val="28"/>
          <w:lang w:val="uk-UA" w:eastAsia="ru-RU" w:bidi="ug-CN"/>
        </w:rPr>
        <w:br/>
        <w:t>до проекту Закону України «</w:t>
      </w:r>
      <w:r w:rsidRPr="00824A98">
        <w:rPr>
          <w:rFonts w:ascii="Times New Roman" w:eastAsia="MS Mincho" w:hAnsi="Times New Roman" w:cs="Times New Roman"/>
          <w:b/>
          <w:color w:val="000000"/>
          <w:sz w:val="28"/>
          <w:szCs w:val="28"/>
          <w:lang w:val="uk-UA" w:eastAsia="ja-JP" w:bidi="ug-CN"/>
        </w:rPr>
        <w:t xml:space="preserve">Про внесення змін до статті 1  Закону України «Про ставки  вивізного (експортного ) мита  на брухт легованих чорних металів, брухт кольорових  металів та напівфабрикати з їх використанням» </w:t>
      </w:r>
    </w:p>
    <w:p w:rsidR="000D068C" w:rsidRDefault="000D068C" w:rsidP="000D068C">
      <w:pPr>
        <w:shd w:val="clear" w:color="auto" w:fill="FFFFFF"/>
        <w:spacing w:after="60" w:line="300" w:lineRule="atLeast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</w:p>
    <w:p w:rsidR="000D068C" w:rsidRDefault="000D068C" w:rsidP="000D068C">
      <w:pPr>
        <w:shd w:val="clear" w:color="auto" w:fill="FFFFFF"/>
        <w:spacing w:after="60" w:line="300" w:lineRule="atLeast"/>
        <w:ind w:firstLine="708"/>
        <w:jc w:val="both"/>
        <w:rPr>
          <w:rFonts w:ascii="Times New Roman" w:eastAsia="Times New Roman" w:hAnsi="Times New Roman" w:cs="Times New Roman"/>
          <w:b/>
          <w:color w:val="2A2928"/>
          <w:sz w:val="28"/>
          <w:szCs w:val="28"/>
          <w:lang w:val="uk-UA" w:eastAsia="ru-RU"/>
        </w:rPr>
      </w:pPr>
      <w:r w:rsidRPr="009C1349">
        <w:rPr>
          <w:rFonts w:ascii="Times New Roman" w:eastAsia="Times New Roman" w:hAnsi="Times New Roman" w:cs="Times New Roman"/>
          <w:b/>
          <w:color w:val="2A2928"/>
          <w:sz w:val="28"/>
          <w:szCs w:val="28"/>
          <w:lang w:val="uk-UA" w:eastAsia="ru-RU"/>
        </w:rPr>
        <w:t>1.</w:t>
      </w:r>
      <w:r w:rsidRPr="009C1349">
        <w:rPr>
          <w:rFonts w:ascii="Times New Roman" w:eastAsia="Times New Roman" w:hAnsi="Times New Roman" w:cs="Times New Roman"/>
          <w:b/>
          <w:color w:val="2A2928"/>
          <w:sz w:val="28"/>
          <w:szCs w:val="28"/>
          <w:lang w:val="uk-UA" w:eastAsia="ru-RU"/>
        </w:rPr>
        <w:tab/>
        <w:t>Обґрунтування необхідності прийняття акту</w:t>
      </w:r>
    </w:p>
    <w:p w:rsidR="000D068C" w:rsidRPr="009C1349" w:rsidRDefault="000D068C" w:rsidP="000D068C">
      <w:pPr>
        <w:shd w:val="clear" w:color="auto" w:fill="FFFFFF"/>
        <w:spacing w:after="60" w:line="300" w:lineRule="atLeast"/>
        <w:ind w:firstLine="708"/>
        <w:jc w:val="both"/>
        <w:rPr>
          <w:rFonts w:ascii="Times New Roman" w:eastAsia="Times New Roman" w:hAnsi="Times New Roman" w:cs="Times New Roman"/>
          <w:b/>
          <w:color w:val="2A2928"/>
          <w:sz w:val="28"/>
          <w:szCs w:val="28"/>
          <w:lang w:val="uk-UA" w:eastAsia="ru-RU"/>
        </w:rPr>
      </w:pP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Основними джерелами сировини для українських виробників алюмінієвих виробів (далі - виробники) є: імпорт заготовок алюмінієвих сплавів або брухту алюмінію і використання брухту алюмінію та напівфабрикатів алюмінієвих сплавів внутрішнього ринку.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Доступний обсяг брухту алюмінію на внутрішньому ринку України становить в середньому 1200 -1300 тон в місяць.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Даний обсяг розподіляється між виробниками готових алюмінієвих виробів. Дефіцит сировини </w:t>
      </w:r>
      <w:r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вітчизняні виробники </w:t>
      </w: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компенсують за рахунок імпорту заготовок алюмінієвих сплавів та імпорту брухту.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З жовтня 2020 на внутрішньому ринку України спостерігається постійне збільшення дефіциту брухту алюмінію через збільшення обсягів експорту за кордон (переважно в Туреччину, яка підняла ціни закупівлі на імпортний брухт і сплави з алюмінію).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З ростом дефіциту брухту кольорових металів всередині країни українські виробники змушені розподіляти наявні на території країни обсяги за вищою ціною.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Так, за період жовтень 2020 - січень 2021 ціна брухту зросла на 31% і продовжує зростати по сьогоднішній день. (Мал.1)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jc w:val="both"/>
        <w:rPr>
          <w:rFonts w:ascii="Arial" w:eastAsia="Times New Roman" w:hAnsi="Arial" w:cs="Arial"/>
          <w:color w:val="2A2928"/>
          <w:lang w:val="uk-UA" w:eastAsia="ru-RU"/>
        </w:rPr>
      </w:pPr>
    </w:p>
    <w:p w:rsidR="000D068C" w:rsidRPr="00824A98" w:rsidRDefault="000D068C" w:rsidP="000D068C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2A2928"/>
          <w:lang w:val="uk-UA" w:eastAsia="ru-RU"/>
        </w:rPr>
      </w:pPr>
      <w:r w:rsidRPr="00824A98">
        <w:rPr>
          <w:rFonts w:ascii="Arial" w:eastAsia="Times New Roman" w:hAnsi="Arial" w:cs="Arial"/>
          <w:noProof/>
          <w:color w:val="2A2928"/>
          <w:lang w:val="uk-UA" w:eastAsia="uk-UA"/>
        </w:rPr>
        <w:drawing>
          <wp:inline distT="0" distB="0" distL="0" distR="0" wp14:anchorId="27D8DCF9" wp14:editId="45A21433">
            <wp:extent cx="5838825" cy="358838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208" cy="358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068C" w:rsidRPr="00824A98" w:rsidRDefault="000D068C" w:rsidP="000D068C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bCs/>
          <w:color w:val="2A2928"/>
          <w:lang w:val="uk-UA"/>
        </w:rPr>
      </w:pPr>
      <w:r w:rsidRPr="00824A98">
        <w:rPr>
          <w:rFonts w:ascii="Arial" w:eastAsia="Times New Roman" w:hAnsi="Arial" w:cs="Arial"/>
          <w:color w:val="2A2928"/>
          <w:lang w:val="uk-UA" w:eastAsia="ru-RU"/>
        </w:rPr>
        <w:t xml:space="preserve">Мал. 1 - </w:t>
      </w:r>
      <w:r w:rsidRPr="00824A98">
        <w:rPr>
          <w:rFonts w:ascii="Arial" w:eastAsia="Times New Roman" w:hAnsi="Arial" w:cs="Arial"/>
          <w:bCs/>
          <w:color w:val="2A2928"/>
          <w:lang w:val="uk-UA"/>
        </w:rPr>
        <w:t xml:space="preserve">Ціна брухту алюмінію, USD/тонна </w:t>
      </w:r>
    </w:p>
    <w:p w:rsidR="000D068C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</w:p>
    <w:p w:rsidR="000D068C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Через дефіцит брухту і високу ціну виробники галузі змушені імпортувати сировину (якщо ціна імпорту дозволяє їм продовжувати свою діяльність) або скорочувати обсяги виробництва.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Унаслідок зростання собівартості продукції з кольорових металів цінова політика українських </w:t>
      </w:r>
      <w:r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виробників</w:t>
      </w: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 на світовому ринку стає неконкурентною, а на внутрішньому ринку спостерігається падіння продажів виробів з кольорових металів через низьку купівельну спроможність населення.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Через підвищення цін на сировину обсяги виробництва продукції з алюмінію  мають сталу тенденцію до зменшення з місяця в місяць. Так в січні 2021 в порівнянні з жовтнем 2020 показник в середньому впав на 35%, а в окремих виробників обсяг виробництва зменшився на 50-65 % (Мал.2).</w:t>
      </w:r>
    </w:p>
    <w:p w:rsidR="000D068C" w:rsidRPr="00824A98" w:rsidRDefault="000D068C" w:rsidP="000D068C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2A2928"/>
          <w:lang w:val="uk-UA" w:eastAsia="ru-RU"/>
        </w:rPr>
      </w:pPr>
    </w:p>
    <w:p w:rsidR="000D068C" w:rsidRPr="00824A98" w:rsidRDefault="000D068C" w:rsidP="000D068C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2A2928"/>
          <w:lang w:val="uk-UA" w:eastAsia="ru-RU"/>
        </w:rPr>
      </w:pPr>
      <w:r w:rsidRPr="00824A98">
        <w:rPr>
          <w:rFonts w:ascii="Arial" w:eastAsia="Times New Roman" w:hAnsi="Arial" w:cs="Arial"/>
          <w:noProof/>
          <w:color w:val="2A2928"/>
          <w:lang w:val="uk-UA" w:eastAsia="uk-UA"/>
        </w:rPr>
        <w:drawing>
          <wp:inline distT="0" distB="0" distL="0" distR="0" wp14:anchorId="75EDB6E6" wp14:editId="3B8E959C">
            <wp:extent cx="5829300" cy="3619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068C" w:rsidRPr="00824A98" w:rsidRDefault="000D068C" w:rsidP="000D068C">
      <w:pPr>
        <w:shd w:val="clear" w:color="auto" w:fill="FFFFFF"/>
        <w:spacing w:after="60" w:line="300" w:lineRule="atLeast"/>
        <w:jc w:val="both"/>
        <w:rPr>
          <w:rFonts w:ascii="Arial" w:eastAsia="Times New Roman" w:hAnsi="Arial" w:cs="Arial"/>
          <w:color w:val="2A2928"/>
          <w:lang w:val="uk-UA" w:eastAsia="ru-RU"/>
        </w:rPr>
      </w:pPr>
      <w:r w:rsidRPr="00824A98">
        <w:rPr>
          <w:rFonts w:ascii="Arial" w:eastAsia="Times New Roman" w:hAnsi="Arial" w:cs="Arial"/>
          <w:color w:val="2A2928"/>
          <w:lang w:val="uk-UA" w:eastAsia="ru-RU"/>
        </w:rPr>
        <w:t>Мал.2 - Обсяги виробництва алюмінієвих виробів, млн. грн.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З постійним збільшенням дефіциту сировини і зростанням цін деякі виробники будуть змушені припинити діяльність через                                                                     не конкурентоспроможність і збитковість бізнесу.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Слід відзначити, що в</w:t>
      </w:r>
      <w:r w:rsidRPr="00824A98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ітчизняна економіка продовжує переживати значні складнощі, пов’язані з глобальним впливом пандемії COVID-19. За підсумками ІІІ кварталу 2020 року ВВП України знизилось на 3,5%, у тому числі валовий продукт, вироблений у секторі переробної промисловості – на 5,6%. У 2020 р. індекс продукції переробної промисловості скоротився на 6,9%.</w:t>
      </w:r>
    </w:p>
    <w:p w:rsidR="000D068C" w:rsidRPr="009C1349" w:rsidRDefault="000D068C" w:rsidP="000D068C">
      <w:pPr>
        <w:pStyle w:val="TimesNewRoman"/>
        <w:spacing w:before="120" w:line="276" w:lineRule="auto"/>
        <w:ind w:firstLine="567"/>
        <w:jc w:val="both"/>
        <w:rPr>
          <w:rFonts w:eastAsia="Times New Roman"/>
          <w:color w:val="2A2928"/>
          <w:szCs w:val="28"/>
          <w:lang w:val="uk-UA" w:eastAsia="ru-RU"/>
        </w:rPr>
      </w:pPr>
      <w:r w:rsidRPr="009C1349">
        <w:rPr>
          <w:lang w:val="uk-UA"/>
        </w:rPr>
        <w:t>У зв’язку із цим, з</w:t>
      </w:r>
      <w:r w:rsidRPr="009C1349">
        <w:rPr>
          <w:rFonts w:eastAsia="Times New Roman"/>
          <w:color w:val="2A2928"/>
          <w:szCs w:val="28"/>
          <w:lang w:val="uk-UA" w:eastAsia="ru-RU"/>
        </w:rPr>
        <w:t>аконопроект пропонує збільшити ставку вивізного мита за кодом 76 02 00 (відходи та брухт з алюмінію) - до рівня 27%, а також встановити вивізне мито на стратегічно важливу сировину-напівфабрикати для українських виробників алюмінієвих виробів за кодами - 7601 20 (сплави алюмінієві ) - на рівні 27%, 7605 (дріт алюмінієвий) - на рівні 27%.</w:t>
      </w:r>
    </w:p>
    <w:p w:rsidR="000D068C" w:rsidRPr="00824A98" w:rsidRDefault="000D068C" w:rsidP="000D068C">
      <w:pPr>
        <w:shd w:val="clear" w:color="auto" w:fill="FFFFFF"/>
        <w:spacing w:after="60" w:line="300" w:lineRule="atLeast"/>
        <w:ind w:firstLine="709"/>
        <w:jc w:val="both"/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</w:pPr>
      <w:r w:rsidRPr="009C1349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lastRenderedPageBreak/>
        <w:t>Запропонований законопроект дозволить обмежити вивезення сировини, необхідної для внутрішнього споживання українських виробників, призведе до зменшення дефіциту сировини, зниження цін на алюмінієві вироби на внутрішньому ринку, а також до збільшення обсягу експорту за рахунок відновлення конкурентоспроможності українських виробників на світовому ринку, що дозволить</w:t>
      </w:r>
      <w:r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 вітчизняним </w:t>
      </w:r>
      <w:r w:rsidRPr="009C1349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>виробникам</w:t>
      </w:r>
      <w:r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 продукції</w:t>
      </w:r>
      <w:r w:rsidRPr="009C1349">
        <w:rPr>
          <w:rFonts w:ascii="Times New Roman" w:eastAsia="Times New Roman" w:hAnsi="Times New Roman" w:cs="Times New Roman"/>
          <w:color w:val="2A2928"/>
          <w:sz w:val="28"/>
          <w:szCs w:val="28"/>
          <w:lang w:val="uk-UA" w:eastAsia="ru-RU"/>
        </w:rPr>
        <w:t xml:space="preserve"> впевнено модернізувати виробництво, зберегти робочі місця та забезпечить податкові надходження до бюджету.</w:t>
      </w:r>
    </w:p>
    <w:p w:rsidR="000D068C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bidi="ug-CN"/>
        </w:rPr>
      </w:pP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bidi="ug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bidi="ug-CN"/>
        </w:rPr>
        <w:tab/>
        <w:t xml:space="preserve">2. </w:t>
      </w:r>
      <w:r w:rsidRPr="00824A98">
        <w:rPr>
          <w:rFonts w:ascii="Times New Roman" w:hAnsi="Times New Roman"/>
          <w:b/>
          <w:color w:val="000000"/>
          <w:sz w:val="28"/>
          <w:szCs w:val="28"/>
          <w:lang w:val="uk-UA" w:bidi="ug-CN"/>
        </w:rPr>
        <w:t xml:space="preserve">Мета і шляхи її досягнення </w:t>
      </w:r>
    </w:p>
    <w:p w:rsidR="000D068C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</w:pP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Метою прийняття законопроекту є збереження дієвого механізму правового регулювання експорту металобрухту для зменшення дефіциту брухту 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кольорових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металів на внутрішньому ринку задля першочергового забезпечення потреб 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вітчизняних виробників. </w:t>
      </w:r>
    </w:p>
    <w:p w:rsidR="000D068C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Крім того, законопроект спрямований на подальшу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стабілізацію ситуації в металургійній галузі та суміжних секторах, збереження існуючих та створення нових робочих місць, збільшення надходжень до державного бюджету за рахунок підвищення експортного мита на металобрухт, а також створення більшої доданої вартості на території держави шляхом глибокої переробки дефіцитної сировини, утвореної на її території. 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</w:pPr>
    </w:p>
    <w:p w:rsidR="000D068C" w:rsidRPr="00824A98" w:rsidRDefault="000D068C" w:rsidP="000D068C">
      <w:pPr>
        <w:widowControl w:val="0"/>
        <w:spacing w:before="120" w:after="120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b/>
          <w:color w:val="000000"/>
          <w:sz w:val="28"/>
          <w:szCs w:val="28"/>
          <w:lang w:val="uk-UA" w:eastAsia="ru-RU" w:bidi="ug-CN"/>
        </w:rPr>
        <w:t>3. Загальна характеристика та головні положення</w:t>
      </w:r>
    </w:p>
    <w:p w:rsidR="000D068C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</w:pP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За</w:t>
      </w:r>
      <w:r w:rsidRPr="009C1349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конопроекто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м</w:t>
      </w:r>
      <w:r w:rsidRPr="009C1349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 пропонує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ться </w:t>
      </w:r>
      <w:r w:rsidRPr="009C1349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збільшити ставку вивізного мита за кодом 76 02 00 (відходи та брухт з алюмінію) 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– з 15%</w:t>
      </w:r>
      <w:r w:rsidRPr="009C1349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 до 27%, а також встановити вивізне мито на стратегічно важливу сировину-напівфабрикати для українських виробників алюмінієвих виробів за кодами - 7601 20 (сплави алюмінієві ) - на рівні 27%, 7605 (дріт алюмінієвий) - на рівні 27%.</w:t>
      </w:r>
    </w:p>
    <w:p w:rsidR="000D068C" w:rsidRPr="00824A98" w:rsidRDefault="000D068C" w:rsidP="000D068C">
      <w:pPr>
        <w:pStyle w:val="TimesNewRoman"/>
        <w:spacing w:before="120" w:line="276" w:lineRule="auto"/>
        <w:ind w:firstLine="567"/>
        <w:jc w:val="both"/>
        <w:rPr>
          <w:color w:val="000000"/>
          <w:lang w:val="uk-UA"/>
        </w:rPr>
      </w:pPr>
      <w:r w:rsidRPr="00824A98">
        <w:rPr>
          <w:rFonts w:eastAsia="MS Mincho"/>
          <w:color w:val="000000"/>
          <w:szCs w:val="28"/>
          <w:lang w:val="uk-UA" w:eastAsia="ru-RU" w:bidi="ug-CN"/>
        </w:rPr>
        <w:t xml:space="preserve">Реалізація </w:t>
      </w:r>
      <w:r w:rsidRPr="00824A98">
        <w:rPr>
          <w:lang w:val="uk-UA"/>
        </w:rPr>
        <w:t>запропонованого</w:t>
      </w:r>
      <w:r w:rsidRPr="00824A98">
        <w:rPr>
          <w:rFonts w:eastAsia="MS Mincho"/>
          <w:color w:val="000000"/>
          <w:szCs w:val="28"/>
          <w:lang w:val="uk-UA" w:eastAsia="ru-RU" w:bidi="ug-CN"/>
        </w:rPr>
        <w:t xml:space="preserve"> заходу має економіко-правове підґрунтя та не суперечить міжнародним зобов’язанням України. </w:t>
      </w:r>
      <w:r w:rsidRPr="00824A98">
        <w:rPr>
          <w:rFonts w:eastAsia="MS Mincho"/>
          <w:color w:val="000000"/>
          <w:szCs w:val="28"/>
          <w:lang w:val="uk-UA" w:eastAsia="ja-JP"/>
        </w:rPr>
        <w:t xml:space="preserve">Діючі та пропоновані заходи з підвищення експортного мита на металобрухт повністю відповідають нормам </w:t>
      </w:r>
      <w:r w:rsidRPr="00824A98">
        <w:rPr>
          <w:color w:val="000000"/>
          <w:lang w:val="uk-UA"/>
        </w:rPr>
        <w:t>міжнародного торгового права в рамках СОТ й інших міжнародних зобов’язань України щодо регулювання зовнішньої торгівлі.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</w:pP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А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ктивне розгортання глобальної торгової війни надаватиме пріоритетності набагато актуальнішим міжнародним диспутам щодо подальшого формату світової торгівлі металами між основними країнами-виробниками. На користь України в цьому питанні зіграла й усталена світова практика: з 2010 р. різними країнами світу введено понад 25 заходів, які обмежують чи повністю забороняють експорт металобрухту. При цьому жодних торговельних суперечок в рамках СОТ ці заходи не спровокували.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З огляду на зазначене та враховуючи тимчасову анексію Криму, продовження військової агресії РФ на Сході країн, запровадження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lastRenderedPageBreak/>
        <w:t>тимчасового військового стану та, відповідно,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 проведення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Операції об’єднаних сил (ООС), що формує передумови для подальшої мілітаризації економіки й зростання внутрішнього попиту на продукцію 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з кольорових металів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повною мірою відповідає положенням Статті XXI(b)(iii) ГАТТ «Винятки з міркувань безпеки», в якій наголошується, що ніщо в Угоді ГАТТ не повинно тлумачитися «як перешкода будь-якій стороні у здійсненні будь-яких дій, які вона вважає необхідними для захисту суттєвих інтересів своєї безпеки, що вживаються під час війни чи інших надзвичайних обставин у міжнародних відносинах».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При цьому тимчасове підвищення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 (запровадження)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вивізного мита на брухт 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 xml:space="preserve">кольорових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металів відповідає основним критеріям застосування статті XXI(b)(iii) ГАТТ</w:t>
      </w:r>
      <w:r w:rsidRPr="00824A98">
        <w:rPr>
          <w:color w:val="000000"/>
          <w:lang w:val="uk-UA"/>
        </w:rPr>
        <w:t xml:space="preserve">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ru-RU" w:bidi="ug-CN"/>
        </w:rPr>
        <w:t>та інших положень системи угод СОТ, а саме:</w:t>
      </w:r>
    </w:p>
    <w:p w:rsidR="000D068C" w:rsidRPr="00824A98" w:rsidRDefault="000D068C" w:rsidP="000D068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bidi="ug-CN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запроваджується</w:t>
      </w:r>
      <w:r w:rsidRPr="00824A98">
        <w:rPr>
          <w:rFonts w:ascii="Times New Roman" w:hAnsi="Times New Roman"/>
          <w:color w:val="000000"/>
          <w:sz w:val="28"/>
          <w:szCs w:val="28"/>
          <w:lang w:val="uk-UA" w:bidi="ug-CN"/>
        </w:rPr>
        <w:t xml:space="preserve"> в умовах зовнішньої військової агресії та анексії частини території України; </w:t>
      </w:r>
    </w:p>
    <w:p w:rsidR="000D068C" w:rsidRPr="00824A98" w:rsidRDefault="000D068C" w:rsidP="000D068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є недискримінаційним, оскільки передбачається, що ставка експорту розповсюджується на експорт брухту </w:t>
      </w:r>
      <w:r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кольорових </w:t>
      </w: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металів до будь-якої країни;</w:t>
      </w:r>
    </w:p>
    <w:p w:rsidR="000D068C" w:rsidRPr="00824A98" w:rsidRDefault="000D068C" w:rsidP="000D068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носить тимчасовий характер, що безпосередньо пов’язаний з існуванням загрози національній безпеці. 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Крім того, в</w:t>
      </w:r>
      <w:r w:rsidRPr="00824A98">
        <w:rPr>
          <w:rFonts w:ascii="Times New Roman" w:hAnsi="Times New Roman"/>
          <w:sz w:val="28"/>
          <w:szCs w:val="28"/>
          <w:lang w:val="uk-UA"/>
        </w:rPr>
        <w:t xml:space="preserve">казаний захід не порушує Угоди про асоціацію з Європейським союзом, адже Статтею 36 «Загальні винятки» чітко визначено, що «Ніщо в цій Угоді не повинно тлумачитися як таке, що перешкоджає вжиттю або застосуванню будь-якою Стороною заходів згідно зі Статтями XX та XXІ ГАТТ/СОТ та їх примітками щодо тлумачення, які включено до цієї Угоди і є її невід’ємною частиною». 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sz w:val="28"/>
          <w:szCs w:val="28"/>
          <w:lang w:val="uk-UA"/>
        </w:rPr>
        <w:t>Відповідно, зазначене положення у рамках системи Угод СОТ та Угоди про асоціацію з ЄС надає право Україні запроваджувати будь-які регуляторні заходи, які вона вважає необхідними для захисту суттєвих інтересів своєї безпеки, зокрема, під час війни чи інших надзвичайних обставин у міжнародних відносинах.</w:t>
      </w:r>
    </w:p>
    <w:p w:rsidR="000D068C" w:rsidRPr="00824A98" w:rsidRDefault="000D068C" w:rsidP="000D068C">
      <w:pPr>
        <w:widowControl w:val="0"/>
        <w:spacing w:before="120" w:after="12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b/>
          <w:color w:val="000000"/>
          <w:sz w:val="28"/>
          <w:szCs w:val="28"/>
          <w:lang w:val="uk-UA" w:eastAsia="ru-RU" w:bidi="ug-CN"/>
        </w:rPr>
        <w:t>4. Стан нормативно-правової бази у даній сфері правового регулювання</w:t>
      </w:r>
    </w:p>
    <w:p w:rsidR="000D068C" w:rsidRDefault="000D068C" w:rsidP="000D068C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Основними нормативно-правовими актами у даній сфері є Закон України «Про металобрухт», </w:t>
      </w:r>
      <w:r w:rsidRPr="00172682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Закон України «Про ставки вивізного (експортного) мита на брухт легованих чорних металів, брухт кольорових металів та напівфабрикати з їх використанням</w:t>
      </w:r>
      <w:r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»,</w:t>
      </w:r>
      <w:r w:rsidRPr="00824A98">
        <w:rPr>
          <w:rFonts w:ascii="Times New Roman" w:hAnsi="Times New Roman"/>
          <w:color w:val="000000"/>
          <w:sz w:val="28"/>
          <w:szCs w:val="28"/>
          <w:lang w:val="uk-UA" w:eastAsia="uk-UA" w:bidi="ug-CN"/>
        </w:rPr>
        <w:t xml:space="preserve"> Закон України </w:t>
      </w: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«Про </w:t>
      </w:r>
      <w:r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зовнішньоекономічну діяльність» та Закон України «Про </w:t>
      </w:r>
      <w:r w:rsidRPr="00172682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Митний тариф України</w:t>
      </w:r>
      <w:r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».</w:t>
      </w:r>
    </w:p>
    <w:p w:rsidR="000D068C" w:rsidRDefault="000D068C" w:rsidP="000D068C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>Прийняття та реалізація законопроекту не потребує додаткового внесення змін до інших законодавчих актів України.</w:t>
      </w:r>
    </w:p>
    <w:p w:rsidR="000D068C" w:rsidRDefault="000D068C" w:rsidP="000D068C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</w:p>
    <w:p w:rsidR="000D068C" w:rsidRDefault="000D068C" w:rsidP="000D068C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</w:p>
    <w:p w:rsidR="000D068C" w:rsidRPr="00824A98" w:rsidRDefault="000D068C" w:rsidP="000D068C">
      <w:pPr>
        <w:widowControl w:val="0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 w:bidi="ug-CN"/>
        </w:rPr>
      </w:pPr>
      <w:r w:rsidRPr="00824A98">
        <w:rPr>
          <w:rFonts w:ascii="Times New Roman" w:hAnsi="Times New Roman"/>
          <w:b/>
          <w:color w:val="000000"/>
          <w:sz w:val="28"/>
          <w:szCs w:val="28"/>
          <w:lang w:val="uk-UA" w:bidi="ug-CN"/>
        </w:rPr>
        <w:t>5. Фінансово-економічне обґрунтування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</w:pP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Реалізація проекту Закону не потребує додаткових витрат з Державного бюджету. </w:t>
      </w:r>
    </w:p>
    <w:p w:rsidR="000D068C" w:rsidRDefault="000D068C" w:rsidP="000D068C">
      <w:pPr>
        <w:pStyle w:val="TimesNewRoman"/>
        <w:spacing w:before="120" w:line="276" w:lineRule="auto"/>
        <w:ind w:firstLine="567"/>
        <w:jc w:val="both"/>
        <w:rPr>
          <w:rFonts w:eastAsia="MS Mincho"/>
          <w:color w:val="000000"/>
          <w:szCs w:val="28"/>
          <w:lang w:val="uk-UA" w:eastAsia="ja-JP" w:bidi="ug-CN"/>
        </w:rPr>
      </w:pPr>
      <w:r w:rsidRPr="00824A98">
        <w:rPr>
          <w:rFonts w:eastAsia="MS Mincho"/>
          <w:color w:val="000000"/>
          <w:szCs w:val="28"/>
          <w:lang w:val="uk-UA" w:eastAsia="ja-JP" w:bidi="ug-CN"/>
        </w:rPr>
        <w:t xml:space="preserve">Натомість, </w:t>
      </w:r>
      <w:r w:rsidRPr="00824A98">
        <w:rPr>
          <w:lang w:val="uk-UA"/>
        </w:rPr>
        <w:t>прийняття</w:t>
      </w:r>
      <w:r w:rsidRPr="00824A98">
        <w:rPr>
          <w:rFonts w:eastAsia="MS Mincho"/>
          <w:color w:val="000000"/>
          <w:szCs w:val="28"/>
          <w:lang w:val="uk-UA" w:eastAsia="ja-JP" w:bidi="ug-CN"/>
        </w:rPr>
        <w:t xml:space="preserve"> законопроекту забезпечить додаткові надходження до бюджету у вигляді експортного мита та створення умов безперебійного постачання на вітчизняні підприємства доступної сировини, що сприятиме виробництву металопродукції з більшою доданою вартістю. </w:t>
      </w:r>
    </w:p>
    <w:p w:rsidR="000D068C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bidi="ug-CN"/>
        </w:rPr>
      </w:pP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bidi="ug-CN"/>
        </w:rPr>
      </w:pPr>
      <w:r w:rsidRPr="00824A98">
        <w:rPr>
          <w:rFonts w:ascii="Times New Roman" w:hAnsi="Times New Roman"/>
          <w:b/>
          <w:bCs/>
          <w:color w:val="000000"/>
          <w:sz w:val="28"/>
          <w:szCs w:val="28"/>
          <w:lang w:val="uk-UA" w:bidi="ug-CN"/>
        </w:rPr>
        <w:t>6. Прогноз соціально-економічних та інших наслідків прийняття акту</w:t>
      </w: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</w:pP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Прийняття законопроекту сприятиме зниженню дефіциту брухту 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кольорових 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>металів на внутрішньому ринку</w:t>
      </w:r>
      <w:r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>.</w:t>
      </w:r>
      <w:r w:rsidRPr="00824A98">
        <w:rPr>
          <w:rFonts w:ascii="Times New Roman" w:eastAsia="MS Mincho" w:hAnsi="Times New Roman"/>
          <w:color w:val="000000"/>
          <w:sz w:val="28"/>
          <w:szCs w:val="28"/>
          <w:lang w:val="uk-UA" w:eastAsia="ja-JP" w:bidi="ug-CN"/>
        </w:rPr>
        <w:t xml:space="preserve"> </w:t>
      </w:r>
    </w:p>
    <w:p w:rsidR="000D068C" w:rsidRDefault="000D068C" w:rsidP="000D068C">
      <w:pPr>
        <w:widowControl w:val="0"/>
        <w:spacing w:before="60" w:after="6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  <w:r w:rsidRPr="00824A98">
        <w:rPr>
          <w:rFonts w:ascii="Times New Roman" w:hAnsi="Times New Roman"/>
          <w:color w:val="000000"/>
          <w:sz w:val="28"/>
          <w:szCs w:val="28"/>
          <w:lang w:val="uk-UA" w:eastAsia="ru-RU" w:bidi="ug-CN"/>
        </w:rPr>
        <w:t xml:space="preserve">Крім того, наявність доступної сировини на внутрішньому ринку сприятиме безперебійному функціонуванню вітчизняної промисловості, а, отже, збереже робочі місця в реальному секторі економіки, забезпечить додаткові податкові і митні надходження до бюджетів всіх рівнів. </w:t>
      </w:r>
    </w:p>
    <w:p w:rsidR="000D068C" w:rsidRPr="00824A98" w:rsidRDefault="000D068C" w:rsidP="000D068C">
      <w:pPr>
        <w:widowControl w:val="0"/>
        <w:spacing w:before="60" w:after="6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 w:bidi="ug-CN"/>
        </w:rPr>
      </w:pPr>
    </w:p>
    <w:p w:rsidR="000D068C" w:rsidRPr="00824A98" w:rsidRDefault="000D068C" w:rsidP="000D068C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eastAsia="MS Mincho" w:hAnsi="Times New Roman"/>
          <w:color w:val="000000"/>
          <w:sz w:val="2"/>
          <w:szCs w:val="28"/>
          <w:lang w:val="uk-UA" w:eastAsia="ja-JP" w:bidi="ug-CN"/>
        </w:rPr>
      </w:pPr>
    </w:p>
    <w:p w:rsidR="000D068C" w:rsidRPr="00824A98" w:rsidRDefault="000D068C" w:rsidP="000D068C">
      <w:pPr>
        <w:shd w:val="clear" w:color="auto" w:fill="FFFFFF"/>
        <w:spacing w:after="60" w:line="300" w:lineRule="atLeast"/>
        <w:jc w:val="both"/>
        <w:rPr>
          <w:rFonts w:ascii="Arial" w:eastAsia="Times New Roman" w:hAnsi="Arial" w:cs="Arial"/>
          <w:color w:val="2A2928"/>
          <w:lang w:val="uk-UA" w:eastAsia="ru-RU"/>
        </w:rPr>
      </w:pPr>
      <w:r w:rsidRPr="00824A98"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>Народн</w:t>
      </w: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і </w:t>
      </w:r>
      <w:r w:rsidRPr="00824A98"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>депутат</w:t>
      </w: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>и</w:t>
      </w:r>
      <w:r w:rsidRPr="00824A98"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 України</w:t>
      </w: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                                                Леся ЗАБУРАННА</w:t>
      </w:r>
    </w:p>
    <w:p w:rsidR="00671A78" w:rsidRDefault="00671A78"/>
    <w:sectPr w:rsidR="00671A78" w:rsidSect="009C134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5B2"/>
    <w:multiLevelType w:val="hybridMultilevel"/>
    <w:tmpl w:val="21F06DD4"/>
    <w:lvl w:ilvl="0" w:tplc="A1FCECD8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68C"/>
    <w:rsid w:val="000D068C"/>
    <w:rsid w:val="003C7AFE"/>
    <w:rsid w:val="00665EFA"/>
    <w:rsid w:val="0067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099448-7770-40F3-95F4-8177628D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Times New Roman"/>
    <w:basedOn w:val="a3"/>
    <w:qFormat/>
    <w:rsid w:val="000D068C"/>
    <w:rPr>
      <w:rFonts w:ascii="Times New Roman" w:hAnsi="Times New Roman" w:cs="Times New Roman"/>
      <w:sz w:val="28"/>
      <w:lang w:val="en-US"/>
    </w:rPr>
  </w:style>
  <w:style w:type="paragraph" w:styleId="a3">
    <w:name w:val="No Spacing"/>
    <w:uiPriority w:val="1"/>
    <w:qFormat/>
    <w:rsid w:val="000D06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D89411-E123-4927-B78D-F960579FCD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9E84DD-A917-4250-9643-9B7CBBF724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FA6E30-B96C-4455-8260-E54C27DB99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5670</Words>
  <Characters>3233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2021-07-16T11:12:00Z</dcterms:created>
  <dcterms:modified xsi:type="dcterms:W3CDTF">2021-07-16T11:12:00Z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