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5F2" w:rsidRDefault="002805F2" w:rsidP="002805F2">
      <w:pPr>
        <w:pStyle w:val="7"/>
        <w:keepNext w:val="0"/>
        <w:widowControl w:val="0"/>
        <w:ind w:firstLine="0"/>
        <w:rPr>
          <w:rFonts w:ascii="Times New Roman" w:hAnsi="Times New Roman" w:cs="Times New Roman"/>
        </w:rPr>
      </w:pPr>
    </w:p>
    <w:p w:rsidR="002805F2" w:rsidRDefault="002805F2" w:rsidP="002805F2">
      <w:pPr>
        <w:pStyle w:val="7"/>
        <w:keepNext w:val="0"/>
        <w:widowControl w:val="0"/>
        <w:ind w:firstLine="0"/>
        <w:rPr>
          <w:rFonts w:ascii="Times New Roman" w:hAnsi="Times New Roman" w:cs="Times New Roman"/>
        </w:rPr>
      </w:pPr>
    </w:p>
    <w:p w:rsidR="002805F2" w:rsidRDefault="002805F2" w:rsidP="002805F2">
      <w:pPr>
        <w:pStyle w:val="7"/>
        <w:keepNext w:val="0"/>
        <w:widowControl w:val="0"/>
        <w:ind w:firstLine="0"/>
        <w:rPr>
          <w:rFonts w:ascii="Times New Roman" w:hAnsi="Times New Roman" w:cs="Times New Roman"/>
        </w:rPr>
      </w:pPr>
    </w:p>
    <w:p w:rsidR="002805F2" w:rsidRDefault="002805F2" w:rsidP="002805F2">
      <w:pPr>
        <w:pStyle w:val="7"/>
        <w:keepNext w:val="0"/>
        <w:widowControl w:val="0"/>
        <w:ind w:firstLine="0"/>
        <w:rPr>
          <w:rFonts w:ascii="Times New Roman" w:hAnsi="Times New Roman" w:cs="Times New Roman"/>
        </w:rPr>
      </w:pPr>
    </w:p>
    <w:p w:rsidR="002805F2" w:rsidRDefault="002805F2" w:rsidP="002805F2">
      <w:pPr>
        <w:pStyle w:val="7"/>
        <w:keepNext w:val="0"/>
        <w:widowControl w:val="0"/>
        <w:ind w:firstLine="0"/>
        <w:rPr>
          <w:rFonts w:ascii="Times New Roman" w:hAnsi="Times New Roman" w:cs="Times New Roman"/>
        </w:rPr>
      </w:pPr>
    </w:p>
    <w:p w:rsidR="002805F2" w:rsidRDefault="002805F2" w:rsidP="002805F2">
      <w:pPr>
        <w:pStyle w:val="7"/>
        <w:keepNext w:val="0"/>
        <w:widowControl w:val="0"/>
        <w:ind w:firstLine="0"/>
        <w:rPr>
          <w:rFonts w:ascii="Times New Roman" w:hAnsi="Times New Roman" w:cs="Times New Roman"/>
        </w:rPr>
      </w:pPr>
    </w:p>
    <w:p w:rsidR="002805F2" w:rsidRPr="00E423B4" w:rsidRDefault="002805F2" w:rsidP="002805F2">
      <w:pPr>
        <w:pStyle w:val="7"/>
        <w:keepNext w:val="0"/>
        <w:widowControl w:val="0"/>
        <w:ind w:firstLine="0"/>
        <w:rPr>
          <w:rFonts w:ascii="Times New Roman" w:hAnsi="Times New Roman" w:cs="Times New Roman"/>
        </w:rPr>
      </w:pPr>
      <w:r w:rsidRPr="00E423B4">
        <w:rPr>
          <w:rFonts w:ascii="Times New Roman" w:hAnsi="Times New Roman" w:cs="Times New Roman"/>
        </w:rPr>
        <w:t>ВИСНОВОК</w:t>
      </w:r>
    </w:p>
    <w:p w:rsidR="002805F2" w:rsidRPr="00E423B4" w:rsidRDefault="002805F2" w:rsidP="002805F2">
      <w:pPr>
        <w:pStyle w:val="a3"/>
        <w:widowControl w:val="0"/>
        <w:ind w:firstLine="0"/>
        <w:jc w:val="center"/>
        <w:rPr>
          <w:rFonts w:ascii="Times New Roman" w:hAnsi="Times New Roman" w:cs="Times New Roman"/>
          <w:b/>
          <w:bCs/>
        </w:rPr>
      </w:pPr>
      <w:r w:rsidRPr="00E423B4">
        <w:rPr>
          <w:rFonts w:ascii="Times New Roman" w:hAnsi="Times New Roman" w:cs="Times New Roman"/>
          <w:b/>
        </w:rPr>
        <w:t xml:space="preserve">на проект Закону України </w:t>
      </w:r>
      <w:r w:rsidRPr="00E423B4">
        <w:rPr>
          <w:rFonts w:ascii="Times New Roman" w:hAnsi="Times New Roman" w:cs="Times New Roman"/>
          <w:b/>
          <w:bCs/>
        </w:rPr>
        <w:t>«</w:t>
      </w:r>
      <w:bookmarkStart w:id="0" w:name="_Hlk36729976"/>
      <w:r w:rsidRPr="00E423B4">
        <w:rPr>
          <w:rFonts w:ascii="Times New Roman" w:hAnsi="Times New Roman" w:cs="Times New Roman"/>
          <w:b/>
          <w:bCs/>
        </w:rPr>
        <w:t xml:space="preserve">Про </w:t>
      </w:r>
      <w:bookmarkEnd w:id="0"/>
      <w:r w:rsidRPr="00E423B4">
        <w:rPr>
          <w:rFonts w:ascii="Times New Roman" w:hAnsi="Times New Roman" w:cs="Times New Roman"/>
          <w:b/>
          <w:bCs/>
        </w:rPr>
        <w:t xml:space="preserve">внесення змін до деяких законодавчих актів України щодо посилення ролі суспільства у заходах контролю </w:t>
      </w:r>
    </w:p>
    <w:p w:rsidR="002805F2" w:rsidRPr="00E423B4" w:rsidRDefault="002805F2" w:rsidP="002805F2">
      <w:pPr>
        <w:pStyle w:val="a3"/>
        <w:widowControl w:val="0"/>
        <w:ind w:firstLine="0"/>
        <w:jc w:val="center"/>
        <w:rPr>
          <w:rFonts w:ascii="Times New Roman" w:hAnsi="Times New Roman" w:cs="Times New Roman"/>
          <w:b/>
          <w:bCs/>
        </w:rPr>
      </w:pPr>
      <w:r w:rsidRPr="00E423B4">
        <w:rPr>
          <w:rFonts w:ascii="Times New Roman" w:hAnsi="Times New Roman" w:cs="Times New Roman"/>
          <w:b/>
          <w:bCs/>
        </w:rPr>
        <w:t xml:space="preserve">за безпекою дорожнього руху та дотриманням правил зупинки, </w:t>
      </w:r>
    </w:p>
    <w:p w:rsidR="002805F2" w:rsidRPr="00E423B4" w:rsidRDefault="002805F2" w:rsidP="002805F2">
      <w:pPr>
        <w:pStyle w:val="a3"/>
        <w:widowControl w:val="0"/>
        <w:ind w:firstLine="0"/>
        <w:jc w:val="center"/>
        <w:rPr>
          <w:rFonts w:ascii="Times New Roman" w:hAnsi="Times New Roman" w:cs="Times New Roman"/>
          <w:b/>
          <w:bCs/>
        </w:rPr>
      </w:pPr>
      <w:r w:rsidRPr="00E423B4">
        <w:rPr>
          <w:rFonts w:ascii="Times New Roman" w:hAnsi="Times New Roman" w:cs="Times New Roman"/>
          <w:b/>
          <w:bCs/>
        </w:rPr>
        <w:t>стоянки, паркування транспортних засобів»</w:t>
      </w:r>
    </w:p>
    <w:p w:rsidR="002805F2" w:rsidRPr="00E423B4" w:rsidRDefault="002805F2" w:rsidP="002805F2">
      <w:pPr>
        <w:pStyle w:val="a3"/>
        <w:ind w:firstLine="709"/>
        <w:rPr>
          <w:rFonts w:ascii="Times New Roman" w:hAnsi="Times New Roman" w:cs="Times New Roman"/>
        </w:rPr>
      </w:pPr>
    </w:p>
    <w:p w:rsidR="002805F2" w:rsidRPr="00E423B4" w:rsidRDefault="002805F2" w:rsidP="002805F2">
      <w:pPr>
        <w:spacing w:after="0" w:line="240" w:lineRule="auto"/>
        <w:ind w:firstLine="709"/>
        <w:jc w:val="both"/>
        <w:rPr>
          <w:szCs w:val="28"/>
        </w:rPr>
      </w:pPr>
      <w:r w:rsidRPr="00E423B4">
        <w:rPr>
          <w:szCs w:val="28"/>
        </w:rPr>
        <w:t>Метою законопроекту, як це зазначається у пояснювальній записці до нього, є 1) посилення контрою за безпекою дорожнього руху за рахунок залучення учасників дорожнього руху, громадян та активних представників громадянського суспільства; 2) зменшення випадків ДТП на дорогах і як наслідок кількості травмованих та загиблих в них людей; 3) впровадження в роботу по контролю за безпекою дорожнього руху та правилами зупинки, стоянки, паркування сучасних технічних засобів та передових технологій.</w:t>
      </w:r>
    </w:p>
    <w:p w:rsidR="002805F2" w:rsidRPr="002805F2" w:rsidRDefault="002805F2" w:rsidP="002805F2">
      <w:pPr>
        <w:spacing w:after="0" w:line="240" w:lineRule="auto"/>
        <w:ind w:firstLine="709"/>
        <w:jc w:val="both"/>
        <w:rPr>
          <w:szCs w:val="28"/>
        </w:rPr>
      </w:pPr>
      <w:r w:rsidRPr="00E423B4">
        <w:rPr>
          <w:szCs w:val="28"/>
        </w:rPr>
        <w:t xml:space="preserve">Для досягнення вказаної мети у законопроекті пропонується </w:t>
      </w:r>
      <w:proofErr w:type="spellStart"/>
      <w:r w:rsidRPr="00E423B4">
        <w:rPr>
          <w:szCs w:val="28"/>
        </w:rPr>
        <w:t>внести</w:t>
      </w:r>
      <w:proofErr w:type="spellEnd"/>
      <w:r w:rsidRPr="00E423B4">
        <w:rPr>
          <w:szCs w:val="28"/>
        </w:rPr>
        <w:t xml:space="preserve"> до Кодексу України про адміністративні правопорушення (далі – КУпАП), Кримінального кодексу України (далі – КК), Кодексу адміністративного судочинства України (далі – КАСУ), а також законів України «Про дорожній рух», «Про Національну поліцію» та «Про безоплатну правову допомогу» зміни, якими забезпеч</w:t>
      </w:r>
      <w:r>
        <w:rPr>
          <w:szCs w:val="28"/>
        </w:rPr>
        <w:t>ується</w:t>
      </w:r>
      <w:r w:rsidRPr="00E423B4">
        <w:rPr>
          <w:szCs w:val="28"/>
        </w:rPr>
        <w:t xml:space="preserve"> можливість залучення учасників дорожнього руху, </w:t>
      </w:r>
      <w:r w:rsidRPr="002805F2">
        <w:rPr>
          <w:szCs w:val="28"/>
        </w:rPr>
        <w:t>громадян та активних представників громадянського суспільства для здійснення контролю за безпекою дорожнього руху.</w:t>
      </w:r>
    </w:p>
    <w:p w:rsidR="002805F2" w:rsidRPr="002805F2" w:rsidRDefault="002805F2" w:rsidP="002805F2">
      <w:pPr>
        <w:pStyle w:val="a5"/>
        <w:tabs>
          <w:tab w:val="left" w:pos="9639"/>
        </w:tabs>
        <w:ind w:firstLine="709"/>
        <w:jc w:val="both"/>
        <w:rPr>
          <w:rFonts w:ascii="Times New Roman" w:hAnsi="Times New Roman" w:cs="Times New Roman"/>
          <w:sz w:val="28"/>
          <w:szCs w:val="28"/>
        </w:rPr>
      </w:pPr>
      <w:r w:rsidRPr="002805F2">
        <w:rPr>
          <w:rFonts w:ascii="Times New Roman" w:hAnsi="Times New Roman" w:cs="Times New Roman"/>
          <w:sz w:val="28"/>
          <w:szCs w:val="28"/>
        </w:rPr>
        <w:t xml:space="preserve">Законопроект на момент підготовки висновку не включений до </w:t>
      </w:r>
      <w:r w:rsidRPr="002805F2">
        <w:rPr>
          <w:rFonts w:ascii="Times New Roman" w:hAnsi="Times New Roman"/>
          <w:sz w:val="28"/>
          <w:szCs w:val="28"/>
        </w:rPr>
        <w:t>Плану законопроектної роботи Верховної Ради України на 2021 рік, затвердженого постановою Верховної Ради України від 02.02.2021 № 1165-ІХ.</w:t>
      </w:r>
    </w:p>
    <w:p w:rsidR="002805F2" w:rsidRPr="002805F2" w:rsidRDefault="002805F2" w:rsidP="002805F2">
      <w:pPr>
        <w:pStyle w:val="a3"/>
        <w:ind w:firstLine="709"/>
        <w:rPr>
          <w:rFonts w:ascii="Times New Roman" w:hAnsi="Times New Roman" w:cs="Times New Roman"/>
        </w:rPr>
      </w:pPr>
      <w:r w:rsidRPr="002805F2">
        <w:rPr>
          <w:rFonts w:ascii="Times New Roman" w:hAnsi="Times New Roman" w:cs="Times New Roman"/>
        </w:rPr>
        <w:t>За результатами аналізу поданого законопроекту Головне управління в цілому підтримує основну ідею законопроекту. Разом із тим, вважаємо за необхідне висловити окремі зауваження та пропозиції щодо пропонованих у проекті змін.</w:t>
      </w:r>
    </w:p>
    <w:p w:rsidR="002805F2" w:rsidRPr="002805F2" w:rsidRDefault="002805F2" w:rsidP="002805F2">
      <w:pPr>
        <w:spacing w:after="0" w:line="240" w:lineRule="auto"/>
        <w:ind w:firstLine="709"/>
        <w:rPr>
          <w:b/>
          <w:bCs/>
          <w:i/>
          <w:iCs/>
          <w:szCs w:val="28"/>
        </w:rPr>
      </w:pPr>
    </w:p>
    <w:p w:rsidR="00F12D89" w:rsidRPr="00E423B4" w:rsidRDefault="00F12D89" w:rsidP="002805F2">
      <w:pPr>
        <w:spacing w:after="0" w:line="240" w:lineRule="auto"/>
        <w:ind w:firstLine="709"/>
        <w:rPr>
          <w:b/>
          <w:bCs/>
          <w:i/>
          <w:iCs/>
          <w:szCs w:val="28"/>
        </w:rPr>
      </w:pPr>
      <w:r w:rsidRPr="002805F2">
        <w:rPr>
          <w:b/>
          <w:bCs/>
          <w:i/>
          <w:iCs/>
          <w:szCs w:val="28"/>
        </w:rPr>
        <w:t>Щодо змін до КУпАП</w:t>
      </w:r>
    </w:p>
    <w:p w:rsidR="00F12D89" w:rsidRPr="00E423B4" w:rsidRDefault="00F12D89" w:rsidP="00F12D89">
      <w:pPr>
        <w:spacing w:after="0" w:line="240" w:lineRule="auto"/>
        <w:ind w:firstLine="709"/>
        <w:jc w:val="both"/>
        <w:rPr>
          <w:szCs w:val="28"/>
        </w:rPr>
      </w:pPr>
      <w:r w:rsidRPr="00E423B4">
        <w:rPr>
          <w:b/>
          <w:bCs/>
          <w:szCs w:val="28"/>
        </w:rPr>
        <w:t>1.</w:t>
      </w:r>
      <w:r w:rsidRPr="00E423B4">
        <w:rPr>
          <w:szCs w:val="28"/>
        </w:rPr>
        <w:t xml:space="preserve"> Зайвими, на наш погляд, є положення ч. 4 ст. 14-2 КУпАП (в редакції проекту) про те, що «у разі якщо одразу після здійснення уповноваженою посадовою особою фотозйомки (відеозапису) обставин адміністративного правопорушення у сфері забезпечення безпеки дорожнього руху або порушення правил зупинки, стоянки, паркування транспортних засобів здійснено зупинку транспортного засобу та/або встановлено особу, яка керувала транспортним </w:t>
      </w:r>
      <w:r w:rsidRPr="00E423B4">
        <w:rPr>
          <w:szCs w:val="28"/>
        </w:rPr>
        <w:lastRenderedPageBreak/>
        <w:t xml:space="preserve">засобом у момент вчинення правопорушення, то при розгляді справи про таке правопорушення не застосовуються особливості розгляду справ про адміністративні правопорушення встановлені статтями 279-1 – 279-4 КУпАП, а до адміністративної відповідальності притягується особа, яка керувала транспортним засобом у момент вчинення такого правопорушення». </w:t>
      </w:r>
    </w:p>
    <w:p w:rsidR="00F12D89" w:rsidRPr="00F12D89" w:rsidRDefault="00F12D89" w:rsidP="00F12D89">
      <w:pPr>
        <w:spacing w:after="0" w:line="240" w:lineRule="auto"/>
        <w:ind w:firstLine="709"/>
        <w:jc w:val="both"/>
        <w:rPr>
          <w:szCs w:val="28"/>
        </w:rPr>
      </w:pPr>
      <w:r w:rsidRPr="00E423B4">
        <w:rPr>
          <w:szCs w:val="28"/>
        </w:rPr>
        <w:t xml:space="preserve">Адже спеціальний (особливий) порядок притягнення до адміністративної відповідальності, коли стягнення за порушення у сфері безпеки дорожнього руху за замовчуванням </w:t>
      </w:r>
      <w:r>
        <w:rPr>
          <w:szCs w:val="28"/>
        </w:rPr>
        <w:t>на</w:t>
      </w:r>
      <w:r w:rsidRPr="00E423B4">
        <w:rPr>
          <w:szCs w:val="28"/>
        </w:rPr>
        <w:t xml:space="preserve">кладається на відповідальну особу (фізичну особу або керівника юридичної особи, за якою зареєстровано транспортний засіб, а в разі якщо до Єдиного державного реєстру транспортних засобів </w:t>
      </w:r>
      <w:proofErr w:type="spellStart"/>
      <w:r w:rsidRPr="00E423B4">
        <w:rPr>
          <w:szCs w:val="28"/>
        </w:rPr>
        <w:t>внесено</w:t>
      </w:r>
      <w:proofErr w:type="spellEnd"/>
      <w:r w:rsidRPr="00E423B4">
        <w:rPr>
          <w:szCs w:val="28"/>
        </w:rPr>
        <w:t xml:space="preserve"> відомості про належного користувача відповідного транспортного засобу, – належного користувача транспортного засобу, а якщо в Єдиному державному реєстрі юридичних осіб, фізичних осіб - підприємців та громадських формувань відсутні на момент запиту відомості про керівника юридичної особи, за якою зареєстрований транспортний засіб, – особу, яка виконує повноваження керівника такої юридичної особи, або особу, що ввезла транспортний засіб на </w:t>
      </w:r>
      <w:r w:rsidRPr="00F12D89">
        <w:rPr>
          <w:szCs w:val="28"/>
        </w:rPr>
        <w:t xml:space="preserve">територію України) застосовується виключно у випадках, коли постанова у справі про адміністративні правопорушення винесена </w:t>
      </w:r>
      <w:r w:rsidRPr="00F12D89">
        <w:rPr>
          <w:i/>
          <w:iCs/>
          <w:szCs w:val="28"/>
        </w:rPr>
        <w:t>на підставі даних засобів автоматичної фіксації</w:t>
      </w:r>
      <w:r w:rsidRPr="00F12D89">
        <w:rPr>
          <w:szCs w:val="28"/>
        </w:rPr>
        <w:t>. У разі зупинки порушника уповноваженою особою завжди використовується загальний порядок притягнення до відповідальності (суб’єктом відповідного правопорушення визнається водій транспортного засобу). Звертаємо увагу, що зайва деталізація може призвести до плутанини та зниження ефективності норм закону.</w:t>
      </w:r>
    </w:p>
    <w:p w:rsidR="00F12D89" w:rsidRPr="00E423B4" w:rsidRDefault="00F12D89" w:rsidP="00F12D89">
      <w:pPr>
        <w:spacing w:after="0" w:line="240" w:lineRule="auto"/>
        <w:ind w:firstLine="709"/>
        <w:jc w:val="both"/>
        <w:rPr>
          <w:szCs w:val="28"/>
        </w:rPr>
      </w:pPr>
      <w:r w:rsidRPr="00F12D89">
        <w:rPr>
          <w:szCs w:val="28"/>
        </w:rPr>
        <w:t xml:space="preserve">Зауваження аналогічного характеру стосується також п. 2 примітки до </w:t>
      </w:r>
      <w:r w:rsidRPr="00F12D89">
        <w:rPr>
          <w:szCs w:val="28"/>
        </w:rPr>
        <w:br/>
        <w:t>ст. 14-2 КУпАП (у редакції проекту). Питання, що вирішуються у її тексті (визначення спеціальних програмних заходів, порядок їх функціонування, технічної та інформаційної взаємодії спеціальних програмних засобів з Єдиним державним веб-порталом електронних послуг «Портал Дія» тощо), не є предметом КУпАП та мають визначатись</w:t>
      </w:r>
      <w:r w:rsidRPr="00E423B4">
        <w:rPr>
          <w:szCs w:val="28"/>
        </w:rPr>
        <w:t xml:space="preserve"> у підзаконних нормативно-правових актах.  </w:t>
      </w:r>
    </w:p>
    <w:p w:rsidR="00F12D89" w:rsidRPr="00F12D89" w:rsidRDefault="00F12D89" w:rsidP="00F12D89">
      <w:pPr>
        <w:spacing w:after="0" w:line="240" w:lineRule="auto"/>
        <w:ind w:firstLine="709"/>
        <w:jc w:val="both"/>
        <w:rPr>
          <w:szCs w:val="28"/>
        </w:rPr>
      </w:pPr>
      <w:r w:rsidRPr="00E423B4">
        <w:rPr>
          <w:b/>
          <w:bCs/>
          <w:szCs w:val="28"/>
        </w:rPr>
        <w:t>2.</w:t>
      </w:r>
      <w:r w:rsidRPr="00E423B4">
        <w:rPr>
          <w:szCs w:val="28"/>
        </w:rPr>
        <w:t xml:space="preserve"> Звертаємо увагу, що хоча у п. 4 примітки до ст. 14-2 КУпАП (в редакції проекту) встановлено, що терміни «автентифікація», «користувач», «електронна ідентифікація» вживаються у значенні, визначеному Законом України </w:t>
      </w:r>
      <w:r>
        <w:rPr>
          <w:szCs w:val="28"/>
        </w:rPr>
        <w:br/>
      </w:r>
      <w:r w:rsidRPr="00F12D89">
        <w:rPr>
          <w:szCs w:val="28"/>
        </w:rPr>
        <w:t xml:space="preserve">«Про електронні довірчі послуги», чинна редакція вказаного Закону не містить визначення поняття «користувач», що могло б бути використано для потреб КУпАП. Відповідні зміни у законопроекті також відсутні. </w:t>
      </w:r>
    </w:p>
    <w:p w:rsidR="00F12D89" w:rsidRPr="00E423B4" w:rsidRDefault="00F12D89" w:rsidP="00F12D89">
      <w:pPr>
        <w:spacing w:after="0" w:line="240" w:lineRule="auto"/>
        <w:ind w:firstLine="709"/>
        <w:jc w:val="both"/>
        <w:rPr>
          <w:szCs w:val="28"/>
        </w:rPr>
      </w:pPr>
      <w:r w:rsidRPr="00F12D89">
        <w:rPr>
          <w:b/>
          <w:bCs/>
          <w:szCs w:val="28"/>
        </w:rPr>
        <w:t xml:space="preserve">3. </w:t>
      </w:r>
      <w:r w:rsidRPr="00F12D89">
        <w:rPr>
          <w:szCs w:val="28"/>
        </w:rPr>
        <w:t xml:space="preserve">Не можна погодитись із запропонованими проектом змінами до </w:t>
      </w:r>
      <w:r w:rsidRPr="00F12D89">
        <w:rPr>
          <w:szCs w:val="28"/>
        </w:rPr>
        <w:br/>
        <w:t>ст. 121-1 КУпАП «Експлуатація водіями транспортних засобів, ідентифікаційні номери складових частин яких не відповідають записам у реєстраційних документах», якими встановлюється відповідальність за експлуатацію транспортних засобів без чинного поліса обов’язкового страхування цивільно-правової відповідальності власників наземних транспортних засобів (страхового сертифіката «Зелена</w:t>
      </w:r>
      <w:r w:rsidRPr="00E423B4">
        <w:rPr>
          <w:szCs w:val="28"/>
        </w:rPr>
        <w:t xml:space="preserve"> картка»). Адже наразі такі дії кваліфікуються за ч. 1 ст. 126 </w:t>
      </w:r>
      <w:r>
        <w:rPr>
          <w:szCs w:val="28"/>
        </w:rPr>
        <w:t xml:space="preserve">КУпАП </w:t>
      </w:r>
      <w:r w:rsidRPr="00E423B4">
        <w:rPr>
          <w:szCs w:val="28"/>
        </w:rPr>
        <w:t xml:space="preserve">«Керування транспортним засобом особою, яка не має відповідних документів на право керування таким транспортним засобом або не пред’явила </w:t>
      </w:r>
      <w:r w:rsidRPr="00E423B4">
        <w:rPr>
          <w:szCs w:val="28"/>
        </w:rPr>
        <w:lastRenderedPageBreak/>
        <w:t>їх для перевірки, або стосовно якої встановлено тимчасове обмеження у праві керування транспортними засобами» як керування транспортним засобом особою, яка не має при собі або не пред’явила у спосіб, який дає можливість поліцейському прочитати та зафіксувати дані, що містяться в полісі (договорі) обов’язкового страхування цивільно-правової відповідальності власників наземних транспортних засобів (страхового сертифіката «Зелена картка»),  чинний внутрішній електронний договір зазначеного виду обов’язкового страхування у візуальній формі страхового поліса.</w:t>
      </w:r>
    </w:p>
    <w:p w:rsidR="00F12D89" w:rsidRPr="00E423B4" w:rsidRDefault="00F12D89" w:rsidP="00F12D89">
      <w:pPr>
        <w:spacing w:after="0" w:line="240" w:lineRule="auto"/>
        <w:ind w:firstLine="709"/>
        <w:jc w:val="both"/>
        <w:rPr>
          <w:szCs w:val="28"/>
        </w:rPr>
      </w:pPr>
      <w:r w:rsidRPr="00E423B4">
        <w:rPr>
          <w:b/>
          <w:bCs/>
          <w:szCs w:val="28"/>
        </w:rPr>
        <w:t>4</w:t>
      </w:r>
      <w:r w:rsidRPr="00E423B4">
        <w:rPr>
          <w:szCs w:val="28"/>
        </w:rPr>
        <w:t xml:space="preserve">. Положення ч. ч. 3 – 11 ст. 251 </w:t>
      </w:r>
      <w:r>
        <w:rPr>
          <w:szCs w:val="28"/>
        </w:rPr>
        <w:t xml:space="preserve">КУпАП </w:t>
      </w:r>
      <w:r w:rsidRPr="00E423B4">
        <w:rPr>
          <w:szCs w:val="28"/>
        </w:rPr>
        <w:t>«Докази» (в редакції проект</w:t>
      </w:r>
      <w:r>
        <w:rPr>
          <w:szCs w:val="28"/>
        </w:rPr>
        <w:t>у</w:t>
      </w:r>
      <w:r w:rsidRPr="00E423B4">
        <w:rPr>
          <w:szCs w:val="28"/>
        </w:rPr>
        <w:t xml:space="preserve">) виходять за межі правового регулювання законопроекту. Адже проект має назву «Про внесення змін до деяких законодавчих актів України щодо посилення ролі суспільства у заходах контролю за безпекою дорожнього руху та дотриманням правил зупинки, стоянки, паркування транспортних засобів», тоді як у зазначених частинах ст. 251 КУпАП (у редакції проекту) пропонується врегулювати порядок використання електронних доказів у процесі розгляду </w:t>
      </w:r>
      <w:r w:rsidRPr="00423147">
        <w:rPr>
          <w:i/>
          <w:szCs w:val="28"/>
        </w:rPr>
        <w:t>будь-яких</w:t>
      </w:r>
      <w:r w:rsidRPr="00E423B4">
        <w:rPr>
          <w:szCs w:val="28"/>
        </w:rPr>
        <w:t xml:space="preserve"> справ про адміністративні правопорушення. </w:t>
      </w:r>
    </w:p>
    <w:p w:rsidR="00F12D89" w:rsidRPr="00E423B4" w:rsidRDefault="00F12D89" w:rsidP="00F12D89">
      <w:pPr>
        <w:spacing w:after="0" w:line="240" w:lineRule="auto"/>
        <w:ind w:firstLine="709"/>
        <w:jc w:val="both"/>
        <w:rPr>
          <w:szCs w:val="28"/>
        </w:rPr>
      </w:pPr>
      <w:r w:rsidRPr="00E423B4">
        <w:rPr>
          <w:szCs w:val="28"/>
        </w:rPr>
        <w:t xml:space="preserve">Зокрема, наголошуємо, що провадження у справах про адміністративні правопорушення, на відміну, наприклад, від кримінального провадження має спрощену та пришвидшену процедуру. Наразі чинний КУпАП не містить норм, які уточнюють вимоги та порядок використання окремих видів доказів. </w:t>
      </w:r>
    </w:p>
    <w:p w:rsidR="00F12D89" w:rsidRPr="00E423B4" w:rsidRDefault="00F12D89" w:rsidP="00F12D89">
      <w:pPr>
        <w:spacing w:after="0" w:line="240" w:lineRule="auto"/>
        <w:ind w:firstLine="709"/>
        <w:jc w:val="both"/>
        <w:rPr>
          <w:szCs w:val="28"/>
        </w:rPr>
      </w:pPr>
      <w:r w:rsidRPr="00F12D89">
        <w:rPr>
          <w:szCs w:val="28"/>
        </w:rPr>
        <w:t xml:space="preserve">Також не можна погодитись із пропозицією законопроекту щодо покладення обов’язку стосовно </w:t>
      </w:r>
      <w:r w:rsidRPr="00F12D89">
        <w:rPr>
          <w:i/>
          <w:iCs/>
          <w:szCs w:val="28"/>
        </w:rPr>
        <w:t>збирання доказів</w:t>
      </w:r>
      <w:r w:rsidRPr="00F12D89">
        <w:rPr>
          <w:szCs w:val="28"/>
        </w:rPr>
        <w:t xml:space="preserve"> на посадових осіб органів, уповноважених </w:t>
      </w:r>
      <w:r w:rsidRPr="00F12D89">
        <w:rPr>
          <w:i/>
          <w:iCs/>
          <w:szCs w:val="28"/>
        </w:rPr>
        <w:t>розглядати справи про адміністративні правопорушення</w:t>
      </w:r>
      <w:r w:rsidRPr="00F12D89">
        <w:rPr>
          <w:szCs w:val="28"/>
        </w:rPr>
        <w:t xml:space="preserve">, визначених п. п. 2, 5 ст. 213 КУпАП, якщо протокол про адміністративне правопорушення відповідно до положень цього Кодексу не складається (ч. 2 </w:t>
      </w:r>
      <w:r w:rsidRPr="00F12D89">
        <w:rPr>
          <w:szCs w:val="28"/>
        </w:rPr>
        <w:br/>
        <w:t xml:space="preserve">ст. 251 КУпАП у редакції проекту). Адже, якщо протокол про адміністративне правопорушення не складається, то йдеться про особливе </w:t>
      </w:r>
      <w:r w:rsidRPr="00F12D89">
        <w:rPr>
          <w:i/>
          <w:iCs/>
          <w:szCs w:val="28"/>
        </w:rPr>
        <w:t xml:space="preserve">спрощене провадження </w:t>
      </w:r>
      <w:r w:rsidRPr="00F12D89">
        <w:rPr>
          <w:iCs/>
          <w:szCs w:val="28"/>
        </w:rPr>
        <w:t>(див. ст. 258 КУпАП)</w:t>
      </w:r>
      <w:r w:rsidRPr="00F12D89">
        <w:rPr>
          <w:szCs w:val="28"/>
        </w:rPr>
        <w:t>. Таке провадження характеризується мінімумом процесуальних дій та їх оперативністю. Посадова особа, виявивши правопорушення, на місці приймає і виконує рішення про накладення адміністративного стягнення. Застосування процедури, передбаченої ст. 258 КУпАП, можливе, якщо сам правопорушник не заперечує допущене порушення і стягнення, яке на нього накладається, та/або обставини</w:t>
      </w:r>
      <w:r w:rsidRPr="00E423B4">
        <w:rPr>
          <w:szCs w:val="28"/>
        </w:rPr>
        <w:t xml:space="preserve"> правопорушення настільки очевидні, що збирання додаткових доказів як стадія провадження у справі не потрібне. </w:t>
      </w:r>
    </w:p>
    <w:p w:rsidR="00F12D89" w:rsidRPr="00E423B4" w:rsidRDefault="00F12D89" w:rsidP="00F12D89">
      <w:pPr>
        <w:spacing w:after="0" w:line="240" w:lineRule="auto"/>
        <w:ind w:firstLine="709"/>
        <w:jc w:val="both"/>
        <w:rPr>
          <w:szCs w:val="28"/>
        </w:rPr>
      </w:pPr>
      <w:r w:rsidRPr="00E423B4">
        <w:rPr>
          <w:b/>
          <w:bCs/>
          <w:szCs w:val="28"/>
        </w:rPr>
        <w:t>5.</w:t>
      </w:r>
      <w:r w:rsidRPr="00E423B4">
        <w:rPr>
          <w:szCs w:val="28"/>
        </w:rPr>
        <w:t xml:space="preserve"> У законопроекті пропонується доповнити ст. 256 </w:t>
      </w:r>
      <w:r>
        <w:rPr>
          <w:szCs w:val="28"/>
        </w:rPr>
        <w:t xml:space="preserve">КУпАП </w:t>
      </w:r>
      <w:r w:rsidRPr="00E423B4">
        <w:rPr>
          <w:szCs w:val="28"/>
        </w:rPr>
        <w:t>«Зміст протоколу про адміністративні правопорушення» новою ч</w:t>
      </w:r>
      <w:r>
        <w:rPr>
          <w:szCs w:val="28"/>
        </w:rPr>
        <w:t>.</w:t>
      </w:r>
      <w:r w:rsidRPr="00E423B4">
        <w:rPr>
          <w:szCs w:val="28"/>
        </w:rPr>
        <w:t xml:space="preserve"> 5, згідно</w:t>
      </w:r>
      <w:r>
        <w:rPr>
          <w:szCs w:val="28"/>
        </w:rPr>
        <w:t xml:space="preserve"> з</w:t>
      </w:r>
      <w:r w:rsidRPr="00E423B4">
        <w:rPr>
          <w:szCs w:val="28"/>
        </w:rPr>
        <w:t xml:space="preserve"> яко</w:t>
      </w:r>
      <w:r>
        <w:rPr>
          <w:szCs w:val="28"/>
        </w:rPr>
        <w:t>ю</w:t>
      </w:r>
      <w:r w:rsidRPr="00E423B4">
        <w:rPr>
          <w:szCs w:val="28"/>
        </w:rPr>
        <w:t xml:space="preserve"> «у випадках, якщо одразу після здійснення уповноваженою посадовою особою фотозйомки (відеозапису) обставин адміністративного правопорушення у сфері забезпечення безпеки дорожнього руху або порушення правил зупинки, стоянки, паркування транспортних засобів здійснено зупинку транспортного засобу, до протоколу про адміністративне правопорушення долучаються матеріали фотозйомки (відеозапису), про що зазначається у протоколі». Однак у проекті не враховано, що в такому випадку протокол про адміністративне правопорушення не складається. Зокрема, відповідно до ч. ч. 3 – 5 ст. 258 КУпАП протоколи не </w:t>
      </w:r>
      <w:r w:rsidRPr="00E423B4">
        <w:rPr>
          <w:szCs w:val="28"/>
        </w:rPr>
        <w:lastRenderedPageBreak/>
        <w:t>складаються у випадках, коли відповідно до закону штраф накладається і стягується, а попередження оформлюється на місці вчинення правопорушення.</w:t>
      </w:r>
    </w:p>
    <w:p w:rsidR="00F12D89" w:rsidRPr="00E423B4" w:rsidRDefault="00F12D89" w:rsidP="00F12D89">
      <w:pPr>
        <w:spacing w:after="0" w:line="240" w:lineRule="auto"/>
        <w:ind w:firstLine="709"/>
        <w:jc w:val="both"/>
        <w:rPr>
          <w:szCs w:val="28"/>
        </w:rPr>
      </w:pPr>
      <w:r w:rsidRPr="00E423B4">
        <w:rPr>
          <w:szCs w:val="28"/>
        </w:rPr>
        <w:t>У випадках, передбачених законом, уповноваженими органами (посадовими особами) на місці вчинення правопорушення виноситься постанова у справі про адміністративне правопорушення відповідно до вимог ст. 283 КУпАП.</w:t>
      </w:r>
    </w:p>
    <w:p w:rsidR="00F12D89" w:rsidRPr="00F12D89" w:rsidRDefault="00F12D89" w:rsidP="00F12D89">
      <w:pPr>
        <w:spacing w:after="0" w:line="240" w:lineRule="auto"/>
        <w:ind w:firstLine="709"/>
        <w:jc w:val="both"/>
        <w:rPr>
          <w:szCs w:val="28"/>
        </w:rPr>
      </w:pPr>
      <w:r w:rsidRPr="00E423B4">
        <w:rPr>
          <w:szCs w:val="28"/>
        </w:rPr>
        <w:t xml:space="preserve">Якщо під час складання постанови у справі про адміністративне правопорушення особа оспорить допущене порушення і адміністративне стягнення, що на неї накладається, то уповноважена посадова особа зобов’язана </w:t>
      </w:r>
      <w:r w:rsidRPr="004632CC">
        <w:rPr>
          <w:i/>
          <w:szCs w:val="28"/>
        </w:rPr>
        <w:t>скласти протокол</w:t>
      </w:r>
      <w:r w:rsidRPr="00E423B4">
        <w:rPr>
          <w:szCs w:val="28"/>
        </w:rPr>
        <w:t xml:space="preserve"> про адміністративне правопорушення, </w:t>
      </w:r>
      <w:r w:rsidRPr="00E423B4">
        <w:rPr>
          <w:i/>
          <w:iCs/>
          <w:szCs w:val="28"/>
        </w:rPr>
        <w:t xml:space="preserve">крім випадків притягнення особи до адміністративної відповідальності за правопорушення у сфері забезпечення безпеки </w:t>
      </w:r>
      <w:r w:rsidRPr="00F12D89">
        <w:rPr>
          <w:i/>
          <w:iCs/>
          <w:szCs w:val="28"/>
        </w:rPr>
        <w:t>дорожнього руху</w:t>
      </w:r>
      <w:r w:rsidRPr="00F12D89">
        <w:rPr>
          <w:szCs w:val="28"/>
        </w:rPr>
        <w:t>.</w:t>
      </w:r>
    </w:p>
    <w:p w:rsidR="00F12D89" w:rsidRPr="00F12D89" w:rsidRDefault="00F12D89" w:rsidP="00F12D89">
      <w:pPr>
        <w:spacing w:after="0" w:line="240" w:lineRule="auto"/>
        <w:ind w:firstLine="709"/>
        <w:jc w:val="both"/>
        <w:rPr>
          <w:szCs w:val="28"/>
        </w:rPr>
      </w:pPr>
      <w:r w:rsidRPr="00F12D89">
        <w:rPr>
          <w:b/>
          <w:bCs/>
          <w:szCs w:val="28"/>
        </w:rPr>
        <w:t>6.</w:t>
      </w:r>
      <w:r w:rsidRPr="00F12D89">
        <w:rPr>
          <w:szCs w:val="28"/>
        </w:rPr>
        <w:t xml:space="preserve"> Досить сумнівною, на нашу думку, є пропозиція законопроекту щодо виплати винагороди сповіщувачам (громадянам, які звертаються із заявою або повідомленням про адміністративне правопорушення у сфері забезпечення безпеки дорожнього руху або порушення правил зупинки, стоянки, паркування транспортних засобів, зафіксоване в режимі фотозйомки (відеозапису), до органу, уповноваженого розглядати справу про адміністративне правопорушення, і не є потерпілими; ст. 272-1 КУпАП у редакції законопроекту).</w:t>
      </w:r>
    </w:p>
    <w:p w:rsidR="00F12D89" w:rsidRPr="00F12D89" w:rsidRDefault="00F12D89" w:rsidP="00F12D89">
      <w:pPr>
        <w:spacing w:after="0" w:line="240" w:lineRule="auto"/>
        <w:ind w:firstLine="709"/>
        <w:jc w:val="both"/>
        <w:rPr>
          <w:szCs w:val="28"/>
        </w:rPr>
      </w:pPr>
      <w:r w:rsidRPr="00F12D89">
        <w:rPr>
          <w:szCs w:val="28"/>
        </w:rPr>
        <w:t>Фактично сповіщувач є свідком вчинення правопорушення, який звернувся до уповноважених органів із заявою, підтвердженою відповідними даними (фото/</w:t>
      </w:r>
      <w:proofErr w:type="spellStart"/>
      <w:r w:rsidRPr="00F12D89">
        <w:rPr>
          <w:szCs w:val="28"/>
        </w:rPr>
        <w:t>відеозйомкою</w:t>
      </w:r>
      <w:proofErr w:type="spellEnd"/>
      <w:r w:rsidRPr="00F12D89">
        <w:rPr>
          <w:szCs w:val="28"/>
        </w:rPr>
        <w:t>). У зв’язку з цим незрозуміло, чому держава сприяє виявленню саме правопорушень у сфері дорожнього руху шляхом матеріального стимулювання та залишає поза увагою громадян, що звертаються з повідомленням про порушення екологічного законодавства чи, наприклад, законодавства у сфері будівництва, які зрештою можуть мати навіть більшу суспільну шкідливість.</w:t>
      </w:r>
    </w:p>
    <w:p w:rsidR="00F12D89" w:rsidRPr="00E423B4" w:rsidRDefault="00F12D89" w:rsidP="00F12D89">
      <w:pPr>
        <w:spacing w:after="0" w:line="240" w:lineRule="auto"/>
        <w:ind w:firstLine="709"/>
        <w:jc w:val="both"/>
        <w:rPr>
          <w:szCs w:val="28"/>
        </w:rPr>
      </w:pPr>
      <w:r w:rsidRPr="00F12D89">
        <w:rPr>
          <w:szCs w:val="28"/>
        </w:rPr>
        <w:t>Також звертаємо увагу, що у пояснювальній записці до законопроекту (див. п. 5 «Фінансове обґрунтування») зазначається, що «реалізація проекту</w:t>
      </w:r>
      <w:r w:rsidRPr="00E423B4">
        <w:rPr>
          <w:szCs w:val="28"/>
        </w:rPr>
        <w:t xml:space="preserve"> Закону не потребує додаткового фінансування з державного та місцевого бюджетів, а також інших додаткових витрат». </w:t>
      </w:r>
      <w:r>
        <w:rPr>
          <w:szCs w:val="28"/>
        </w:rPr>
        <w:t>Однак</w:t>
      </w:r>
      <w:r w:rsidRPr="00E423B4">
        <w:rPr>
          <w:szCs w:val="28"/>
        </w:rPr>
        <w:t xml:space="preserve"> очевидним є факт, що виплата винагороди сповіщувачам потребуватиме витрат бюджетних коштів. Таким чином, законопроект не відповідає вимогам ч. 3 ст. 91 Регламенту Верховної Ради України.  </w:t>
      </w:r>
    </w:p>
    <w:p w:rsidR="00F12D89" w:rsidRPr="00E423B4" w:rsidRDefault="00F12D89" w:rsidP="00F12D89">
      <w:pPr>
        <w:spacing w:after="0" w:line="240" w:lineRule="auto"/>
        <w:ind w:firstLine="709"/>
        <w:jc w:val="both"/>
        <w:rPr>
          <w:b/>
          <w:bCs/>
          <w:i/>
          <w:iCs/>
          <w:szCs w:val="28"/>
        </w:rPr>
      </w:pPr>
    </w:p>
    <w:p w:rsidR="00F12D89" w:rsidRPr="00E423B4" w:rsidRDefault="00F12D89" w:rsidP="002805F2">
      <w:pPr>
        <w:spacing w:after="0" w:line="240" w:lineRule="auto"/>
        <w:ind w:firstLine="709"/>
        <w:rPr>
          <w:b/>
          <w:bCs/>
          <w:i/>
          <w:iCs/>
          <w:szCs w:val="28"/>
        </w:rPr>
      </w:pPr>
      <w:r w:rsidRPr="00E423B4">
        <w:rPr>
          <w:b/>
          <w:bCs/>
          <w:i/>
          <w:iCs/>
          <w:szCs w:val="28"/>
        </w:rPr>
        <w:t>Щодо змін до КК</w:t>
      </w:r>
    </w:p>
    <w:p w:rsidR="00F12D89" w:rsidRPr="00E423B4" w:rsidRDefault="00F12D89" w:rsidP="00F12D89">
      <w:pPr>
        <w:spacing w:after="0" w:line="240" w:lineRule="auto"/>
        <w:ind w:firstLine="709"/>
        <w:jc w:val="both"/>
        <w:rPr>
          <w:szCs w:val="28"/>
        </w:rPr>
      </w:pPr>
      <w:r w:rsidRPr="00E423B4">
        <w:rPr>
          <w:szCs w:val="28"/>
        </w:rPr>
        <w:t>У законопроекті пропонується ст</w:t>
      </w:r>
      <w:r>
        <w:rPr>
          <w:szCs w:val="28"/>
        </w:rPr>
        <w:t>.</w:t>
      </w:r>
      <w:r w:rsidRPr="00E423B4">
        <w:rPr>
          <w:szCs w:val="28"/>
        </w:rPr>
        <w:t xml:space="preserve"> 384 </w:t>
      </w:r>
      <w:r>
        <w:rPr>
          <w:szCs w:val="28"/>
        </w:rPr>
        <w:t xml:space="preserve">КК </w:t>
      </w:r>
      <w:r w:rsidRPr="00E423B4">
        <w:rPr>
          <w:szCs w:val="28"/>
        </w:rPr>
        <w:t>«Введення в оману суду або іншого уповноваженого органу» доповнити новою ч</w:t>
      </w:r>
      <w:r>
        <w:rPr>
          <w:szCs w:val="28"/>
        </w:rPr>
        <w:t>.</w:t>
      </w:r>
      <w:r w:rsidRPr="00E423B4">
        <w:rPr>
          <w:szCs w:val="28"/>
        </w:rPr>
        <w:t xml:space="preserve"> 3, у якій встанов</w:t>
      </w:r>
      <w:r>
        <w:rPr>
          <w:szCs w:val="28"/>
        </w:rPr>
        <w:t>люється</w:t>
      </w:r>
      <w:r w:rsidRPr="00E423B4">
        <w:rPr>
          <w:szCs w:val="28"/>
        </w:rPr>
        <w:t xml:space="preserve"> кримінальн</w:t>
      </w:r>
      <w:r>
        <w:rPr>
          <w:szCs w:val="28"/>
        </w:rPr>
        <w:t>а</w:t>
      </w:r>
      <w:r w:rsidRPr="00E423B4">
        <w:rPr>
          <w:szCs w:val="28"/>
        </w:rPr>
        <w:t xml:space="preserve"> відповідальність за подання завідомо недостовірних або підроблених доказів у справі про адміністративне правопорушення до органу (посадової особи), що розглядає справу про адміністративне правопорушення, суду. Така пропозиція викликає низку зауважень. Йдеться, зокрема, про таке.</w:t>
      </w:r>
    </w:p>
    <w:p w:rsidR="00F12D89" w:rsidRPr="00E423B4" w:rsidRDefault="00F12D89" w:rsidP="00F12D89">
      <w:pPr>
        <w:spacing w:after="0" w:line="240" w:lineRule="auto"/>
        <w:ind w:firstLine="709"/>
        <w:jc w:val="both"/>
        <w:rPr>
          <w:szCs w:val="28"/>
        </w:rPr>
      </w:pPr>
      <w:r w:rsidRPr="00E423B4">
        <w:rPr>
          <w:b/>
          <w:szCs w:val="28"/>
        </w:rPr>
        <w:t>1.</w:t>
      </w:r>
      <w:r w:rsidRPr="00E423B4">
        <w:rPr>
          <w:szCs w:val="28"/>
        </w:rPr>
        <w:t xml:space="preserve"> Аналіз обов’язкових ознак складу кримінального правопорушення, передбаченого ч. 3 ст. 384 (у редакції проекту), свідчить про пропозицію </w:t>
      </w:r>
      <w:proofErr w:type="spellStart"/>
      <w:r w:rsidRPr="00E423B4">
        <w:rPr>
          <w:szCs w:val="28"/>
        </w:rPr>
        <w:t>криміналізувати</w:t>
      </w:r>
      <w:proofErr w:type="spellEnd"/>
      <w:r w:rsidRPr="00E423B4">
        <w:rPr>
          <w:szCs w:val="28"/>
        </w:rPr>
        <w:t xml:space="preserve"> подання завідомо недостовірних або підроблених доказів лише </w:t>
      </w:r>
      <w:r w:rsidRPr="00E423B4">
        <w:rPr>
          <w:i/>
          <w:szCs w:val="28"/>
        </w:rPr>
        <w:lastRenderedPageBreak/>
        <w:t xml:space="preserve">у справах про адміністративні правопорушення, у тому числі й тих, </w:t>
      </w:r>
      <w:r>
        <w:rPr>
          <w:i/>
          <w:szCs w:val="28"/>
        </w:rPr>
        <w:t>де правопорушення</w:t>
      </w:r>
      <w:r w:rsidRPr="00E423B4">
        <w:rPr>
          <w:i/>
          <w:szCs w:val="28"/>
        </w:rPr>
        <w:t xml:space="preserve"> були зафіксовані в режимі фотозйомки (відеозапису)</w:t>
      </w:r>
      <w:r w:rsidRPr="00E423B4">
        <w:rPr>
          <w:szCs w:val="28"/>
        </w:rPr>
        <w:t>. Так, відповідно до ст. 251 КУпАП (у редакції проекту) доказами в справі про адміністративне правопорушення є будь-які фактичні дані, на основі яких у визначеному законом порядку орган (посадова особа) встановлює наявність чи відсутність адміністративного правопорушення, винність даної особи в його вчиненні та інші обставини, що мають значення для правильного вирішення справи. Ці дані встановлюються протоколом про адміністративне правопорушення, поясненнями особи, яка притягається до адміністративної відповідальності, потерпілих, свідків, висновком експерта, речовими та електронними доказами (показаннями технічних приладів та технічних засобів, що мають функції фото- і кінозйомки, відеозапису, у тому числі тими, що використовуються особою, яка притягається до адміністративної відповідальності, або свідками, а також працюючими в автоматичному режимі або в режимі фотозйомки (відеозапису), чи засобів фото- і кінозйомки, відеозапису, у тому числі тими, що використовуються особою, яка притягається до адміністративної відповідальності, або свідками, а також працюючими в автоматичному режимі або в режимі фотозйомки (відеозапису), які використовуються при нагляді за виконанням правил, норм і стандартів, що стосуються забезпечення безпеки дорожнього руху та паркування транспортних засобів), актом огляду та тимчасового затримання транспортного засобу, протоколом про вилучення речей і документів, копіювання інформації в електронній (цифровій) формі, а також іншими документами.</w:t>
      </w:r>
    </w:p>
    <w:p w:rsidR="00F12D89" w:rsidRPr="00E423B4" w:rsidRDefault="00F12D89" w:rsidP="00F12D89">
      <w:pPr>
        <w:spacing w:after="0" w:line="240" w:lineRule="auto"/>
        <w:ind w:firstLine="709"/>
        <w:jc w:val="both"/>
        <w:rPr>
          <w:szCs w:val="28"/>
        </w:rPr>
      </w:pPr>
      <w:r w:rsidRPr="00E423B4">
        <w:rPr>
          <w:szCs w:val="28"/>
        </w:rPr>
        <w:t xml:space="preserve">Окрім того, запропонований законодавчий підхід щодо встановлення кримінальної відповідальності за окремі протиправні дії з доказами у справах про адміністративне правопорушення у </w:t>
      </w:r>
      <w:r>
        <w:rPr>
          <w:szCs w:val="28"/>
        </w:rPr>
        <w:t>вигляді</w:t>
      </w:r>
      <w:r w:rsidRPr="00E423B4">
        <w:rPr>
          <w:szCs w:val="28"/>
        </w:rPr>
        <w:t xml:space="preserve"> самостійного складу кримінального правопорушення не вирішує питання належного врегулювання вітчизняним кримінальним законодавством відповідальності за фальсифікацію доказів незалежно від форми судочинства. </w:t>
      </w:r>
      <w:r>
        <w:rPr>
          <w:szCs w:val="28"/>
        </w:rPr>
        <w:t>Хоча</w:t>
      </w:r>
      <w:r w:rsidRPr="00E423B4">
        <w:rPr>
          <w:szCs w:val="28"/>
        </w:rPr>
        <w:t xml:space="preserve"> самостійної норми про кримінальну відповідальність за протиправні дії з доказами</w:t>
      </w:r>
      <w:r>
        <w:rPr>
          <w:szCs w:val="28"/>
        </w:rPr>
        <w:t xml:space="preserve"> не передбачено</w:t>
      </w:r>
      <w:r w:rsidRPr="00E423B4">
        <w:rPr>
          <w:szCs w:val="28"/>
        </w:rPr>
        <w:t>, кримінально-правова протидія правопорушенням, що вчиняються у сфері фальсифікації доказів (підроблення, примушування давати показання, завідомо неправдиві показання тощо), забезпечується окремими загальними та спеціальними нормами кримінального закону. Зокрема, вже існує кримінальна відповідальність за підроблення документів, печаток, штампів та бланків, їх збут або використання вказаних підроблених предметів (ст. 358 КК); за службове підроблення (ст. 366 КК); за введення в оману суду або іншого уповноваженого органу (ст. 384 КК) тощо.</w:t>
      </w:r>
    </w:p>
    <w:p w:rsidR="00F12D89" w:rsidRPr="00F12D89" w:rsidRDefault="00F12D89" w:rsidP="00F12D89">
      <w:pPr>
        <w:spacing w:after="0" w:line="240" w:lineRule="auto"/>
        <w:ind w:firstLine="709"/>
        <w:jc w:val="both"/>
        <w:rPr>
          <w:szCs w:val="28"/>
        </w:rPr>
      </w:pPr>
      <w:r w:rsidRPr="00E423B4">
        <w:rPr>
          <w:szCs w:val="28"/>
        </w:rPr>
        <w:t xml:space="preserve">Зокрема, однією з форм прояву введення в оману суду або іншого уповноваженого органу є подання завідомо недостовірних або підроблених доказів. Вказане </w:t>
      </w:r>
      <w:r w:rsidRPr="00E423B4">
        <w:rPr>
          <w:color w:val="000000" w:themeColor="text1"/>
          <w:szCs w:val="28"/>
        </w:rPr>
        <w:t xml:space="preserve">діяння було криміналізоване у зв’язку з прийняттям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від </w:t>
      </w:r>
      <w:r w:rsidRPr="00E423B4">
        <w:rPr>
          <w:szCs w:val="28"/>
        </w:rPr>
        <w:t xml:space="preserve">03.10.2017 № 2147-VIII. Водночас внесені зазначеним Законом зміни до </w:t>
      </w:r>
      <w:r w:rsidRPr="00E423B4">
        <w:rPr>
          <w:szCs w:val="28"/>
        </w:rPr>
        <w:lastRenderedPageBreak/>
        <w:t xml:space="preserve">диспозиції ч. 1 ст. 384 КК призвели до об’єднання у межах одного складу кримінального правопорушення абсолютно різних за змістом суспільно небезпечних діянь, що у свою чергу породило більше запитань, аніж відповідей. Так, відкритими залишаються питання щодо суб’єктів вчинення діяння у вигляді подання завідомо недостовірних або підроблених доказів (йдеться лише про свідка, потерпілого, експерта, спеціаліста або перекладача незалежно від форми судочинства, чи про будь-яку особу, яка має право подавати докази до відповідних </w:t>
      </w:r>
      <w:r w:rsidRPr="00F12D89">
        <w:rPr>
          <w:szCs w:val="28"/>
        </w:rPr>
        <w:t xml:space="preserve">органів); обстановки та часу вчинення вказаного діяння (чи є відповідні ознаки об’єктивної сторони обов’язковими для подання завідомо недостовірних або підроблених доказів); форми правосуддя (йдеться про розгляд у будь-якому провадженні – кримінальному, цивільному, господарському, адміністративному провадженні, про розгляд справ про адміністративні правопорушення, чи лише про окремі види процесу). Оскільки на практиці вочевидь мають місце випадки, коли учасники процесу надають завідомо недостовірні або підроблені докази, що призводить (може призвести) до завдання шкоди певній особі або до постановлення уповноваженою особою (органом) незаконного рішення, протидія фальсифікації доказів у різноманітних формах судочинства потребує належного законодавчого врегулювання. </w:t>
      </w:r>
    </w:p>
    <w:p w:rsidR="00F12D89" w:rsidRPr="00E423B4" w:rsidRDefault="00F12D89" w:rsidP="00F12D89">
      <w:pPr>
        <w:spacing w:after="0" w:line="240" w:lineRule="auto"/>
        <w:ind w:firstLine="709"/>
        <w:jc w:val="both"/>
      </w:pPr>
      <w:r w:rsidRPr="00F12D89">
        <w:rPr>
          <w:bCs/>
          <w:szCs w:val="28"/>
        </w:rPr>
        <w:t xml:space="preserve">У зв’язку з вищезазначеним, правильним рішенням було б </w:t>
      </w:r>
      <w:r w:rsidRPr="00F12D89">
        <w:t>не виокремлення самостійної підстави для притягнення винної особи до кримінальної відповідальності за подання завідомо недостовірних або підроблених доказів у справі про адміністративне правопорушення до органу (посадової особи), що розглядає справу про адміністративне правопорушення, суду (ч. 3 ст. 384 КК у редакції проекту)</w:t>
      </w:r>
      <w:r w:rsidRPr="00F12D89">
        <w:rPr>
          <w:bCs/>
          <w:szCs w:val="28"/>
        </w:rPr>
        <w:t xml:space="preserve">, а напрацювання </w:t>
      </w:r>
      <w:r w:rsidRPr="00F12D89">
        <w:t>пропозицій</w:t>
      </w:r>
      <w:r w:rsidRPr="00E423B4">
        <w:t xml:space="preserve"> щодо удосконалення національного законодавства </w:t>
      </w:r>
      <w:r>
        <w:t>для</w:t>
      </w:r>
      <w:r w:rsidRPr="00E423B4">
        <w:t xml:space="preserve"> протидії </w:t>
      </w:r>
      <w:r>
        <w:t xml:space="preserve">будь-якій </w:t>
      </w:r>
      <w:r w:rsidRPr="00E423B4">
        <w:t xml:space="preserve">фальсифікації доказів </w:t>
      </w:r>
      <w:r w:rsidRPr="00E423B4">
        <w:rPr>
          <w:bCs/>
          <w:szCs w:val="28"/>
        </w:rPr>
        <w:t>з метою ефективного застосування відповідних норм на практиці.</w:t>
      </w:r>
    </w:p>
    <w:p w:rsidR="00F12D89" w:rsidRPr="00E423B4" w:rsidRDefault="00F12D89" w:rsidP="00F12D89">
      <w:pPr>
        <w:spacing w:after="0" w:line="240" w:lineRule="auto"/>
        <w:ind w:firstLine="709"/>
        <w:jc w:val="both"/>
        <w:rPr>
          <w:bCs/>
          <w:szCs w:val="28"/>
        </w:rPr>
      </w:pPr>
      <w:r w:rsidRPr="00E423B4">
        <w:rPr>
          <w:b/>
          <w:bCs/>
        </w:rPr>
        <w:t xml:space="preserve">2. </w:t>
      </w:r>
      <w:r w:rsidRPr="00E423B4">
        <w:t xml:space="preserve">Санкція ч. 3 ст. 384 КК (у редакції </w:t>
      </w:r>
      <w:r w:rsidRPr="00E423B4">
        <w:rPr>
          <w:bCs/>
          <w:szCs w:val="28"/>
        </w:rPr>
        <w:t xml:space="preserve">проекту) передбачає покарання у виді виправних робіт на строк до одного року або арешту на строк до трьох місяців, або </w:t>
      </w:r>
      <w:r w:rsidRPr="00E423B4">
        <w:rPr>
          <w:bCs/>
          <w:i/>
          <w:iCs/>
          <w:szCs w:val="28"/>
        </w:rPr>
        <w:t>обмеження волі на строк до одного року</w:t>
      </w:r>
      <w:r w:rsidRPr="00E423B4">
        <w:rPr>
          <w:bCs/>
          <w:szCs w:val="28"/>
        </w:rPr>
        <w:t xml:space="preserve">. Однак згідно з ч. 2 ст. 61 КК обмеження волі встановлюється на строк </w:t>
      </w:r>
      <w:r w:rsidRPr="00E423B4">
        <w:rPr>
          <w:bCs/>
          <w:i/>
          <w:iCs/>
          <w:szCs w:val="28"/>
        </w:rPr>
        <w:t>від одного до п’яти років</w:t>
      </w:r>
      <w:r w:rsidRPr="00E423B4">
        <w:rPr>
          <w:bCs/>
          <w:szCs w:val="28"/>
        </w:rPr>
        <w:t>.</w:t>
      </w:r>
    </w:p>
    <w:p w:rsidR="00F12D89" w:rsidRPr="00E423B4" w:rsidRDefault="00F12D89" w:rsidP="00F12D89">
      <w:pPr>
        <w:spacing w:after="0" w:line="240" w:lineRule="auto"/>
        <w:ind w:firstLine="709"/>
        <w:jc w:val="both"/>
        <w:rPr>
          <w:b/>
          <w:bCs/>
          <w:i/>
          <w:iCs/>
          <w:szCs w:val="28"/>
        </w:rPr>
      </w:pPr>
    </w:p>
    <w:p w:rsidR="00F12D89" w:rsidRPr="00E423B4" w:rsidRDefault="00F12D89" w:rsidP="002805F2">
      <w:pPr>
        <w:pStyle w:val="a3"/>
        <w:ind w:firstLine="709"/>
        <w:jc w:val="left"/>
        <w:rPr>
          <w:rFonts w:ascii="Times New Roman" w:hAnsi="Times New Roman" w:cs="Times New Roman"/>
          <w:b/>
          <w:i/>
        </w:rPr>
      </w:pPr>
      <w:r w:rsidRPr="00E423B4">
        <w:rPr>
          <w:rFonts w:ascii="Times New Roman" w:hAnsi="Times New Roman" w:cs="Times New Roman"/>
          <w:b/>
          <w:i/>
        </w:rPr>
        <w:t>Щодо змін до КАСУ</w:t>
      </w:r>
    </w:p>
    <w:p w:rsidR="00F12D89" w:rsidRPr="00E423B4" w:rsidRDefault="00F12D89" w:rsidP="00F12D89">
      <w:pPr>
        <w:pStyle w:val="a3"/>
        <w:ind w:firstLine="709"/>
        <w:rPr>
          <w:rFonts w:ascii="Times New Roman" w:eastAsia="Calibri" w:hAnsi="Times New Roman" w:cs="Times New Roman"/>
          <w:bCs/>
          <w:color w:val="000000"/>
          <w:lang w:eastAsia="en-US"/>
        </w:rPr>
      </w:pPr>
      <w:r w:rsidRPr="00E423B4">
        <w:rPr>
          <w:rFonts w:ascii="Times New Roman" w:eastAsia="Calibri" w:hAnsi="Times New Roman" w:cs="Times New Roman"/>
          <w:bCs/>
          <w:color w:val="000000"/>
          <w:lang w:eastAsia="en-US"/>
        </w:rPr>
        <w:t xml:space="preserve">Відповідно до </w:t>
      </w:r>
      <w:r>
        <w:rPr>
          <w:rFonts w:ascii="Times New Roman" w:eastAsia="Calibri" w:hAnsi="Times New Roman" w:cs="Times New Roman"/>
          <w:bCs/>
          <w:color w:val="000000"/>
          <w:lang w:eastAsia="en-US"/>
        </w:rPr>
        <w:t>ч. 9 ст. 137 КАСУ «В</w:t>
      </w:r>
      <w:r w:rsidRPr="00A83422">
        <w:rPr>
          <w:rFonts w:ascii="Times New Roman" w:eastAsia="Calibri" w:hAnsi="Times New Roman" w:cs="Times New Roman"/>
          <w:bCs/>
          <w:color w:val="000000"/>
          <w:lang w:eastAsia="en-US"/>
        </w:rPr>
        <w:t>итрати, пов’язані із залученням свідків, спеціалістів, перекладачів, експертів та проведенням експертиз</w:t>
      </w:r>
      <w:r>
        <w:rPr>
          <w:rFonts w:ascii="Times New Roman" w:eastAsia="Calibri" w:hAnsi="Times New Roman" w:cs="Times New Roman"/>
          <w:bCs/>
          <w:color w:val="000000"/>
          <w:lang w:eastAsia="en-US"/>
        </w:rPr>
        <w:t>»</w:t>
      </w:r>
      <w:r w:rsidRPr="00A83422">
        <w:rPr>
          <w:rFonts w:ascii="Times New Roman" w:eastAsia="Calibri" w:hAnsi="Times New Roman" w:cs="Times New Roman"/>
          <w:bCs/>
          <w:color w:val="000000"/>
          <w:lang w:eastAsia="en-US"/>
        </w:rPr>
        <w:t xml:space="preserve"> </w:t>
      </w:r>
      <w:r>
        <w:rPr>
          <w:rFonts w:ascii="Times New Roman" w:eastAsia="Calibri" w:hAnsi="Times New Roman" w:cs="Times New Roman"/>
          <w:bCs/>
          <w:color w:val="000000"/>
          <w:lang w:eastAsia="en-US"/>
        </w:rPr>
        <w:t>(у редакції проекту) «</w:t>
      </w:r>
      <w:r>
        <w:rPr>
          <w:rFonts w:ascii="Times New Roman" w:eastAsia="Calibri" w:hAnsi="Times New Roman" w:cs="Times New Roman"/>
          <w:bCs/>
          <w:i/>
          <w:color w:val="000000"/>
          <w:lang w:eastAsia="en-US"/>
        </w:rPr>
        <w:t>д</w:t>
      </w:r>
      <w:r w:rsidRPr="00E423B4">
        <w:rPr>
          <w:rFonts w:ascii="Times New Roman" w:eastAsia="Calibri" w:hAnsi="Times New Roman" w:cs="Times New Roman"/>
          <w:bCs/>
          <w:i/>
          <w:color w:val="000000"/>
          <w:lang w:eastAsia="en-US"/>
        </w:rPr>
        <w:t>ержава оплачує витрати пов’язані із проведенням експертизи</w:t>
      </w:r>
      <w:r w:rsidRPr="00E423B4">
        <w:rPr>
          <w:rFonts w:ascii="Times New Roman" w:eastAsia="Calibri" w:hAnsi="Times New Roman" w:cs="Times New Roman"/>
          <w:bCs/>
          <w:color w:val="000000"/>
          <w:lang w:eastAsia="en-US"/>
        </w:rPr>
        <w:t xml:space="preserve"> з подальшим стягненням таких витрат в порядку, встановленому цим Кодексом, за наявності всіх наступних умов: 1) якщо справа стосується оскарження рішення (постанови) у справі про адміністративне правопорушення у сфері забезпечення безпеки дорожнього руху або про порушення правил зупинки, стоянки, паркування транспортних засобів, зафіксоване в режимі фотозйомки (відеозапису) сповіщувачем; 2) якщо клопотання про проведення експертизи заявлено позивачем; 3) якщо експертиза стосується дослідження фотозйомки (відеозапису) на предмет його недостовірності або підробки</w:t>
      </w:r>
      <w:r>
        <w:rPr>
          <w:rFonts w:ascii="Times New Roman" w:eastAsia="Calibri" w:hAnsi="Times New Roman" w:cs="Times New Roman"/>
          <w:bCs/>
          <w:color w:val="000000"/>
          <w:lang w:eastAsia="en-US"/>
        </w:rPr>
        <w:t>»</w:t>
      </w:r>
      <w:r w:rsidRPr="00E423B4">
        <w:rPr>
          <w:rFonts w:ascii="Times New Roman" w:eastAsia="Calibri" w:hAnsi="Times New Roman" w:cs="Times New Roman"/>
          <w:bCs/>
          <w:color w:val="000000"/>
          <w:lang w:eastAsia="en-US"/>
        </w:rPr>
        <w:t>.</w:t>
      </w:r>
    </w:p>
    <w:p w:rsidR="00F12D89" w:rsidRPr="00E423B4" w:rsidRDefault="00F12D89" w:rsidP="00F12D89">
      <w:pPr>
        <w:pStyle w:val="a3"/>
        <w:ind w:firstLine="709"/>
        <w:rPr>
          <w:rFonts w:ascii="Times New Roman" w:eastAsia="Calibri" w:hAnsi="Times New Roman" w:cs="Times New Roman"/>
          <w:bCs/>
          <w:color w:val="000000"/>
          <w:lang w:eastAsia="en-US"/>
        </w:rPr>
      </w:pPr>
      <w:r w:rsidRPr="00E423B4">
        <w:rPr>
          <w:rFonts w:ascii="Times New Roman" w:eastAsia="Calibri" w:hAnsi="Times New Roman" w:cs="Times New Roman"/>
          <w:bCs/>
          <w:color w:val="000000"/>
          <w:lang w:eastAsia="en-US"/>
        </w:rPr>
        <w:lastRenderedPageBreak/>
        <w:t>У</w:t>
      </w:r>
      <w:r>
        <w:rPr>
          <w:rFonts w:ascii="Times New Roman" w:eastAsia="Calibri" w:hAnsi="Times New Roman" w:cs="Times New Roman"/>
          <w:bCs/>
          <w:color w:val="000000"/>
          <w:lang w:eastAsia="en-US"/>
        </w:rPr>
        <w:t>досконалення контролю у</w:t>
      </w:r>
      <w:r w:rsidRPr="00E423B4">
        <w:rPr>
          <w:rFonts w:ascii="Times New Roman" w:eastAsia="Calibri" w:hAnsi="Times New Roman" w:cs="Times New Roman"/>
          <w:bCs/>
          <w:color w:val="000000"/>
          <w:lang w:eastAsia="en-US"/>
        </w:rPr>
        <w:t xml:space="preserve"> сфері безпеки дорожнього руху безумовно є актуальною проблемою. Водночас, </w:t>
      </w:r>
      <w:r>
        <w:rPr>
          <w:rFonts w:ascii="Times New Roman" w:eastAsia="Calibri" w:hAnsi="Times New Roman" w:cs="Times New Roman"/>
          <w:bCs/>
          <w:color w:val="000000"/>
          <w:lang w:eastAsia="en-US"/>
        </w:rPr>
        <w:t xml:space="preserve">воно </w:t>
      </w:r>
      <w:r w:rsidRPr="00E423B4">
        <w:rPr>
          <w:rFonts w:ascii="Times New Roman" w:eastAsia="Calibri" w:hAnsi="Times New Roman" w:cs="Times New Roman"/>
          <w:bCs/>
          <w:color w:val="000000"/>
          <w:lang w:eastAsia="en-US"/>
        </w:rPr>
        <w:t>навряд чи єдиною</w:t>
      </w:r>
      <w:r>
        <w:rPr>
          <w:rFonts w:ascii="Times New Roman" w:eastAsia="Calibri" w:hAnsi="Times New Roman" w:cs="Times New Roman"/>
          <w:bCs/>
          <w:color w:val="000000"/>
          <w:lang w:eastAsia="en-US"/>
        </w:rPr>
        <w:t xml:space="preserve"> проблемою</w:t>
      </w:r>
      <w:r w:rsidRPr="00E423B4">
        <w:rPr>
          <w:rFonts w:ascii="Times New Roman" w:eastAsia="Calibri" w:hAnsi="Times New Roman" w:cs="Times New Roman"/>
          <w:bCs/>
          <w:color w:val="000000"/>
          <w:lang w:eastAsia="en-US"/>
        </w:rPr>
        <w:t>, яка потребує реагування з боку держави. Пр</w:t>
      </w:r>
      <w:r>
        <w:rPr>
          <w:rFonts w:ascii="Times New Roman" w:eastAsia="Calibri" w:hAnsi="Times New Roman" w:cs="Times New Roman"/>
          <w:bCs/>
          <w:color w:val="000000"/>
          <w:lang w:eastAsia="en-US"/>
        </w:rPr>
        <w:t>оте</w:t>
      </w:r>
      <w:r w:rsidRPr="00E423B4">
        <w:rPr>
          <w:rFonts w:ascii="Times New Roman" w:eastAsia="Calibri" w:hAnsi="Times New Roman" w:cs="Times New Roman"/>
          <w:bCs/>
          <w:color w:val="000000"/>
          <w:lang w:eastAsia="en-US"/>
        </w:rPr>
        <w:t>, законопроектом пропонуються преференції у виді оплати державою замість позивача витрат, пов’язаних з проведенням експертизи, тільки щодо певної категорії спорів. На наш погляд, запропонований підхід є доволі сумнівним та вибірковим.</w:t>
      </w:r>
    </w:p>
    <w:p w:rsidR="00F12D89" w:rsidRPr="00E423B4" w:rsidRDefault="00F12D89" w:rsidP="00F12D89">
      <w:pPr>
        <w:pStyle w:val="a3"/>
        <w:rPr>
          <w:rFonts w:ascii="Times New Roman" w:eastAsia="Calibri" w:hAnsi="Times New Roman" w:cs="Times New Roman"/>
          <w:bCs/>
          <w:color w:val="000000"/>
          <w:lang w:eastAsia="en-US"/>
        </w:rPr>
      </w:pPr>
      <w:r>
        <w:rPr>
          <w:rFonts w:ascii="Times New Roman" w:eastAsia="Calibri" w:hAnsi="Times New Roman" w:cs="Times New Roman"/>
          <w:bCs/>
          <w:color w:val="000000"/>
          <w:lang w:eastAsia="en-US"/>
        </w:rPr>
        <w:t>Крім того, в</w:t>
      </w:r>
      <w:r w:rsidRPr="00E423B4">
        <w:rPr>
          <w:rFonts w:ascii="Times New Roman" w:eastAsia="Calibri" w:hAnsi="Times New Roman" w:cs="Times New Roman"/>
          <w:bCs/>
          <w:color w:val="000000"/>
          <w:lang w:eastAsia="en-US"/>
        </w:rPr>
        <w:t>становлення обов’язку держави оплачувати замість позивача витрати</w:t>
      </w:r>
      <w:r>
        <w:rPr>
          <w:rFonts w:ascii="Times New Roman" w:eastAsia="Calibri" w:hAnsi="Times New Roman" w:cs="Times New Roman"/>
          <w:bCs/>
          <w:color w:val="000000"/>
          <w:lang w:eastAsia="en-US"/>
        </w:rPr>
        <w:t>,</w:t>
      </w:r>
      <w:r w:rsidRPr="00E423B4">
        <w:rPr>
          <w:rFonts w:ascii="Times New Roman" w:eastAsia="Calibri" w:hAnsi="Times New Roman" w:cs="Times New Roman"/>
          <w:bCs/>
          <w:color w:val="000000"/>
          <w:lang w:eastAsia="en-US"/>
        </w:rPr>
        <w:t xml:space="preserve"> пов’язані з проведенням експертизи для дослідження фотозйомки (відеозапису) на предмет </w:t>
      </w:r>
      <w:r>
        <w:rPr>
          <w:rFonts w:ascii="Times New Roman" w:eastAsia="Calibri" w:hAnsi="Times New Roman" w:cs="Times New Roman"/>
          <w:bCs/>
          <w:color w:val="000000"/>
          <w:lang w:eastAsia="en-US"/>
        </w:rPr>
        <w:t>її</w:t>
      </w:r>
      <w:r w:rsidRPr="00E423B4">
        <w:rPr>
          <w:rFonts w:ascii="Times New Roman" w:eastAsia="Calibri" w:hAnsi="Times New Roman" w:cs="Times New Roman"/>
          <w:bCs/>
          <w:color w:val="000000"/>
          <w:lang w:eastAsia="en-US"/>
        </w:rPr>
        <w:t xml:space="preserve"> недостовірності або підробки у справі про адміністративне правопорушення у сфері забезпечення безпеки дорожнього руху або про порушення правил зупинки, стоянки, паркування транспортних засобів, зафіксоване в режимі фотозйомки (відеозапису) сповіщувачем, потребуватиме додаткових витрат з Державного бюджету України. </w:t>
      </w:r>
    </w:p>
    <w:p w:rsidR="00F12D89" w:rsidRPr="00E423B4" w:rsidRDefault="00F12D89" w:rsidP="00F12D89">
      <w:pPr>
        <w:pStyle w:val="a3"/>
        <w:ind w:firstLine="709"/>
        <w:rPr>
          <w:rFonts w:ascii="Times New Roman" w:eastAsia="Calibri" w:hAnsi="Times New Roman" w:cs="Times New Roman"/>
          <w:bCs/>
          <w:color w:val="000000"/>
          <w:lang w:eastAsia="en-US"/>
        </w:rPr>
      </w:pPr>
      <w:r w:rsidRPr="00E423B4">
        <w:rPr>
          <w:rFonts w:ascii="Times New Roman" w:eastAsia="Calibri" w:hAnsi="Times New Roman" w:cs="Times New Roman"/>
          <w:bCs/>
          <w:color w:val="000000"/>
          <w:lang w:eastAsia="en-US"/>
        </w:rPr>
        <w:t xml:space="preserve">Відповідно до ч. 3 ст. 91 Регламенту Верховної Ради України у разі внесення законопроекту, прийняття якого призведе до зміни показників бюджету (надходжень бюджету та/або витрат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проекту іншого </w:t>
      </w:r>
      <w:proofErr w:type="spellStart"/>
      <w:r w:rsidRPr="00E423B4">
        <w:rPr>
          <w:rFonts w:ascii="Times New Roman" w:eastAsia="Calibri" w:hAnsi="Times New Roman" w:cs="Times New Roman"/>
          <w:bCs/>
          <w:color w:val="000000"/>
          <w:lang w:eastAsia="en-US"/>
        </w:rPr>
        <w:t>акта</w:t>
      </w:r>
      <w:proofErr w:type="spellEnd"/>
      <w:r w:rsidRPr="00E423B4">
        <w:rPr>
          <w:rFonts w:ascii="Times New Roman" w:eastAsia="Calibri" w:hAnsi="Times New Roman" w:cs="Times New Roman"/>
          <w:bCs/>
          <w:color w:val="000000"/>
          <w:lang w:eastAsia="en-US"/>
        </w:rPr>
        <w:t xml:space="preserve"> подаються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w:t>
      </w:r>
    </w:p>
    <w:p w:rsidR="00F12D89" w:rsidRDefault="00F12D89" w:rsidP="00F12D89">
      <w:pPr>
        <w:pStyle w:val="a3"/>
        <w:ind w:firstLine="709"/>
        <w:rPr>
          <w:rFonts w:ascii="Times New Roman" w:eastAsia="Calibri" w:hAnsi="Times New Roman" w:cs="Times New Roman"/>
          <w:bCs/>
          <w:color w:val="000000"/>
          <w:lang w:eastAsia="en-US"/>
        </w:rPr>
      </w:pPr>
      <w:r>
        <w:rPr>
          <w:rFonts w:ascii="Times New Roman" w:eastAsia="Calibri" w:hAnsi="Times New Roman" w:cs="Times New Roman"/>
          <w:bCs/>
          <w:color w:val="000000"/>
          <w:lang w:eastAsia="en-US"/>
        </w:rPr>
        <w:t>З</w:t>
      </w:r>
      <w:r w:rsidRPr="00E423B4">
        <w:rPr>
          <w:rFonts w:ascii="Times New Roman" w:eastAsia="Calibri" w:hAnsi="Times New Roman" w:cs="Times New Roman"/>
          <w:bCs/>
          <w:color w:val="000000"/>
          <w:lang w:eastAsia="en-US"/>
        </w:rPr>
        <w:t xml:space="preserve">азначена вимога Регламенту Верховної Ради України </w:t>
      </w:r>
      <w:r>
        <w:rPr>
          <w:rFonts w:ascii="Times New Roman" w:eastAsia="Calibri" w:hAnsi="Times New Roman" w:cs="Times New Roman"/>
          <w:bCs/>
          <w:color w:val="000000"/>
          <w:lang w:eastAsia="en-US"/>
        </w:rPr>
        <w:t>при поданні даного</w:t>
      </w:r>
      <w:r w:rsidRPr="00E423B4">
        <w:rPr>
          <w:rFonts w:ascii="Times New Roman" w:eastAsia="Calibri" w:hAnsi="Times New Roman" w:cs="Times New Roman"/>
          <w:bCs/>
          <w:color w:val="000000"/>
          <w:lang w:eastAsia="en-US"/>
        </w:rPr>
        <w:t xml:space="preserve"> законопроекту не виконана.</w:t>
      </w:r>
    </w:p>
    <w:p w:rsidR="002805F2" w:rsidRDefault="002805F2" w:rsidP="00F12D89">
      <w:pPr>
        <w:pStyle w:val="a3"/>
        <w:ind w:firstLine="709"/>
        <w:rPr>
          <w:rFonts w:ascii="Times New Roman" w:eastAsia="Calibri" w:hAnsi="Times New Roman" w:cs="Times New Roman"/>
          <w:bCs/>
          <w:color w:val="000000"/>
          <w:lang w:eastAsia="en-US"/>
        </w:rPr>
      </w:pPr>
    </w:p>
    <w:p w:rsidR="002805F2" w:rsidRDefault="002805F2" w:rsidP="00F12D89">
      <w:pPr>
        <w:pStyle w:val="a3"/>
        <w:ind w:firstLine="709"/>
        <w:rPr>
          <w:rFonts w:ascii="Times New Roman" w:eastAsia="Calibri" w:hAnsi="Times New Roman" w:cs="Times New Roman"/>
          <w:bCs/>
          <w:color w:val="000000"/>
          <w:lang w:eastAsia="en-US"/>
        </w:rPr>
      </w:pPr>
    </w:p>
    <w:p w:rsidR="002805F2" w:rsidRPr="00E423B4" w:rsidRDefault="002805F2" w:rsidP="002805F2">
      <w:pPr>
        <w:spacing w:after="0" w:line="240" w:lineRule="auto"/>
        <w:ind w:firstLine="709"/>
        <w:jc w:val="both"/>
      </w:pPr>
      <w:r w:rsidRPr="00E423B4">
        <w:t xml:space="preserve">Керівник Головного управління </w:t>
      </w:r>
      <w:r w:rsidRPr="00E423B4">
        <w:tab/>
      </w:r>
      <w:r w:rsidRPr="00E423B4">
        <w:tab/>
      </w:r>
      <w:r w:rsidRPr="00E423B4">
        <w:tab/>
      </w:r>
      <w:r w:rsidRPr="00E423B4">
        <w:tab/>
        <w:t xml:space="preserve"> </w:t>
      </w:r>
      <w:r>
        <w:t xml:space="preserve">               </w:t>
      </w:r>
      <w:r w:rsidRPr="00E423B4">
        <w:t>С. Тихонюк</w:t>
      </w:r>
    </w:p>
    <w:p w:rsidR="002805F2" w:rsidRPr="00E423B4" w:rsidRDefault="002805F2" w:rsidP="002805F2">
      <w:pPr>
        <w:spacing w:after="0" w:line="240" w:lineRule="auto"/>
        <w:ind w:firstLine="709"/>
        <w:jc w:val="both"/>
      </w:pPr>
    </w:p>
    <w:p w:rsidR="002805F2" w:rsidRPr="00E423B4" w:rsidRDefault="002805F2" w:rsidP="002805F2">
      <w:pPr>
        <w:spacing w:after="0" w:line="240" w:lineRule="auto"/>
        <w:ind w:firstLine="709"/>
        <w:jc w:val="both"/>
        <w:rPr>
          <w:sz w:val="20"/>
          <w:szCs w:val="20"/>
        </w:rPr>
      </w:pPr>
    </w:p>
    <w:p w:rsidR="002805F2" w:rsidRPr="00E423B4" w:rsidRDefault="002805F2" w:rsidP="002805F2">
      <w:pPr>
        <w:spacing w:after="0" w:line="240" w:lineRule="auto"/>
        <w:ind w:firstLine="709"/>
        <w:jc w:val="both"/>
        <w:rPr>
          <w:sz w:val="20"/>
          <w:szCs w:val="20"/>
        </w:rPr>
      </w:pPr>
      <w:proofErr w:type="spellStart"/>
      <w:r w:rsidRPr="00E423B4">
        <w:rPr>
          <w:sz w:val="20"/>
          <w:szCs w:val="20"/>
        </w:rPr>
        <w:t>Вик</w:t>
      </w:r>
      <w:proofErr w:type="spellEnd"/>
      <w:r w:rsidRPr="00E423B4">
        <w:rPr>
          <w:sz w:val="20"/>
          <w:szCs w:val="20"/>
        </w:rPr>
        <w:t>.: В. Попович, Т. Ругаєва, Є. Корнієнко, І. Кунець</w:t>
      </w:r>
      <w:bookmarkStart w:id="1" w:name="_GoBack"/>
      <w:bookmarkEnd w:id="1"/>
    </w:p>
    <w:sectPr w:rsidR="002805F2" w:rsidRPr="00E423B4" w:rsidSect="002805F2">
      <w:headerReference w:type="default" r:id="rId7"/>
      <w:headerReference w:type="first" r:id="rId8"/>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EE4" w:rsidRDefault="00024EE4" w:rsidP="002805F2">
      <w:pPr>
        <w:spacing w:after="0" w:line="240" w:lineRule="auto"/>
      </w:pPr>
      <w:r>
        <w:separator/>
      </w:r>
    </w:p>
  </w:endnote>
  <w:endnote w:type="continuationSeparator" w:id="0">
    <w:p w:rsidR="00024EE4" w:rsidRDefault="00024EE4" w:rsidP="00280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EE4" w:rsidRDefault="00024EE4" w:rsidP="002805F2">
      <w:pPr>
        <w:spacing w:after="0" w:line="240" w:lineRule="auto"/>
      </w:pPr>
      <w:r>
        <w:separator/>
      </w:r>
    </w:p>
  </w:footnote>
  <w:footnote w:type="continuationSeparator" w:id="0">
    <w:p w:rsidR="00024EE4" w:rsidRDefault="00024EE4" w:rsidP="00280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4443942"/>
      <w:docPartObj>
        <w:docPartGallery w:val="Page Numbers (Top of Page)"/>
        <w:docPartUnique/>
      </w:docPartObj>
    </w:sdtPr>
    <w:sdtEndPr/>
    <w:sdtContent>
      <w:p w:rsidR="002805F2" w:rsidRDefault="002805F2" w:rsidP="002805F2">
        <w:pPr>
          <w:pStyle w:val="a6"/>
          <w:jc w:val="center"/>
        </w:pPr>
        <w:r>
          <w:fldChar w:fldCharType="begin"/>
        </w:r>
        <w:r>
          <w:instrText>PAGE   \* MERGEFORMAT</w:instrText>
        </w:r>
        <w:r>
          <w:fldChar w:fldCharType="separate"/>
        </w:r>
        <w:r w:rsidR="00277FC4">
          <w:rPr>
            <w:noProof/>
          </w:rPr>
          <w:t>6</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5F2" w:rsidRPr="00BB708C" w:rsidRDefault="002805F2" w:rsidP="002805F2">
    <w:pPr>
      <w:pStyle w:val="a6"/>
      <w:jc w:val="right"/>
      <w:rPr>
        <w:sz w:val="20"/>
        <w:szCs w:val="20"/>
      </w:rPr>
    </w:pPr>
    <w:r>
      <w:tab/>
    </w:r>
    <w:r w:rsidRPr="009B655C">
      <w:rPr>
        <w:sz w:val="20"/>
        <w:szCs w:val="20"/>
      </w:rPr>
      <w:t xml:space="preserve">До </w:t>
    </w:r>
    <w:r>
      <w:rPr>
        <w:sz w:val="20"/>
        <w:szCs w:val="20"/>
      </w:rPr>
      <w:t xml:space="preserve">реєстр. </w:t>
    </w:r>
    <w:r w:rsidRPr="009B655C">
      <w:rPr>
        <w:sz w:val="20"/>
        <w:szCs w:val="20"/>
      </w:rPr>
      <w:t xml:space="preserve">№ </w:t>
    </w:r>
    <w:r>
      <w:rPr>
        <w:sz w:val="20"/>
        <w:szCs w:val="20"/>
        <w:lang w:val="ru-RU"/>
      </w:rPr>
      <w:t>5798</w:t>
    </w:r>
    <w:r w:rsidRPr="00BB708C">
      <w:rPr>
        <w:sz w:val="20"/>
        <w:szCs w:val="20"/>
        <w:lang w:val="ru-RU"/>
      </w:rPr>
      <w:t xml:space="preserve"> </w:t>
    </w:r>
    <w:proofErr w:type="spellStart"/>
    <w:r w:rsidRPr="00BB708C">
      <w:rPr>
        <w:sz w:val="20"/>
        <w:szCs w:val="20"/>
        <w:lang w:val="ru-RU"/>
      </w:rPr>
      <w:t>від</w:t>
    </w:r>
    <w:proofErr w:type="spellEnd"/>
    <w:r w:rsidRPr="00BB708C">
      <w:rPr>
        <w:sz w:val="20"/>
        <w:szCs w:val="20"/>
        <w:lang w:val="ru-RU"/>
      </w:rPr>
      <w:t xml:space="preserve"> </w:t>
    </w:r>
    <w:r>
      <w:rPr>
        <w:sz w:val="20"/>
        <w:szCs w:val="20"/>
        <w:lang w:val="ru-RU"/>
      </w:rPr>
      <w:t>16</w:t>
    </w:r>
    <w:r w:rsidRPr="00BB708C">
      <w:rPr>
        <w:sz w:val="20"/>
        <w:szCs w:val="20"/>
        <w:lang w:val="ru-RU"/>
      </w:rPr>
      <w:t>.</w:t>
    </w:r>
    <w:r>
      <w:rPr>
        <w:sz w:val="20"/>
        <w:szCs w:val="20"/>
        <w:lang w:val="ru-RU"/>
      </w:rPr>
      <w:t>07</w:t>
    </w:r>
    <w:r w:rsidRPr="00BB708C">
      <w:rPr>
        <w:sz w:val="20"/>
        <w:szCs w:val="20"/>
        <w:lang w:val="ru-RU"/>
      </w:rPr>
      <w:t>.20</w:t>
    </w:r>
    <w:r>
      <w:rPr>
        <w:sz w:val="20"/>
        <w:szCs w:val="20"/>
        <w:lang w:val="ru-RU"/>
      </w:rPr>
      <w:t>21</w:t>
    </w:r>
  </w:p>
  <w:p w:rsidR="002805F2" w:rsidRDefault="002805F2" w:rsidP="002805F2">
    <w:pPr>
      <w:pStyle w:val="a6"/>
      <w:jc w:val="right"/>
      <w:rPr>
        <w:sz w:val="20"/>
        <w:szCs w:val="20"/>
      </w:rPr>
    </w:pPr>
    <w:r>
      <w:rPr>
        <w:sz w:val="20"/>
        <w:szCs w:val="20"/>
      </w:rPr>
      <w:t>Народні депутати України</w:t>
    </w:r>
  </w:p>
  <w:p w:rsidR="002805F2" w:rsidRDefault="002805F2" w:rsidP="002805F2">
    <w:pPr>
      <w:pStyle w:val="a6"/>
      <w:jc w:val="right"/>
      <w:rPr>
        <w:sz w:val="20"/>
        <w:szCs w:val="20"/>
      </w:rPr>
    </w:pPr>
    <w:r>
      <w:rPr>
        <w:sz w:val="20"/>
        <w:szCs w:val="20"/>
        <w:lang w:val="ru-RU"/>
      </w:rPr>
      <w:t>Д</w:t>
    </w:r>
    <w:r>
      <w:rPr>
        <w:sz w:val="20"/>
        <w:szCs w:val="20"/>
      </w:rPr>
      <w:t xml:space="preserve">. </w:t>
    </w:r>
    <w:r>
      <w:rPr>
        <w:sz w:val="20"/>
        <w:szCs w:val="20"/>
        <w:lang w:val="ru-RU"/>
      </w:rPr>
      <w:t>Маслов</w:t>
    </w:r>
    <w:r>
      <w:rPr>
        <w:sz w:val="20"/>
        <w:szCs w:val="20"/>
      </w:rPr>
      <w:t xml:space="preserve"> та інші</w:t>
    </w:r>
  </w:p>
  <w:p w:rsidR="002805F2" w:rsidRPr="009B655C" w:rsidRDefault="002805F2" w:rsidP="002805F2">
    <w:pPr>
      <w:pStyle w:val="a6"/>
      <w:jc w:val="right"/>
      <w:rPr>
        <w:sz w:val="20"/>
        <w:szCs w:val="20"/>
      </w:rPr>
    </w:pPr>
    <w:r>
      <w:rPr>
        <w:sz w:val="20"/>
        <w:szCs w:val="20"/>
      </w:rPr>
      <w:t xml:space="preserve">  </w:t>
    </w:r>
  </w:p>
  <w:p w:rsidR="002805F2" w:rsidRDefault="002805F2" w:rsidP="002805F2">
    <w:pPr>
      <w:pStyle w:val="a6"/>
      <w:tabs>
        <w:tab w:val="clear" w:pos="4819"/>
        <w:tab w:val="clear" w:pos="9639"/>
        <w:tab w:val="left" w:pos="8954"/>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1F26BF"/>
    <w:multiLevelType w:val="hybridMultilevel"/>
    <w:tmpl w:val="375E5C3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D89"/>
    <w:rsid w:val="00024EE4"/>
    <w:rsid w:val="00277FC4"/>
    <w:rsid w:val="002805F2"/>
    <w:rsid w:val="00683670"/>
    <w:rsid w:val="00C076B6"/>
    <w:rsid w:val="00C20D82"/>
    <w:rsid w:val="00D730B8"/>
    <w:rsid w:val="00E86E2C"/>
    <w:rsid w:val="00F12D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2D89"/>
    <w:rPr>
      <w:rFonts w:eastAsia="Calibri" w:cs="Times New Roman"/>
    </w:rPr>
  </w:style>
  <w:style w:type="paragraph" w:styleId="7">
    <w:name w:val="heading 7"/>
    <w:basedOn w:val="a"/>
    <w:next w:val="a"/>
    <w:link w:val="70"/>
    <w:qFormat/>
    <w:rsid w:val="002805F2"/>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F12D89"/>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F12D89"/>
    <w:rPr>
      <w:rFonts w:ascii="Arial" w:eastAsia="Times New Roman" w:hAnsi="Arial" w:cs="Arial"/>
      <w:szCs w:val="28"/>
      <w:lang w:eastAsia="ru-RU"/>
    </w:rPr>
  </w:style>
  <w:style w:type="character" w:customStyle="1" w:styleId="70">
    <w:name w:val="Заголовок 7 Знак"/>
    <w:basedOn w:val="a0"/>
    <w:link w:val="7"/>
    <w:rsid w:val="002805F2"/>
    <w:rPr>
      <w:rFonts w:ascii="Arial" w:eastAsia="Times New Roman" w:hAnsi="Arial" w:cs="Arial"/>
      <w:b/>
      <w:bCs/>
      <w:szCs w:val="28"/>
      <w:lang w:eastAsia="ru-RU"/>
    </w:rPr>
  </w:style>
  <w:style w:type="paragraph" w:styleId="a5">
    <w:name w:val="No Spacing"/>
    <w:uiPriority w:val="1"/>
    <w:qFormat/>
    <w:rsid w:val="002805F2"/>
    <w:pPr>
      <w:spacing w:after="0" w:line="240" w:lineRule="auto"/>
    </w:pPr>
    <w:rPr>
      <w:rFonts w:asciiTheme="minorHAnsi" w:hAnsiTheme="minorHAnsi" w:cstheme="minorBidi"/>
      <w:sz w:val="22"/>
    </w:rPr>
  </w:style>
  <w:style w:type="paragraph" w:styleId="a6">
    <w:name w:val="header"/>
    <w:basedOn w:val="a"/>
    <w:link w:val="a7"/>
    <w:uiPriority w:val="99"/>
    <w:unhideWhenUsed/>
    <w:rsid w:val="002805F2"/>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2805F2"/>
    <w:rPr>
      <w:rFonts w:eastAsia="Calibri" w:cs="Times New Roman"/>
    </w:rPr>
  </w:style>
  <w:style w:type="paragraph" w:styleId="a8">
    <w:name w:val="footer"/>
    <w:basedOn w:val="a"/>
    <w:link w:val="a9"/>
    <w:uiPriority w:val="99"/>
    <w:unhideWhenUsed/>
    <w:rsid w:val="002805F2"/>
    <w:pPr>
      <w:tabs>
        <w:tab w:val="center" w:pos="4819"/>
        <w:tab w:val="right" w:pos="9639"/>
      </w:tabs>
      <w:spacing w:after="0" w:line="240" w:lineRule="auto"/>
    </w:pPr>
  </w:style>
  <w:style w:type="character" w:customStyle="1" w:styleId="a9">
    <w:name w:val="Нижній колонтитул Знак"/>
    <w:basedOn w:val="a0"/>
    <w:link w:val="a8"/>
    <w:uiPriority w:val="99"/>
    <w:rsid w:val="002805F2"/>
    <w:rPr>
      <w:rFonts w:eastAsia="Calibri" w:cs="Times New Roman"/>
    </w:rPr>
  </w:style>
  <w:style w:type="paragraph" w:styleId="aa">
    <w:name w:val="Balloon Text"/>
    <w:basedOn w:val="a"/>
    <w:link w:val="ab"/>
    <w:uiPriority w:val="99"/>
    <w:semiHidden/>
    <w:unhideWhenUsed/>
    <w:rsid w:val="00277FC4"/>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277FC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12209</Words>
  <Characters>6960</Characters>
  <Application>Microsoft Office Word</Application>
  <DocSecurity>0</DocSecurity>
  <Lines>58</Lines>
  <Paragraphs>38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2021-10-19T13:23:00Z</dcterms:created>
  <dcterms:modified xsi:type="dcterms:W3CDTF">2021-10-19T13:31:00Z</dcterms:modified>
</cp:coreProperties>
</file>