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8AE" w:rsidRPr="00A728AE" w:rsidRDefault="00A728AE" w:rsidP="00A728AE">
      <w:pPr>
        <w:spacing w:after="0" w:line="240" w:lineRule="auto"/>
        <w:jc w:val="center"/>
        <w:rPr>
          <w:rFonts w:ascii="Times New Roman" w:eastAsia="Calibri" w:hAnsi="Times New Roman" w:cs="Times New Roman"/>
          <w:b/>
          <w:sz w:val="28"/>
          <w:szCs w:val="28"/>
          <w:lang w:eastAsia="uk-UA"/>
        </w:rPr>
      </w:pPr>
      <w:bookmarkStart w:id="0" w:name="n3512"/>
      <w:bookmarkStart w:id="1" w:name="n3514"/>
      <w:bookmarkStart w:id="2" w:name="_GoBack"/>
      <w:bookmarkEnd w:id="0"/>
      <w:bookmarkEnd w:id="1"/>
      <w:bookmarkEnd w:id="2"/>
      <w:r w:rsidRPr="00A728AE">
        <w:rPr>
          <w:rFonts w:ascii="Times New Roman" w:eastAsia="Calibri" w:hAnsi="Times New Roman" w:cs="Times New Roman"/>
          <w:b/>
          <w:sz w:val="28"/>
          <w:szCs w:val="28"/>
          <w:lang w:eastAsia="uk-UA"/>
        </w:rPr>
        <w:t>ПОЯСНЮВАЛЬНА ЗАПИСКА</w:t>
      </w:r>
      <w:r w:rsidRPr="00A728AE">
        <w:rPr>
          <w:rFonts w:ascii="Times New Roman" w:eastAsia="Calibri" w:hAnsi="Times New Roman" w:cs="Times New Roman"/>
          <w:b/>
          <w:sz w:val="28"/>
          <w:szCs w:val="28"/>
          <w:lang w:eastAsia="uk-UA"/>
        </w:rPr>
        <w:br/>
        <w:t>до проєкту Закону України «Про внесення змін до деяких законодавчих актів України щодо розмежування функцій уповноважених органів містобудування та архітектури»</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3" w:name="n3485"/>
      <w:bookmarkEnd w:id="3"/>
      <w:r w:rsidRPr="00A728AE">
        <w:rPr>
          <w:rFonts w:ascii="Times New Roman" w:eastAsia="Calibri" w:hAnsi="Times New Roman" w:cs="Times New Roman"/>
          <w:b/>
          <w:sz w:val="28"/>
          <w:szCs w:val="28"/>
          <w:lang w:eastAsia="uk-UA"/>
        </w:rPr>
        <w:t>1. Мета</w:t>
      </w:r>
    </w:p>
    <w:p w:rsidR="00A728AE" w:rsidRPr="00A728AE" w:rsidRDefault="00A728AE" w:rsidP="00A728AE">
      <w:pPr>
        <w:spacing w:after="0" w:line="240" w:lineRule="auto"/>
        <w:ind w:firstLine="567"/>
        <w:jc w:val="both"/>
        <w:rPr>
          <w:rFonts w:ascii="Times New Roman" w:eastAsia="Times New Roman" w:hAnsi="Times New Roman" w:cs="Times New Roman"/>
          <w:sz w:val="28"/>
          <w:szCs w:val="28"/>
          <w:lang w:eastAsia="ru-RU"/>
        </w:rPr>
      </w:pPr>
      <w:bookmarkStart w:id="4" w:name="n3486"/>
      <w:bookmarkEnd w:id="4"/>
      <w:r w:rsidRPr="00A728AE">
        <w:rPr>
          <w:rFonts w:ascii="Times New Roman" w:eastAsia="Calibri" w:hAnsi="Times New Roman" w:cs="Times New Roman"/>
          <w:sz w:val="28"/>
          <w:szCs w:val="28"/>
        </w:rPr>
        <w:t xml:space="preserve">Метою прийняття </w:t>
      </w:r>
      <w:r w:rsidRPr="00A728AE">
        <w:rPr>
          <w:rFonts w:ascii="Times New Roman" w:eastAsia="Times New Roman" w:hAnsi="Times New Roman" w:cs="Times New Roman"/>
          <w:sz w:val="28"/>
          <w:szCs w:val="28"/>
          <w:lang w:eastAsia="ru-RU"/>
        </w:rPr>
        <w:t xml:space="preserve">проєкту </w:t>
      </w:r>
      <w:r w:rsidRPr="00A728AE">
        <w:rPr>
          <w:rFonts w:ascii="Times New Roman" w:eastAsia="Calibri" w:hAnsi="Times New Roman" w:cs="Times New Roman"/>
          <w:sz w:val="28"/>
          <w:szCs w:val="28"/>
        </w:rPr>
        <w:t>Закону України «Про внесення змін до деяких законодавчих актів України щодо розмежування функцій уповноважених органів містобудування та архітектури» (далі – проєкт Закону) є розмежування функцій уповноважених органів містобудування та архітектури, які є виконавчим органам сільської, селищної, міської ради з питань містобудування та архітектури та структурними підрозділами обласних та районних державних адміністрацій.</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5" w:name="n3487"/>
      <w:bookmarkEnd w:id="5"/>
      <w:r w:rsidRPr="00A728AE">
        <w:rPr>
          <w:rFonts w:ascii="Times New Roman" w:eastAsia="Calibri" w:hAnsi="Times New Roman" w:cs="Times New Roman"/>
          <w:b/>
          <w:sz w:val="28"/>
          <w:szCs w:val="28"/>
          <w:lang w:eastAsia="uk-UA"/>
        </w:rPr>
        <w:t>2. Обґрунтування необхідності прийняття акта</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bookmarkStart w:id="6" w:name="n3488"/>
      <w:bookmarkEnd w:id="6"/>
      <w:r w:rsidRPr="00A728AE">
        <w:rPr>
          <w:rFonts w:ascii="Times New Roman" w:eastAsia="Calibri" w:hAnsi="Times New Roman" w:cs="Times New Roman"/>
          <w:sz w:val="28"/>
          <w:szCs w:val="28"/>
        </w:rPr>
        <w:t>Проєкт Закону розроблено на виконання пункту 4 доручення Прем’єр-міністра України від 18.10.2019 № 36399/0/1-19 з метою завершення реформи місцевого самоврядування.</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Відповідно до Концепції реформування місцевого самоврядування та територіальної організації влади в Україні, схваленої розпорядженням Кабінету Міністрів України від 01 квітня 2014 року № 333 (далі – Концепція), система місцевого самоврядування на сьогодні не задовольняє потреби суспільства. Як зазначено в Концепції, від часу прийняття Конституції України та базових нормативно-правових актів з питань місцевого самоврядування розвиток місцевого самоврядування фактично здійснювався лише на рівні територіальних громад міст обласного значення, оскільки переважна більшість територіальних громад через їх надмірну подрібненість та надзвичайно слабку матеріально-фінансову базу виявилися неспроможними виконувати всі повноваження органів місцевого самоврядування.</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Згідно з розділом «Досягнення оптимального розподілу повноважень між органами місцевого самоврядування та органами виконавчої влади» Концепції повноваження передаються державою органам місцевого самоврядування, що діють на тому рівні адміністративно-територіального устрою, на якому можливо і доцільно їх здійснювати з огляду на кадровий, фінансовий, інфраструктурний потенціал та ресурси, необхідні для реалізації повноважень на такому рівні. Для оптимального розподілу повноважень між органами місцевого самоврядування та органами виконавчої влади на різних рівнях адміністративно-територіального устрою необхідно забезпечити, в тому числі, утворення на кожному адміністративно-територіальному рівні представницьких органів місцевого самоврядування з власними виконавчими органами.</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Слід зазначити, що чинним законодавством встановлено, що до уповноважених органів містобудування та архітектури, серед інших належать структурні підрозділи обласних, районних, Київської та Севастопольської міських державних адміністрацій з питань архітектури; виконавчі органи </w:t>
      </w:r>
      <w:r w:rsidRPr="00A728AE">
        <w:rPr>
          <w:rFonts w:ascii="Times New Roman" w:eastAsia="Calibri" w:hAnsi="Times New Roman" w:cs="Times New Roman"/>
          <w:sz w:val="28"/>
          <w:szCs w:val="28"/>
        </w:rPr>
        <w:lastRenderedPageBreak/>
        <w:t>сільських, селищних, міських рад з питань архітектури (стаття 13 Закону України «Про архітектурну діяльність»).</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Разом з тим, значна кількість функцій у сфері містобудування та архітектури наразі виконується органами виконавчої влади, а саме структурними підрозділами районних державних адміністрацій з питань архітектури.</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Аналіз інформації щодо обстеження функцій структурних підрозділів районних державних адміністрацій з питань містобудування та архітектури, здійснений Міністерством, свідчить про те, що у 2018 році районними державними адміністраціями було надано понад 100 тисяч документів у сфері містобудування та архітектури, в тому числі – понад 34 тисячі відповідей на звернення громадян та близько 2,7 тисячі відповідей на запити на публічну інформацію. </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Відповідно до даних моніторингу процесу децентралізації влади та реформування місцевого самоврядування, який здійснюється Мінрегіоном, кількість утворених об’єднаних територіальних громад станом на 10 листопада 2019 року складає 1002. У 78 районах не утворено жодної об’єднаної територіальної громади.</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При цьому станом на жовтень 2019 року лише у 207 об’єднаних територіальних громадах утворено структурні підрозділи, до компетенції яких відноситься питання містобудування та архітектури (уповноважені органи містобудування та архітектури).</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А тому для завершення реформи місцевого самоврядування, важливим є питання розмежування функцій уповноважених органів містобудування та архітектури, повсюдне утворення сільськими, селищними, міськими радами виконавчих органів з питань архітектури, оптимізація структури районних державних адміністрацій із подальшою поступовою ліквідацією структурних підрозділів районних державних адміністрацій з питань архітектури.</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7" w:name="n3490"/>
      <w:bookmarkEnd w:id="7"/>
      <w:r w:rsidRPr="00A728AE">
        <w:rPr>
          <w:rFonts w:ascii="Times New Roman" w:eastAsia="Calibri" w:hAnsi="Times New Roman" w:cs="Times New Roman"/>
          <w:b/>
          <w:sz w:val="28"/>
          <w:szCs w:val="28"/>
          <w:lang w:eastAsia="uk-UA"/>
        </w:rPr>
        <w:t>3. Основні положення проєкту акта</w:t>
      </w:r>
    </w:p>
    <w:p w:rsidR="00A728AE" w:rsidRPr="00A728AE" w:rsidRDefault="00A728AE" w:rsidP="00A728AE">
      <w:pPr>
        <w:spacing w:after="0" w:line="240" w:lineRule="auto"/>
        <w:ind w:firstLine="567"/>
        <w:jc w:val="both"/>
        <w:rPr>
          <w:rFonts w:ascii="Times New Roman" w:eastAsia="Calibri" w:hAnsi="Times New Roman" w:cs="Times New Roman"/>
          <w:bCs/>
          <w:sz w:val="28"/>
          <w:szCs w:val="28"/>
        </w:rPr>
      </w:pPr>
      <w:bookmarkStart w:id="8" w:name="n3491"/>
      <w:bookmarkEnd w:id="8"/>
      <w:r w:rsidRPr="00A728AE">
        <w:rPr>
          <w:rFonts w:ascii="Times New Roman" w:eastAsia="Calibri" w:hAnsi="Times New Roman" w:cs="Times New Roman"/>
          <w:bCs/>
          <w:sz w:val="28"/>
          <w:szCs w:val="28"/>
        </w:rPr>
        <w:t xml:space="preserve">Проєктом Закону передбачається внести зміни до </w:t>
      </w:r>
      <w:r w:rsidRPr="00A728AE">
        <w:rPr>
          <w:rFonts w:ascii="Times New Roman" w:eastAsia="Calibri" w:hAnsi="Times New Roman" w:cs="Times New Roman"/>
          <w:sz w:val="28"/>
          <w:szCs w:val="28"/>
        </w:rPr>
        <w:t xml:space="preserve">Земельного кодексу України, </w:t>
      </w:r>
      <w:r w:rsidRPr="00A728AE">
        <w:rPr>
          <w:rFonts w:ascii="Times New Roman" w:eastAsia="Calibri" w:hAnsi="Times New Roman" w:cs="Times New Roman"/>
          <w:bCs/>
          <w:sz w:val="28"/>
          <w:szCs w:val="28"/>
        </w:rPr>
        <w:t>законів України «Про архітектурну діяльність», «Про регулювання містобудівної діяльності», «Про правовий режим території, що зазнала радіоактивного забруднення внаслідок Чорнобильської катастрофи».</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Так, передбачається, що копія клопотання про погодження місця розташування об'єкта подається виконавчому органу сільської, селищної, міської ради з питань містобудування та архітектури, а в разі, якщо земельна ділянка розташована за межами території здійснення їх повноважень – до структурного підрозділу районної державної адміністрації з питань містобудування та архітектури або органу виконавчої влади Автономної Республіки Крим до компетенції якого віднесено вирішення питань у сфері містобудування та архітектури за місцем розташування земельної ділянки;</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врегульовується діяльність архітектурно-містобудівних рад та, серед іншого передбачається, що при уповноважених органах з питань містобудування та архітектури, крім центрального органу виконавчої влади, що реалізує державну </w:t>
      </w:r>
      <w:r w:rsidRPr="00A728AE">
        <w:rPr>
          <w:rFonts w:ascii="Times New Roman" w:eastAsia="Calibri" w:hAnsi="Times New Roman" w:cs="Times New Roman"/>
          <w:sz w:val="28"/>
          <w:szCs w:val="28"/>
        </w:rPr>
        <w:lastRenderedPageBreak/>
        <w:t>політику у сфері архітектури, утворюються архітектурно-містобудівні ради як дорадчі органи, що діють на громадських засадах, та визначається яку містобудівну документацію розглядає та чи інша архітектурно-містобудівна рада</w:t>
      </w:r>
      <w:r w:rsidRPr="00A728AE">
        <w:rPr>
          <w:rFonts w:ascii="Times New Roman" w:eastAsia="Calibri" w:hAnsi="Times New Roman" w:cs="Times New Roman"/>
          <w:bCs/>
          <w:color w:val="000000"/>
          <w:sz w:val="28"/>
          <w:szCs w:val="28"/>
        </w:rPr>
        <w:t>;</w:t>
      </w:r>
    </w:p>
    <w:p w:rsidR="00A728AE" w:rsidRPr="00A728AE" w:rsidRDefault="00A728AE" w:rsidP="00A728AE">
      <w:pPr>
        <w:spacing w:after="0" w:line="240" w:lineRule="auto"/>
        <w:ind w:firstLine="567"/>
        <w:jc w:val="both"/>
        <w:rPr>
          <w:rFonts w:ascii="Times New Roman" w:eastAsia="Calibri" w:hAnsi="Times New Roman" w:cs="Times New Roman"/>
          <w:sz w:val="28"/>
          <w:szCs w:val="28"/>
          <w:shd w:val="clear" w:color="auto" w:fill="FFFFFF"/>
        </w:rPr>
      </w:pPr>
      <w:r w:rsidRPr="00A728AE">
        <w:rPr>
          <w:rFonts w:ascii="Times New Roman" w:eastAsia="Calibri" w:hAnsi="Times New Roman" w:cs="Times New Roman"/>
          <w:sz w:val="28"/>
          <w:szCs w:val="28"/>
          <w:shd w:val="clear" w:color="auto" w:fill="FFFFFF"/>
        </w:rPr>
        <w:t>визначається, що керівники уповноважених органів з питань містобудування та архітектури -  структурних підрозділів районних, обласних, Київської та Севастопольської місцевих державних адміністрацій з питань містобудування та архітектури, виконавчих органів сільських, селищних, міських рад з питань містобудування та архітектури призначаються на посаду виключно за результатами конкурсу та є головними архітекторами відповідних адміністративно-територіальних одиниць;</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shd w:val="clear" w:color="auto" w:fill="FFFFFF"/>
        </w:rPr>
        <w:t xml:space="preserve">встановлюється, що надання будівельного паспорта здійснюється виконавчим органом сільської, селищної, міської ради з питань містобудування та архітектури, у разі, якщо земельна ділянка розташована за межами території здійснення їх повноважень – структурним підрозділом районної державної адміністрації з питань містобудування та архітектури або органом виконавчої влади Автономної Республіки Крим </w:t>
      </w:r>
      <w:r w:rsidRPr="00A728AE">
        <w:rPr>
          <w:rFonts w:ascii="Times New Roman" w:eastAsia="Calibri" w:hAnsi="Times New Roman" w:cs="Times New Roman"/>
          <w:sz w:val="28"/>
          <w:szCs w:val="28"/>
        </w:rPr>
        <w:t xml:space="preserve">до компетенції якого віднесено вирішення питань у сфері містобудування та архітектури </w:t>
      </w:r>
      <w:r w:rsidRPr="00A728AE">
        <w:rPr>
          <w:rFonts w:ascii="Times New Roman" w:eastAsia="Calibri" w:hAnsi="Times New Roman" w:cs="Times New Roman"/>
          <w:sz w:val="28"/>
          <w:szCs w:val="28"/>
          <w:shd w:val="clear" w:color="auto" w:fill="FFFFFF"/>
        </w:rPr>
        <w:t>за місцем розташування земельної ділянки</w:t>
      </w:r>
      <w:r w:rsidRPr="00A728AE">
        <w:rPr>
          <w:rFonts w:ascii="Times New Roman" w:eastAsia="Calibri" w:hAnsi="Times New Roman" w:cs="Times New Roman"/>
          <w:sz w:val="28"/>
          <w:szCs w:val="28"/>
        </w:rPr>
        <w:t>.</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Також передбачається, що утворення сільськими, селищними, міськими радами уповноважених органів з питань  містобудування та архітектури є обов’язковим (запропоновано виключити частину другу статті 13 закону України «Про архітектурну діяльність» зі змінами внесеними Законом України від 17.06.2020 № 711-IX «Про внесення змін до деяких законодавчих актів України щодо планування використання земель», які набирають чинності 24.07.2021).</w:t>
      </w:r>
    </w:p>
    <w:p w:rsidR="00A728AE" w:rsidRPr="00A728AE" w:rsidRDefault="00A728AE" w:rsidP="00A728AE">
      <w:pPr>
        <w:spacing w:after="0" w:line="240" w:lineRule="auto"/>
        <w:ind w:firstLine="567"/>
        <w:jc w:val="both"/>
        <w:rPr>
          <w:rFonts w:ascii="Times New Roman" w:eastAsia="Calibri" w:hAnsi="Times New Roman" w:cs="Times New Roman"/>
          <w:sz w:val="28"/>
          <w:szCs w:val="28"/>
          <w:shd w:val="clear" w:color="auto" w:fill="FFFFFF"/>
        </w:rPr>
      </w:pPr>
      <w:r w:rsidRPr="00A728AE">
        <w:rPr>
          <w:rFonts w:ascii="Times New Roman" w:eastAsia="Calibri" w:hAnsi="Times New Roman" w:cs="Times New Roman"/>
          <w:sz w:val="28"/>
          <w:szCs w:val="28"/>
        </w:rPr>
        <w:t xml:space="preserve">Крім цього вносяться зміни, якими усуваються деякі техніко-юридичні недоліки. </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Крім цього, при розроблені законопроєкту враховані положення проєкту Закону України «Про внесення змін до Земельного кодексу України та інших законодавчих актів щодо удосконалення системи управління та дерегуляції у сфері земельних відносин» реєстр. № 2194 від 01.10.2019, внесеного народними депутатами України Заблоцьким М.Б. та іншими, який 28.04.2021 прийнято Верховною Радою України в цілому, яким серед іншого вносяться зміни до Земельного кодексу України в частині скасування необхідності погодження проектів землеустрою (стаття 186 викладається в новій редакції, а стаття 186</w:t>
      </w:r>
      <w:r w:rsidRPr="00A728AE">
        <w:rPr>
          <w:rFonts w:ascii="Times New Roman" w:eastAsia="Calibri" w:hAnsi="Times New Roman" w:cs="Times New Roman"/>
          <w:sz w:val="28"/>
          <w:szCs w:val="28"/>
          <w:vertAlign w:val="superscript"/>
        </w:rPr>
        <w:t>1</w:t>
      </w:r>
      <w:r w:rsidRPr="00A728AE">
        <w:rPr>
          <w:rFonts w:ascii="Times New Roman" w:eastAsia="Calibri" w:hAnsi="Times New Roman" w:cs="Times New Roman"/>
          <w:sz w:val="28"/>
          <w:szCs w:val="28"/>
        </w:rPr>
        <w:t xml:space="preserve"> вилучається). </w:t>
      </w:r>
    </w:p>
    <w:p w:rsidR="00A728AE" w:rsidRPr="00A728AE" w:rsidRDefault="00A728AE" w:rsidP="00A728AE">
      <w:pPr>
        <w:spacing w:after="0" w:line="240" w:lineRule="auto"/>
        <w:ind w:firstLine="567"/>
        <w:jc w:val="both"/>
        <w:rPr>
          <w:rFonts w:ascii="Times New Roman" w:eastAsia="Calibri" w:hAnsi="Times New Roman" w:cs="Times New Roman"/>
          <w:bCs/>
          <w:sz w:val="28"/>
          <w:szCs w:val="28"/>
        </w:rPr>
      </w:pPr>
      <w:r w:rsidRPr="00A728AE">
        <w:rPr>
          <w:rFonts w:ascii="Times New Roman" w:eastAsia="Calibri" w:hAnsi="Times New Roman" w:cs="Times New Roman"/>
          <w:bCs/>
          <w:sz w:val="28"/>
          <w:szCs w:val="28"/>
        </w:rPr>
        <w:t>Єдиним шляхом вирішення зазначеного питання є прийняття Закону.</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9" w:name="n3492"/>
      <w:bookmarkEnd w:id="9"/>
      <w:r w:rsidRPr="00A728AE">
        <w:rPr>
          <w:rFonts w:ascii="Times New Roman" w:eastAsia="Calibri" w:hAnsi="Times New Roman" w:cs="Times New Roman"/>
          <w:b/>
          <w:sz w:val="28"/>
          <w:szCs w:val="28"/>
          <w:lang w:eastAsia="uk-UA"/>
        </w:rPr>
        <w:t>4. Правові аспекти</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У даній сфері правового регулювання діють такі нормативно-правові акти:</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Земельний кодекс України;</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Закон України «Про основи містобудування»;</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 xml:space="preserve">Закон України «Про архітектурну діяльність»; </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Закон України «Про регулювання містобудівної діяльності».</w:t>
      </w:r>
    </w:p>
    <w:p w:rsidR="00A728AE" w:rsidRPr="00A728AE" w:rsidRDefault="00A728AE" w:rsidP="00A728AE">
      <w:pPr>
        <w:spacing w:after="0" w:line="240" w:lineRule="auto"/>
        <w:ind w:firstLine="567"/>
        <w:jc w:val="both"/>
        <w:rPr>
          <w:rFonts w:ascii="Times New Roman" w:eastAsia="Calibri" w:hAnsi="Times New Roman" w:cs="Times New Roman"/>
          <w:bCs/>
          <w:sz w:val="28"/>
          <w:szCs w:val="28"/>
        </w:rPr>
      </w:pPr>
      <w:r w:rsidRPr="00A728AE">
        <w:rPr>
          <w:rFonts w:ascii="Times New Roman" w:eastAsia="Calibri" w:hAnsi="Times New Roman" w:cs="Times New Roman"/>
          <w:sz w:val="28"/>
          <w:szCs w:val="28"/>
          <w:lang w:eastAsia="uk-UA"/>
        </w:rPr>
        <w:lastRenderedPageBreak/>
        <w:t>Закон України «</w:t>
      </w:r>
      <w:r w:rsidRPr="00A728AE">
        <w:rPr>
          <w:rFonts w:ascii="Times New Roman" w:eastAsia="Calibri" w:hAnsi="Times New Roman" w:cs="Times New Roman"/>
          <w:bCs/>
          <w:sz w:val="28"/>
          <w:szCs w:val="28"/>
        </w:rPr>
        <w:t>Про правовий режим території, що зазнала радіоактивного забруднення внаслідок Чорнобильської катастрофи»;</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Закон України «</w:t>
      </w:r>
      <w:r w:rsidRPr="00A728AE">
        <w:rPr>
          <w:rFonts w:ascii="Times New Roman" w:eastAsia="Calibri" w:hAnsi="Times New Roman" w:cs="Times New Roman"/>
          <w:color w:val="000000"/>
          <w:sz w:val="28"/>
          <w:szCs w:val="28"/>
        </w:rPr>
        <w:t>Про місцеве самоврядування в Україні</w:t>
      </w:r>
      <w:r w:rsidRPr="00A728AE">
        <w:rPr>
          <w:rFonts w:ascii="Times New Roman" w:eastAsia="Calibri" w:hAnsi="Times New Roman" w:cs="Times New Roman"/>
          <w:sz w:val="28"/>
          <w:szCs w:val="28"/>
          <w:lang w:eastAsia="uk-UA"/>
        </w:rPr>
        <w:t>».</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bookmarkStart w:id="10" w:name="n3493"/>
      <w:bookmarkEnd w:id="10"/>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11" w:name="n3494"/>
      <w:bookmarkEnd w:id="11"/>
      <w:r w:rsidRPr="00A728AE">
        <w:rPr>
          <w:rFonts w:ascii="Times New Roman" w:eastAsia="Calibri" w:hAnsi="Times New Roman" w:cs="Times New Roman"/>
          <w:b/>
          <w:sz w:val="28"/>
          <w:szCs w:val="28"/>
          <w:lang w:eastAsia="uk-UA"/>
        </w:rPr>
        <w:t>5. Фінансово-економічне обґрунтування</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bookmarkStart w:id="12" w:name="n3495"/>
      <w:bookmarkEnd w:id="12"/>
      <w:r w:rsidRPr="00A728AE">
        <w:rPr>
          <w:rFonts w:ascii="Times New Roman" w:eastAsia="Calibri" w:hAnsi="Times New Roman" w:cs="Times New Roman"/>
          <w:sz w:val="28"/>
          <w:szCs w:val="28"/>
        </w:rPr>
        <w:t xml:space="preserve">На момент внесення проєкт Закону не потребує додаткових витрат державного та/або місцевого бюджетів. </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Разом з цим реалізація норм проекту Закону на практиці може мати опосередкований вплив на видаткову частину місцевого бюджету, оскільки до уповноважених органів містобудування та архітектури належать відповідно до положень частини першої статті 14 Закону України «Про архітектурну діяльність, зокрема, структурні підрозділи обласних, районних, Київської та Севастопольської міських державних адміністрацій з питань архітектури; виконавчі органи сільських, селищних, міських рад з питань архітектури. </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Частиною п’ятою статті 10 Закону України «Про місцеве самоврядування в Україні» чисельність працівників органів місцевого самоврядування встановлюється відповідною радою у межах загальної чисельності, визначеної типовими штатами, затвердженими Кабінетом Міністрів України. </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Згідно зі Схемою посадових окладів керівних працівників і спеціалістів департаментів, управлінь, відділів, інших виконавчих органів міських (крім мм. Києва та Севастополя) рад, виконавчих органів сільських, селищних рад, що представляють інтереси об’єднаних територіальних громад (Додаток 51 до постанови Кабінету Міністрів України від 09.03.2006 № 268 (у редакції постанови Кабінету Міністрів України від 03.06.2020 № 441), у містах із чисельністю населення понад 1 млн. осіб місячний посадовий оклад директора департаменту становить 8 800 грн., а  спеціаліста I категорії – 5 050 грн. </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Таким чином, річний посадовий оклад зазначених працівників органу місцевого самоврядування в сукупності становитиме 166 200 грн.</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13" w:name="n3496"/>
      <w:bookmarkEnd w:id="13"/>
      <w:r w:rsidRPr="00A728AE">
        <w:rPr>
          <w:rFonts w:ascii="Times New Roman" w:eastAsia="Calibri" w:hAnsi="Times New Roman" w:cs="Times New Roman"/>
          <w:b/>
          <w:sz w:val="28"/>
          <w:szCs w:val="28"/>
          <w:lang w:eastAsia="uk-UA"/>
        </w:rPr>
        <w:t>6. Позиція заінтересованих сторін</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 xml:space="preserve">Проєкт Закону виносився на громадське обговорення 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03.11.2010 № 996 «Про забезпечення участі громадськості у формуванні та реалізації державної політики». Звіт про проведення громадського обговорення проєкту Закону розміщено на вебсайті </w:t>
      </w:r>
      <w:r w:rsidRPr="00A728AE">
        <w:rPr>
          <w:rFonts w:ascii="Times New Roman" w:eastAsia="Calibri" w:hAnsi="Times New Roman" w:cs="Times New Roman"/>
          <w:color w:val="000000"/>
          <w:sz w:val="28"/>
          <w:szCs w:val="28"/>
        </w:rPr>
        <w:t>Мінрегіону (</w:t>
      </w:r>
      <w:hyperlink r:id="rId6" w:history="1">
        <w:r w:rsidRPr="00A728AE">
          <w:rPr>
            <w:rFonts w:ascii="Times New Roman" w:eastAsia="Calibri" w:hAnsi="Times New Roman" w:cs="Times New Roman"/>
            <w:color w:val="000000"/>
            <w:sz w:val="28"/>
            <w:szCs w:val="28"/>
          </w:rPr>
          <w:t>www.minregion.gov.ua</w:t>
        </w:r>
      </w:hyperlink>
      <w:r w:rsidRPr="00A728AE">
        <w:rPr>
          <w:rFonts w:ascii="Times New Roman" w:eastAsia="Calibri" w:hAnsi="Times New Roman" w:cs="Times New Roman"/>
          <w:color w:val="000000"/>
          <w:sz w:val="28"/>
          <w:szCs w:val="28"/>
        </w:rPr>
        <w:t>).</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Проєкт Закону погоджено без зауважень Спільним представницьким органом репрезентативних всеукраїнських об’єднань профспілок на національному рівні, із зауваженнями Всеукраїнською асоціацією органів місцевого самоврядування «Асоціація міст України», Всеукраїнською асоціацією органів місцевого самоврядування «Українською асоціацією районних та обласних рад».</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lastRenderedPageBreak/>
        <w:t>Проєкт Закону не стосується прав осіб з інвалідністю, функціонування і застосування української мови як державної, а тому на розгляд до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з інвалідністю, їх спілок, Уповноваженого із захисту державної мови, не надсилався.</w:t>
      </w:r>
    </w:p>
    <w:p w:rsidR="00A728AE" w:rsidRPr="00A728AE" w:rsidRDefault="00A728AE" w:rsidP="00A728AE">
      <w:pPr>
        <w:spacing w:after="0" w:line="240" w:lineRule="auto"/>
        <w:ind w:firstLine="567"/>
        <w:jc w:val="both"/>
        <w:rPr>
          <w:rFonts w:ascii="Times New Roman" w:eastAsia="Calibri" w:hAnsi="Times New Roman" w:cs="Times New Roman"/>
          <w:sz w:val="28"/>
          <w:szCs w:val="28"/>
        </w:rPr>
      </w:pPr>
      <w:r w:rsidRPr="00A728AE">
        <w:rPr>
          <w:rFonts w:ascii="Times New Roman" w:eastAsia="Calibri" w:hAnsi="Times New Roman" w:cs="Times New Roman"/>
          <w:sz w:val="28"/>
          <w:szCs w:val="28"/>
        </w:rPr>
        <w:t>Проєкт Закону не стосується сфери наукової та науково-технічної діяльності, а тому на розгляд Наукового комітету Національної ради з питань розвитку науки і технологій не надсилався.</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14" w:name="n3497"/>
      <w:bookmarkStart w:id="15" w:name="n3498"/>
      <w:bookmarkStart w:id="16" w:name="n3499"/>
      <w:bookmarkStart w:id="17" w:name="n3500"/>
      <w:bookmarkEnd w:id="14"/>
      <w:bookmarkEnd w:id="15"/>
      <w:bookmarkEnd w:id="16"/>
      <w:bookmarkEnd w:id="17"/>
      <w:r w:rsidRPr="00A728AE">
        <w:rPr>
          <w:rFonts w:ascii="Times New Roman" w:eastAsia="Calibri" w:hAnsi="Times New Roman" w:cs="Times New Roman"/>
          <w:b/>
          <w:sz w:val="28"/>
          <w:szCs w:val="28"/>
          <w:lang w:eastAsia="uk-UA"/>
        </w:rPr>
        <w:t>7. Оцінка відповідності</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rPr>
        <w:t>У проєкті Закону відсутні положення, які стосуються зобов’язань України у сфері європейської інтеграції;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r w:rsidRPr="00A728AE">
        <w:rPr>
          <w:rFonts w:ascii="Times New Roman" w:eastAsia="Calibri" w:hAnsi="Times New Roman" w:cs="Times New Roman"/>
          <w:sz w:val="28"/>
          <w:szCs w:val="28"/>
          <w:lang w:eastAsia="uk-UA"/>
        </w:rPr>
        <w:t xml:space="preserve"> </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 xml:space="preserve">Для визначення необхідності проведення антикорупційної експертизи проєкт Закону листом від 19.04.2021 № 7/14.15764-21 надсилався до Національного агентства з питань запобігання корупції (зареєстровано 20.04.2021 №03/28207/21). </w:t>
      </w:r>
      <w:bookmarkStart w:id="18" w:name="n3508"/>
      <w:bookmarkEnd w:id="18"/>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lang w:eastAsia="uk-UA"/>
        </w:rPr>
        <w:t xml:space="preserve">Громадська антикорупційна, громадська антидискримінаційна та громадська гендерно-правова експертизи не проводилися. </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ind w:firstLine="567"/>
        <w:jc w:val="both"/>
        <w:rPr>
          <w:rFonts w:ascii="Times New Roman" w:eastAsia="Calibri" w:hAnsi="Times New Roman" w:cs="Times New Roman"/>
          <w:b/>
          <w:sz w:val="28"/>
          <w:szCs w:val="28"/>
          <w:lang w:eastAsia="uk-UA"/>
        </w:rPr>
      </w:pPr>
      <w:bookmarkStart w:id="19" w:name="n3509"/>
      <w:bookmarkEnd w:id="19"/>
      <w:r w:rsidRPr="00A728AE">
        <w:rPr>
          <w:rFonts w:ascii="Times New Roman" w:eastAsia="Calibri" w:hAnsi="Times New Roman" w:cs="Times New Roman"/>
          <w:b/>
          <w:sz w:val="28"/>
          <w:szCs w:val="28"/>
          <w:lang w:eastAsia="uk-UA"/>
        </w:rPr>
        <w:t>8. Прогноз результатів</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r w:rsidRPr="00A728AE">
        <w:rPr>
          <w:rFonts w:ascii="Times New Roman" w:eastAsia="Calibri" w:hAnsi="Times New Roman" w:cs="Times New Roman"/>
          <w:sz w:val="28"/>
          <w:szCs w:val="28"/>
        </w:rPr>
        <w:t xml:space="preserve">Реалізація проєкту Закону не матиме вплив </w:t>
      </w:r>
      <w:r w:rsidRPr="00A728AE">
        <w:rPr>
          <w:rFonts w:ascii="Times New Roman" w:eastAsia="Calibri" w:hAnsi="Times New Roman" w:cs="Times New Roman"/>
          <w:sz w:val="28"/>
          <w:szCs w:val="28"/>
          <w:lang w:eastAsia="uk-UA"/>
        </w:rPr>
        <w:t xml:space="preserve">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Впливу на інтереси заінтересованих сторін немає. </w:t>
      </w:r>
    </w:p>
    <w:p w:rsidR="00A728AE" w:rsidRPr="00A728AE"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jc w:val="both"/>
        <w:rPr>
          <w:rFonts w:ascii="Times New Roman" w:eastAsia="Calibri" w:hAnsi="Times New Roman" w:cs="Times New Roman"/>
          <w:b/>
          <w:sz w:val="28"/>
          <w:szCs w:val="28"/>
          <w:lang w:eastAsia="uk-UA"/>
        </w:rPr>
      </w:pPr>
      <w:r w:rsidRPr="00A728AE">
        <w:rPr>
          <w:rFonts w:ascii="Times New Roman" w:eastAsia="Calibri" w:hAnsi="Times New Roman" w:cs="Times New Roman"/>
          <w:b/>
          <w:sz w:val="28"/>
          <w:szCs w:val="28"/>
          <w:lang w:eastAsia="uk-UA"/>
        </w:rPr>
        <w:t xml:space="preserve">Міністр розвитку громад </w:t>
      </w:r>
    </w:p>
    <w:p w:rsidR="00A728AE" w:rsidRPr="00A728AE" w:rsidRDefault="00A728AE" w:rsidP="00A728AE">
      <w:pPr>
        <w:spacing w:after="0" w:line="240" w:lineRule="auto"/>
        <w:jc w:val="both"/>
        <w:rPr>
          <w:rFonts w:ascii="Times New Roman" w:eastAsia="Calibri" w:hAnsi="Times New Roman" w:cs="Times New Roman"/>
          <w:b/>
          <w:sz w:val="28"/>
          <w:szCs w:val="28"/>
          <w:lang w:eastAsia="uk-UA"/>
        </w:rPr>
      </w:pPr>
      <w:r w:rsidRPr="00A728AE">
        <w:rPr>
          <w:rFonts w:ascii="Times New Roman" w:eastAsia="Calibri" w:hAnsi="Times New Roman" w:cs="Times New Roman"/>
          <w:b/>
          <w:sz w:val="28"/>
          <w:szCs w:val="28"/>
          <w:lang w:eastAsia="uk-UA"/>
        </w:rPr>
        <w:t xml:space="preserve">та територій України  </w:t>
      </w:r>
      <w:r w:rsidRPr="00A728AE">
        <w:rPr>
          <w:rFonts w:ascii="Times New Roman" w:eastAsia="Calibri" w:hAnsi="Times New Roman" w:cs="Times New Roman"/>
          <w:b/>
          <w:sz w:val="28"/>
          <w:szCs w:val="28"/>
          <w:lang w:eastAsia="uk-UA"/>
        </w:rPr>
        <w:tab/>
      </w:r>
      <w:r w:rsidRPr="00A728AE">
        <w:rPr>
          <w:rFonts w:ascii="Times New Roman" w:eastAsia="Calibri" w:hAnsi="Times New Roman" w:cs="Times New Roman"/>
          <w:b/>
          <w:sz w:val="28"/>
          <w:szCs w:val="28"/>
          <w:lang w:eastAsia="uk-UA"/>
        </w:rPr>
        <w:tab/>
      </w:r>
      <w:r w:rsidRPr="00A728AE">
        <w:rPr>
          <w:rFonts w:ascii="Times New Roman" w:eastAsia="Calibri" w:hAnsi="Times New Roman" w:cs="Times New Roman"/>
          <w:b/>
          <w:sz w:val="28"/>
          <w:szCs w:val="28"/>
          <w:lang w:eastAsia="uk-UA"/>
        </w:rPr>
        <w:tab/>
      </w:r>
      <w:r w:rsidRPr="00A728AE">
        <w:rPr>
          <w:rFonts w:ascii="Times New Roman" w:eastAsia="Calibri" w:hAnsi="Times New Roman" w:cs="Times New Roman"/>
          <w:b/>
          <w:sz w:val="28"/>
          <w:szCs w:val="28"/>
          <w:lang w:eastAsia="uk-UA"/>
        </w:rPr>
        <w:tab/>
      </w:r>
      <w:r w:rsidRPr="00A728AE">
        <w:rPr>
          <w:rFonts w:ascii="Times New Roman" w:eastAsia="Calibri" w:hAnsi="Times New Roman" w:cs="Times New Roman"/>
          <w:b/>
          <w:sz w:val="28"/>
          <w:szCs w:val="28"/>
          <w:lang w:eastAsia="uk-UA"/>
        </w:rPr>
        <w:tab/>
        <w:t xml:space="preserve">      Олексій ЧЕРНИШОВ</w:t>
      </w:r>
    </w:p>
    <w:p w:rsidR="00A728AE" w:rsidRPr="00A728AE" w:rsidRDefault="00A728AE" w:rsidP="00A728AE">
      <w:pPr>
        <w:spacing w:after="0" w:line="240" w:lineRule="auto"/>
        <w:jc w:val="both"/>
        <w:rPr>
          <w:rFonts w:ascii="Times New Roman" w:eastAsia="Calibri" w:hAnsi="Times New Roman" w:cs="Times New Roman"/>
          <w:sz w:val="28"/>
          <w:szCs w:val="28"/>
          <w:lang w:eastAsia="uk-UA"/>
        </w:rPr>
      </w:pPr>
    </w:p>
    <w:p w:rsidR="00A728AE" w:rsidRPr="00A728AE" w:rsidRDefault="00A728AE" w:rsidP="00A728AE">
      <w:pPr>
        <w:spacing w:after="0" w:line="240" w:lineRule="auto"/>
        <w:jc w:val="both"/>
        <w:rPr>
          <w:rFonts w:ascii="Times New Roman" w:eastAsia="Calibri" w:hAnsi="Times New Roman" w:cs="Times New Roman"/>
          <w:sz w:val="26"/>
          <w:szCs w:val="26"/>
          <w:lang w:val="ru-RU"/>
        </w:rPr>
      </w:pPr>
      <w:r w:rsidRPr="00A728AE">
        <w:rPr>
          <w:rFonts w:ascii="Times New Roman" w:eastAsia="Calibri" w:hAnsi="Times New Roman" w:cs="Times New Roman"/>
          <w:sz w:val="26"/>
          <w:szCs w:val="26"/>
          <w:lang w:eastAsia="uk-UA"/>
        </w:rPr>
        <w:t>____ _________ 2021 р.</w:t>
      </w:r>
    </w:p>
    <w:p w:rsidR="003E6485" w:rsidRPr="00A728AE" w:rsidRDefault="003E6485" w:rsidP="00A728AE"/>
    <w:sectPr w:rsidR="003E6485" w:rsidRPr="00A728AE" w:rsidSect="005F67AA">
      <w:headerReference w:type="default" r:id="rId7"/>
      <w:pgSz w:w="11906" w:h="16838"/>
      <w:pgMar w:top="1135" w:right="566"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5D5" w:rsidRDefault="002905D5" w:rsidP="00D72446">
      <w:pPr>
        <w:spacing w:after="0" w:line="240" w:lineRule="auto"/>
      </w:pPr>
      <w:r>
        <w:separator/>
      </w:r>
    </w:p>
  </w:endnote>
  <w:endnote w:type="continuationSeparator" w:id="0">
    <w:p w:rsidR="002905D5" w:rsidRDefault="002905D5" w:rsidP="00D72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5D5" w:rsidRDefault="002905D5" w:rsidP="00D72446">
      <w:pPr>
        <w:spacing w:after="0" w:line="240" w:lineRule="auto"/>
      </w:pPr>
      <w:r>
        <w:separator/>
      </w:r>
    </w:p>
  </w:footnote>
  <w:footnote w:type="continuationSeparator" w:id="0">
    <w:p w:rsidR="002905D5" w:rsidRDefault="002905D5" w:rsidP="00D72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5270221"/>
      <w:docPartObj>
        <w:docPartGallery w:val="Page Numbers (Top of Page)"/>
        <w:docPartUnique/>
      </w:docPartObj>
    </w:sdtPr>
    <w:sdtEndPr/>
    <w:sdtContent>
      <w:p w:rsidR="00D72446" w:rsidRDefault="00D72446">
        <w:pPr>
          <w:pStyle w:val="a6"/>
          <w:jc w:val="center"/>
        </w:pPr>
        <w:r w:rsidRPr="006D2E8E">
          <w:rPr>
            <w:rFonts w:ascii="Times New Roman" w:hAnsi="Times New Roman" w:cs="Times New Roman"/>
          </w:rPr>
          <w:fldChar w:fldCharType="begin"/>
        </w:r>
        <w:r w:rsidRPr="006D2E8E">
          <w:rPr>
            <w:rFonts w:ascii="Times New Roman" w:hAnsi="Times New Roman" w:cs="Times New Roman"/>
          </w:rPr>
          <w:instrText>PAGE   \* MERGEFORMAT</w:instrText>
        </w:r>
        <w:r w:rsidRPr="006D2E8E">
          <w:rPr>
            <w:rFonts w:ascii="Times New Roman" w:hAnsi="Times New Roman" w:cs="Times New Roman"/>
          </w:rPr>
          <w:fldChar w:fldCharType="separate"/>
        </w:r>
        <w:r w:rsidR="00117CA2">
          <w:rPr>
            <w:rFonts w:ascii="Times New Roman" w:hAnsi="Times New Roman" w:cs="Times New Roman"/>
            <w:noProof/>
          </w:rPr>
          <w:t>2</w:t>
        </w:r>
        <w:r w:rsidRPr="006D2E8E">
          <w:rPr>
            <w:rFonts w:ascii="Times New Roman" w:hAnsi="Times New Roman" w:cs="Times New Roman"/>
          </w:rPr>
          <w:fldChar w:fldCharType="end"/>
        </w:r>
      </w:p>
    </w:sdtContent>
  </w:sdt>
  <w:p w:rsidR="00D72446" w:rsidRDefault="00D72446">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C40"/>
    <w:rsid w:val="00080442"/>
    <w:rsid w:val="00082D0F"/>
    <w:rsid w:val="00085EBA"/>
    <w:rsid w:val="00117CA2"/>
    <w:rsid w:val="001237C3"/>
    <w:rsid w:val="0012439F"/>
    <w:rsid w:val="00126E12"/>
    <w:rsid w:val="00143194"/>
    <w:rsid w:val="00234680"/>
    <w:rsid w:val="002622F1"/>
    <w:rsid w:val="002905D5"/>
    <w:rsid w:val="00296EE3"/>
    <w:rsid w:val="002A0F2D"/>
    <w:rsid w:val="002D1FAF"/>
    <w:rsid w:val="003168E2"/>
    <w:rsid w:val="00355F71"/>
    <w:rsid w:val="00377DEB"/>
    <w:rsid w:val="00383DCA"/>
    <w:rsid w:val="00383E56"/>
    <w:rsid w:val="003B0D1A"/>
    <w:rsid w:val="003E6485"/>
    <w:rsid w:val="003F1137"/>
    <w:rsid w:val="004533F1"/>
    <w:rsid w:val="004860CA"/>
    <w:rsid w:val="0051036F"/>
    <w:rsid w:val="005279B4"/>
    <w:rsid w:val="005F67AA"/>
    <w:rsid w:val="00681410"/>
    <w:rsid w:val="006A79E8"/>
    <w:rsid w:val="006D2E8E"/>
    <w:rsid w:val="006F23EC"/>
    <w:rsid w:val="00731347"/>
    <w:rsid w:val="00771DD3"/>
    <w:rsid w:val="008210D8"/>
    <w:rsid w:val="00860D09"/>
    <w:rsid w:val="00866B27"/>
    <w:rsid w:val="00882AFC"/>
    <w:rsid w:val="00946CE0"/>
    <w:rsid w:val="009640D9"/>
    <w:rsid w:val="009B4E47"/>
    <w:rsid w:val="009F3662"/>
    <w:rsid w:val="00A24017"/>
    <w:rsid w:val="00A420CB"/>
    <w:rsid w:val="00A62046"/>
    <w:rsid w:val="00A6557C"/>
    <w:rsid w:val="00A728AE"/>
    <w:rsid w:val="00A95712"/>
    <w:rsid w:val="00AB29F2"/>
    <w:rsid w:val="00AE6DEA"/>
    <w:rsid w:val="00B50C40"/>
    <w:rsid w:val="00BE71FD"/>
    <w:rsid w:val="00C138B4"/>
    <w:rsid w:val="00C25834"/>
    <w:rsid w:val="00C34658"/>
    <w:rsid w:val="00CC5E88"/>
    <w:rsid w:val="00CE19A8"/>
    <w:rsid w:val="00D33427"/>
    <w:rsid w:val="00D70637"/>
    <w:rsid w:val="00D72446"/>
    <w:rsid w:val="00DD1662"/>
    <w:rsid w:val="00DE6FFD"/>
    <w:rsid w:val="00DF1558"/>
    <w:rsid w:val="00E15A6F"/>
    <w:rsid w:val="00E23E70"/>
    <w:rsid w:val="00E45972"/>
    <w:rsid w:val="00E67FEB"/>
    <w:rsid w:val="00ED0C1B"/>
    <w:rsid w:val="00EE11D3"/>
    <w:rsid w:val="00EE4888"/>
    <w:rsid w:val="00F51A8D"/>
    <w:rsid w:val="00F56062"/>
    <w:rsid w:val="00F675EA"/>
    <w:rsid w:val="00FA4A1C"/>
    <w:rsid w:val="00FC19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FC6149-2296-4B01-BCC3-BC08DC53B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8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168E2"/>
    <w:pPr>
      <w:spacing w:after="0" w:line="240" w:lineRule="auto"/>
    </w:pPr>
  </w:style>
  <w:style w:type="paragraph" w:customStyle="1" w:styleId="rvps7">
    <w:name w:val="rvps7"/>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F675EA"/>
  </w:style>
  <w:style w:type="character" w:customStyle="1" w:styleId="rvts82">
    <w:name w:val="rvts82"/>
    <w:basedOn w:val="a0"/>
    <w:rsid w:val="00F675EA"/>
  </w:style>
  <w:style w:type="paragraph" w:customStyle="1" w:styleId="rvps2">
    <w:name w:val="rvps2"/>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F675EA"/>
  </w:style>
  <w:style w:type="character" w:styleId="a4">
    <w:name w:val="Hyperlink"/>
    <w:basedOn w:val="a0"/>
    <w:uiPriority w:val="99"/>
    <w:unhideWhenUsed/>
    <w:rsid w:val="00F675EA"/>
    <w:rPr>
      <w:color w:val="0000FF"/>
      <w:u w:val="single"/>
    </w:rPr>
  </w:style>
  <w:style w:type="paragraph" w:customStyle="1" w:styleId="rvps12">
    <w:name w:val="rvps12"/>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3">
    <w:name w:val="rvts13"/>
    <w:basedOn w:val="a0"/>
    <w:rsid w:val="00F675EA"/>
  </w:style>
  <w:style w:type="paragraph" w:customStyle="1" w:styleId="rvps1">
    <w:name w:val="rvps1"/>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F675EA"/>
  </w:style>
  <w:style w:type="paragraph" w:styleId="a5">
    <w:name w:val="Normal (Web)"/>
    <w:basedOn w:val="a"/>
    <w:uiPriority w:val="99"/>
    <w:unhideWhenUsed/>
    <w:rsid w:val="002D1FA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header"/>
    <w:basedOn w:val="a"/>
    <w:link w:val="a7"/>
    <w:uiPriority w:val="99"/>
    <w:unhideWhenUsed/>
    <w:rsid w:val="00D72446"/>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D72446"/>
  </w:style>
  <w:style w:type="paragraph" w:styleId="a8">
    <w:name w:val="footer"/>
    <w:basedOn w:val="a"/>
    <w:link w:val="a9"/>
    <w:uiPriority w:val="99"/>
    <w:unhideWhenUsed/>
    <w:rsid w:val="00D72446"/>
    <w:pPr>
      <w:tabs>
        <w:tab w:val="center" w:pos="4677"/>
        <w:tab w:val="right" w:pos="9355"/>
      </w:tabs>
      <w:spacing w:after="0" w:line="240" w:lineRule="auto"/>
    </w:pPr>
  </w:style>
  <w:style w:type="character" w:customStyle="1" w:styleId="a9">
    <w:name w:val="Нижній колонтитул Знак"/>
    <w:basedOn w:val="a0"/>
    <w:link w:val="a8"/>
    <w:uiPriority w:val="99"/>
    <w:rsid w:val="00D72446"/>
  </w:style>
  <w:style w:type="paragraph" w:styleId="aa">
    <w:name w:val="Balloon Text"/>
    <w:basedOn w:val="a"/>
    <w:link w:val="ab"/>
    <w:uiPriority w:val="99"/>
    <w:semiHidden/>
    <w:unhideWhenUsed/>
    <w:rsid w:val="00D72446"/>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724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89708">
      <w:bodyDiv w:val="1"/>
      <w:marLeft w:val="0"/>
      <w:marRight w:val="0"/>
      <w:marTop w:val="0"/>
      <w:marBottom w:val="0"/>
      <w:divBdr>
        <w:top w:val="none" w:sz="0" w:space="0" w:color="auto"/>
        <w:left w:val="none" w:sz="0" w:space="0" w:color="auto"/>
        <w:bottom w:val="none" w:sz="0" w:space="0" w:color="auto"/>
        <w:right w:val="none" w:sz="0" w:space="0" w:color="auto"/>
      </w:divBdr>
      <w:divsChild>
        <w:div w:id="1121073144">
          <w:marLeft w:val="0"/>
          <w:marRight w:val="0"/>
          <w:marTop w:val="0"/>
          <w:marBottom w:val="150"/>
          <w:divBdr>
            <w:top w:val="none" w:sz="0" w:space="0" w:color="auto"/>
            <w:left w:val="none" w:sz="0" w:space="0" w:color="auto"/>
            <w:bottom w:val="none" w:sz="0" w:space="0" w:color="auto"/>
            <w:right w:val="none" w:sz="0" w:space="0" w:color="auto"/>
          </w:divBdr>
        </w:div>
      </w:divsChild>
    </w:div>
    <w:div w:id="457451913">
      <w:bodyDiv w:val="1"/>
      <w:marLeft w:val="0"/>
      <w:marRight w:val="0"/>
      <w:marTop w:val="0"/>
      <w:marBottom w:val="0"/>
      <w:divBdr>
        <w:top w:val="none" w:sz="0" w:space="0" w:color="auto"/>
        <w:left w:val="none" w:sz="0" w:space="0" w:color="auto"/>
        <w:bottom w:val="none" w:sz="0" w:space="0" w:color="auto"/>
        <w:right w:val="none" w:sz="0" w:space="0" w:color="auto"/>
      </w:divBdr>
    </w:div>
    <w:div w:id="513685554">
      <w:bodyDiv w:val="1"/>
      <w:marLeft w:val="0"/>
      <w:marRight w:val="0"/>
      <w:marTop w:val="0"/>
      <w:marBottom w:val="0"/>
      <w:divBdr>
        <w:top w:val="none" w:sz="0" w:space="0" w:color="auto"/>
        <w:left w:val="none" w:sz="0" w:space="0" w:color="auto"/>
        <w:bottom w:val="none" w:sz="0" w:space="0" w:color="auto"/>
        <w:right w:val="none" w:sz="0" w:space="0" w:color="auto"/>
      </w:divBdr>
    </w:div>
    <w:div w:id="987437794">
      <w:bodyDiv w:val="1"/>
      <w:marLeft w:val="0"/>
      <w:marRight w:val="0"/>
      <w:marTop w:val="0"/>
      <w:marBottom w:val="0"/>
      <w:divBdr>
        <w:top w:val="none" w:sz="0" w:space="0" w:color="auto"/>
        <w:left w:val="none" w:sz="0" w:space="0" w:color="auto"/>
        <w:bottom w:val="none" w:sz="0" w:space="0" w:color="auto"/>
        <w:right w:val="none" w:sz="0" w:space="0" w:color="auto"/>
      </w:divBdr>
    </w:div>
    <w:div w:id="138991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nregion.gov.u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8229</Words>
  <Characters>4691</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HP</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2021-01-13T12:48:00Z</cp:lastPrinted>
  <dcterms:created xsi:type="dcterms:W3CDTF">2021-07-30T11:35:00Z</dcterms:created>
  <dcterms:modified xsi:type="dcterms:W3CDTF">2021-07-30T11:35:00Z</dcterms:modified>
</cp:coreProperties>
</file>