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043" w:rsidRPr="00B10043" w:rsidRDefault="00B10043" w:rsidP="00B10043">
      <w:pPr>
        <w:shd w:val="clear" w:color="auto" w:fill="FFFFFF"/>
        <w:spacing w:after="0" w:line="240" w:lineRule="auto"/>
        <w:ind w:left="39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0043">
        <w:rPr>
          <w:rFonts w:ascii="Times New Roman" w:hAnsi="Times New Roman" w:cs="Times New Roman"/>
          <w:b/>
          <w:bCs/>
          <w:sz w:val="28"/>
          <w:szCs w:val="28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B10043" w:rsidRPr="00B10043" w:rsidRDefault="00B10043" w:rsidP="00B10043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0043" w:rsidRPr="00B10043" w:rsidRDefault="00B10043" w:rsidP="00B100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10043">
        <w:rPr>
          <w:rFonts w:ascii="Times New Roman" w:hAnsi="Times New Roman" w:cs="Times New Roman"/>
          <w:bCs/>
          <w:i/>
          <w:sz w:val="28"/>
          <w:szCs w:val="28"/>
        </w:rPr>
        <w:t>Про розгляд законопроекту</w:t>
      </w:r>
    </w:p>
    <w:p w:rsidR="00B10043" w:rsidRPr="00B10043" w:rsidRDefault="00B10043" w:rsidP="00B10043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100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 реєстр. № 5833</w:t>
      </w:r>
    </w:p>
    <w:p w:rsidR="00B10043" w:rsidRPr="00B10043" w:rsidRDefault="00B10043" w:rsidP="00B10043">
      <w:pPr>
        <w:widowControl w:val="0"/>
        <w:autoSpaceDE w:val="0"/>
        <w:autoSpaceDN w:val="0"/>
        <w:adjustRightInd w:val="0"/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0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бюджету на засіданні 1 грудня</w:t>
      </w:r>
      <w:r w:rsidR="00883AFC">
        <w:rPr>
          <w:rFonts w:ascii="Times New Roman" w:eastAsia="Times New Roman" w:hAnsi="Times New Roman" w:cs="Times New Roman"/>
          <w:sz w:val="28"/>
          <w:szCs w:val="28"/>
          <w:lang w:eastAsia="ru-RU"/>
        </w:rPr>
        <w:t> 2021 року (протокол № 108</w:t>
      </w:r>
      <w:bookmarkStart w:id="0" w:name="_GoBack"/>
      <w:bookmarkEnd w:id="0"/>
      <w:r w:rsidRPr="00B10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Pr="00B10043">
        <w:rPr>
          <w:rFonts w:ascii="Times New Roman" w:hAnsi="Times New Roman" w:cs="Times New Roman"/>
          <w:spacing w:val="1"/>
          <w:sz w:val="28"/>
          <w:szCs w:val="28"/>
        </w:rPr>
        <w:t>про внесення змін до деяких законодавчих актів України щодо розмежування функцій уповноважених органів містобудування та архітектури (реєстр. № 5833 від 30.07.2021), поданий Кабінетом Міністрів України</w:t>
      </w:r>
      <w:r w:rsidRPr="00B10043">
        <w:rPr>
          <w:rFonts w:ascii="Times New Roman" w:eastAsia="Times New Roman" w:hAnsi="Times New Roman" w:cs="Times New Roman"/>
          <w:sz w:val="28"/>
          <w:szCs w:val="28"/>
          <w:lang w:eastAsia="ru-RU"/>
        </w:rPr>
        <w:t>, і повідомляє про таке.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043">
        <w:rPr>
          <w:rFonts w:ascii="Times New Roman" w:hAnsi="Times New Roman" w:cs="Times New Roman"/>
          <w:sz w:val="28"/>
          <w:szCs w:val="28"/>
        </w:rPr>
        <w:t xml:space="preserve">Законопроект, як зазначається у пояснювальній записці до нього, розроблено з метою </w:t>
      </w:r>
      <w:r w:rsidRPr="00B10043">
        <w:rPr>
          <w:rFonts w:ascii="Times New Roman" w:eastAsia="Calibri" w:hAnsi="Times New Roman" w:cs="Times New Roman"/>
          <w:sz w:val="28"/>
          <w:szCs w:val="28"/>
        </w:rPr>
        <w:t xml:space="preserve">розмежування функцій уповноважених органів містобудування та архітектури, </w:t>
      </w:r>
      <w:r w:rsidRPr="00B10043">
        <w:rPr>
          <w:rFonts w:ascii="Times New Roman" w:hAnsi="Times New Roman" w:cs="Times New Roman"/>
          <w:sz w:val="28"/>
          <w:szCs w:val="28"/>
        </w:rPr>
        <w:t xml:space="preserve">що є виконавчими органами сільської, селищної, міської ради з питань містобудування та архітектури, та відповідних структурних підрозділів обласних і районних державних адміністрацій, для реалізації якої серед іншого </w:t>
      </w:r>
      <w:r w:rsidRPr="00B10043">
        <w:rPr>
          <w:rFonts w:ascii="Times New Roman" w:eastAsia="Calibri" w:hAnsi="Times New Roman" w:cs="Times New Roman"/>
          <w:sz w:val="28"/>
          <w:szCs w:val="28"/>
        </w:rPr>
        <w:t xml:space="preserve">передбачається таке: 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043">
        <w:rPr>
          <w:rFonts w:ascii="Times New Roman" w:eastAsia="Calibri" w:hAnsi="Times New Roman" w:cs="Times New Roman"/>
          <w:sz w:val="28"/>
          <w:szCs w:val="28"/>
        </w:rPr>
        <w:t xml:space="preserve">утворення сільськими, селищними, міськими радами уповноважених органів з питань містобудування та архітектури є обов’язковим, оскільки пропонується </w:t>
      </w:r>
      <w:r w:rsidRPr="00B10043">
        <w:rPr>
          <w:rFonts w:ascii="Times New Roman" w:hAnsi="Times New Roman" w:cs="Times New Roman"/>
          <w:sz w:val="28"/>
          <w:szCs w:val="28"/>
        </w:rPr>
        <w:t xml:space="preserve">виключити </w:t>
      </w:r>
      <w:r w:rsidRPr="00B10043">
        <w:rPr>
          <w:rFonts w:ascii="Times New Roman" w:eastAsia="Calibri" w:hAnsi="Times New Roman" w:cs="Times New Roman"/>
          <w:sz w:val="28"/>
          <w:szCs w:val="28"/>
        </w:rPr>
        <w:t>частину другу статті 13 Закону України «Про архітектурну діяльність», згідно з якою «до утворення виконавчого органу сільської, селищної, міської ради з питань архітектури уповноваженим органом містобудування та архітектури є структурний підрозділ районної державної адміністрації з питань архітектури, а за його відсутності - структурний підрозділ обласної державної адміністрації з питань архітектури»;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043">
        <w:rPr>
          <w:rFonts w:ascii="Times New Roman" w:eastAsia="Calibri" w:hAnsi="Times New Roman" w:cs="Times New Roman"/>
          <w:sz w:val="28"/>
          <w:szCs w:val="28"/>
        </w:rPr>
        <w:t xml:space="preserve">надання будівельного паспорта (надання містобудівних умов та обмежень тощо) здійснюється виконавчим органом сільської, селищної, міської ради з питань містобудування та архітектури, а якщо земельна ділянка розташована за межами території здійснення їх повноважень – структурним підрозділом районної державної адміністрації з питань містобудування та архітектури або органом виконавчої влади Автономної Республіки Крим до компетенції якого віднесено вирішення питань у сфері містобудування та архітектури за місцем розташування земельної ділянки; 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043">
        <w:rPr>
          <w:rFonts w:ascii="Times New Roman" w:eastAsia="Calibri" w:hAnsi="Times New Roman" w:cs="Times New Roman"/>
          <w:sz w:val="28"/>
          <w:szCs w:val="28"/>
        </w:rPr>
        <w:lastRenderedPageBreak/>
        <w:t>утворення при уповноважених органах з питань містобудування та архітектури архітектурно-містобудівних рад, як дорадчих органів, що діють на громадських засадах, та визначаються їх завдання.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043">
        <w:rPr>
          <w:rFonts w:ascii="Times New Roman" w:eastAsia="Calibri" w:hAnsi="Times New Roman" w:cs="Times New Roman"/>
          <w:sz w:val="28"/>
          <w:szCs w:val="28"/>
        </w:rPr>
        <w:t>Міністерство фінансів України у експертному висновку до законопроекту визначає, що реалізація проекту закону буде матиме вплив на показники місцевих бюджетів у разі створення сільськими, селищними, міськими радами уповноваженого органу з питання архітектури та містобудування. При цьому Мінфін звертає увагу, що г</w:t>
      </w:r>
      <w:r w:rsidRPr="00B10043">
        <w:rPr>
          <w:rFonts w:ascii="Times New Roman" w:hAnsi="Times New Roman" w:cs="Times New Roman"/>
          <w:sz w:val="28"/>
          <w:szCs w:val="28"/>
        </w:rPr>
        <w:t xml:space="preserve">оловним розробником не зазначено кількості створених та додаткової кількості уповноважених органів з питань архітектури та містобудування на місцях, які необхідно буде створити, але відповідно до пояснювальної записки річний посадовий оклад двох працівників органу місцевого самоврядування в сукупності становитиме 166 200 гривень. 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043">
        <w:rPr>
          <w:rFonts w:ascii="Times New Roman" w:hAnsi="Times New Roman" w:cs="Times New Roman"/>
          <w:sz w:val="28"/>
          <w:szCs w:val="28"/>
        </w:rPr>
        <w:t xml:space="preserve">Слід відмітити, що забезпечення діяльності виконавчих органів місцевого самоврядування здійснюється за рахунок коштів відповідних бюджетів місцевого самоврядування, утворення нових органів з питань містобудування та архітектури буде потребувати значних додаткових коштів (адже утримання нового структурного підрозділу не обмежується посадовим окладом працівника), обсяг яких буде залежати від фінансової спроможності відповідної територіальної громади. 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043">
        <w:rPr>
          <w:rFonts w:ascii="Times New Roman" w:hAnsi="Times New Roman" w:cs="Times New Roman"/>
          <w:sz w:val="28"/>
          <w:szCs w:val="28"/>
          <w:highlight w:val="white"/>
        </w:rPr>
        <w:t xml:space="preserve">Враховуючи зазначене, </w:t>
      </w:r>
      <w:r w:rsidRPr="00B10043">
        <w:rPr>
          <w:rFonts w:ascii="Times New Roman" w:hAnsi="Times New Roman" w:cs="Times New Roman"/>
          <w:sz w:val="28"/>
          <w:szCs w:val="28"/>
        </w:rPr>
        <w:t xml:space="preserve">суб’єктом права законодавчої ініціативи </w:t>
      </w:r>
      <w:r w:rsidRPr="00B10043">
        <w:rPr>
          <w:rFonts w:ascii="Times New Roman" w:hAnsi="Times New Roman" w:cs="Times New Roman"/>
          <w:sz w:val="28"/>
          <w:szCs w:val="28"/>
          <w:highlight w:val="white"/>
        </w:rPr>
        <w:t>не надано до законопроекту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бюджетів, що суперечить вимогам частини першої статті 27 Бюджетного кодексу України та частини третьої статті 91 Регламенту Верховної Ради України</w:t>
      </w:r>
      <w:r w:rsidRPr="00B10043">
        <w:rPr>
          <w:rFonts w:ascii="Times New Roman" w:hAnsi="Times New Roman" w:cs="Times New Roman"/>
          <w:sz w:val="28"/>
          <w:szCs w:val="28"/>
        </w:rPr>
        <w:t>.</w:t>
      </w:r>
    </w:p>
    <w:p w:rsidR="00B10043" w:rsidRPr="00B10043" w:rsidRDefault="00B10043" w:rsidP="00B10043">
      <w:pPr>
        <w:pStyle w:val="a9"/>
        <w:spacing w:before="0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B10043">
        <w:rPr>
          <w:rFonts w:ascii="Times New Roman" w:hAnsi="Times New Roman"/>
          <w:sz w:val="28"/>
          <w:szCs w:val="28"/>
          <w:lang w:val="ru-RU"/>
        </w:rPr>
        <w:t>За таких умов</w:t>
      </w:r>
      <w:proofErr w:type="gramEnd"/>
      <w:r w:rsidRPr="00B1004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10043">
        <w:rPr>
          <w:rFonts w:ascii="Times New Roman" w:hAnsi="Times New Roman"/>
          <w:sz w:val="28"/>
          <w:szCs w:val="28"/>
        </w:rPr>
        <w:t xml:space="preserve">термін набрання чинності законом, визначений у законопроекті </w:t>
      </w:r>
      <w:r w:rsidRPr="00B10043">
        <w:rPr>
          <w:rFonts w:ascii="Times New Roman" w:hAnsi="Times New Roman"/>
          <w:i/>
          <w:sz w:val="28"/>
          <w:szCs w:val="28"/>
        </w:rPr>
        <w:t>(через чотири місяці з дня, наступного за днем його опублікування)</w:t>
      </w:r>
      <w:r w:rsidRPr="00B10043">
        <w:rPr>
          <w:rFonts w:ascii="Times New Roman" w:hAnsi="Times New Roman"/>
          <w:sz w:val="28"/>
          <w:szCs w:val="28"/>
        </w:rPr>
        <w:t>, не узгоджується з положеннями частини третьої статті 27 Бюджетного кодексу України, що встановлює вимоги 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0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підсумками розгляду Комітет ухвалив рішення, що законопроект </w:t>
      </w:r>
      <w:r w:rsidRPr="00B10043">
        <w:rPr>
          <w:rFonts w:ascii="Times New Roman" w:hAnsi="Times New Roman" w:cs="Times New Roman"/>
          <w:spacing w:val="1"/>
          <w:sz w:val="28"/>
          <w:szCs w:val="28"/>
        </w:rPr>
        <w:t>про внесення змін до деяких законодавчих актів України щодо розмежування функцій уповноважених органів містобудування та архітектури (реєстр. № 5833), поданий Кабінетом Міністрів України,</w:t>
      </w:r>
      <w:r w:rsidRPr="00B10043">
        <w:rPr>
          <w:rFonts w:ascii="Times New Roman" w:hAnsi="Times New Roman" w:cs="Times New Roman"/>
          <w:sz w:val="28"/>
          <w:szCs w:val="28"/>
        </w:rPr>
        <w:t xml:space="preserve"> має вплив на показники місцевих бюджетів </w:t>
      </w:r>
      <w:r w:rsidRPr="00B10043">
        <w:rPr>
          <w:rFonts w:ascii="Times New Roman" w:hAnsi="Times New Roman" w:cs="Times New Roman"/>
          <w:spacing w:val="1"/>
          <w:sz w:val="28"/>
          <w:szCs w:val="28"/>
        </w:rPr>
        <w:t>(призведе до збільшення їх видатків).</w:t>
      </w:r>
      <w:r w:rsidRPr="00B10043">
        <w:rPr>
          <w:rFonts w:ascii="Times New Roman" w:hAnsi="Times New Roman" w:cs="Times New Roman"/>
          <w:sz w:val="28"/>
          <w:szCs w:val="28"/>
        </w:rPr>
        <w:t xml:space="preserve"> У разі прийняття відповідного закону до 15 липня 2022 року він має вводитися в дію не раніше 1 січня 2023 року, а після 15 липня 2022 року – не раніше 1 січня 2024 року (або 1 січня наступного за цим року залежно від часу прийняття закону).</w:t>
      </w:r>
    </w:p>
    <w:p w:rsidR="00B10043" w:rsidRPr="00B10043" w:rsidRDefault="00B10043" w:rsidP="00B100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043" w:rsidRPr="00B10043" w:rsidRDefault="00B10043" w:rsidP="00B10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043">
        <w:rPr>
          <w:rFonts w:ascii="Times New Roman" w:hAnsi="Times New Roman" w:cs="Times New Roman"/>
          <w:b/>
          <w:sz w:val="28"/>
          <w:szCs w:val="28"/>
        </w:rPr>
        <w:t xml:space="preserve">Голова Комітету </w:t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r w:rsidRPr="00B10043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B10043">
        <w:rPr>
          <w:rFonts w:ascii="Times New Roman" w:hAnsi="Times New Roman" w:cs="Times New Roman"/>
          <w:b/>
          <w:sz w:val="28"/>
          <w:szCs w:val="28"/>
        </w:rPr>
        <w:t>Ю.Арістов</w:t>
      </w:r>
      <w:proofErr w:type="spellEnd"/>
    </w:p>
    <w:p w:rsidR="00B10043" w:rsidRDefault="00B10043" w:rsidP="00B100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10043" w:rsidRDefault="00B10043" w:rsidP="00B100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10043" w:rsidRPr="00B10043" w:rsidRDefault="00B10043" w:rsidP="00B100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10043">
        <w:rPr>
          <w:rFonts w:ascii="Times New Roman" w:hAnsi="Times New Roman" w:cs="Times New Roman"/>
          <w:sz w:val="20"/>
          <w:szCs w:val="20"/>
        </w:rPr>
        <w:t>Вик.Расчислова</w:t>
      </w:r>
      <w:proofErr w:type="spellEnd"/>
      <w:r w:rsidRPr="00B10043">
        <w:rPr>
          <w:rFonts w:ascii="Times New Roman" w:hAnsi="Times New Roman" w:cs="Times New Roman"/>
          <w:sz w:val="20"/>
          <w:szCs w:val="20"/>
        </w:rPr>
        <w:t xml:space="preserve"> Л.В.</w:t>
      </w:r>
    </w:p>
    <w:p w:rsidR="00B10043" w:rsidRPr="00B10043" w:rsidRDefault="00B10043" w:rsidP="00B100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0043">
        <w:rPr>
          <w:rFonts w:ascii="Times New Roman" w:hAnsi="Times New Roman" w:cs="Times New Roman"/>
          <w:sz w:val="20"/>
          <w:szCs w:val="20"/>
        </w:rPr>
        <w:t>255-41-14</w:t>
      </w:r>
    </w:p>
    <w:sectPr w:rsidR="00B10043" w:rsidRPr="00B10043" w:rsidSect="00B10043">
      <w:headerReference w:type="default" r:id="rId6"/>
      <w:headerReference w:type="first" r:id="rId7"/>
      <w:footerReference w:type="first" r:id="rId8"/>
      <w:pgSz w:w="11906" w:h="16838"/>
      <w:pgMar w:top="1134" w:right="70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83AFC">
      <w:pPr>
        <w:spacing w:after="0" w:line="240" w:lineRule="auto"/>
      </w:pPr>
      <w:r>
        <w:separator/>
      </w:r>
    </w:p>
  </w:endnote>
  <w:endnote w:type="continuationSeparator" w:id="0">
    <w:p w:rsidR="00000000" w:rsidRDefault="00883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83AFC">
        <w:pPr>
          <w:pStyle w:val="a5"/>
          <w:jc w:val="center"/>
        </w:pPr>
      </w:p>
    </w:sdtContent>
  </w:sdt>
  <w:p w:rsidR="00A7635E" w:rsidRDefault="00883A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83AFC">
      <w:pPr>
        <w:spacing w:after="0" w:line="240" w:lineRule="auto"/>
      </w:pPr>
      <w:r>
        <w:separator/>
      </w:r>
    </w:p>
  </w:footnote>
  <w:footnote w:type="continuationSeparator" w:id="0">
    <w:p w:rsidR="00000000" w:rsidRDefault="00883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7506910"/>
      <w:docPartObj>
        <w:docPartGallery w:val="Page Numbers (Top of Page)"/>
        <w:docPartUnique/>
      </w:docPartObj>
    </w:sdtPr>
    <w:sdtEndPr/>
    <w:sdtContent>
      <w:p w:rsidR="00C0654D" w:rsidRDefault="00B100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AFC">
          <w:rPr>
            <w:noProof/>
          </w:rPr>
          <w:t>2</w:t>
        </w:r>
        <w:r>
          <w:fldChar w:fldCharType="end"/>
        </w:r>
      </w:p>
    </w:sdtContent>
  </w:sdt>
  <w:p w:rsidR="00CE6A4B" w:rsidRDefault="00883AFC" w:rsidP="00AD7F82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883AF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83AF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83AF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B10043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4AC5543C" wp14:editId="0F3D4CA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B10043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B10043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83AF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83AF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83AF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883AFC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043"/>
    <w:rsid w:val="001E5053"/>
    <w:rsid w:val="004300BB"/>
    <w:rsid w:val="005576BA"/>
    <w:rsid w:val="00883AFC"/>
    <w:rsid w:val="009118F0"/>
    <w:rsid w:val="00963DB1"/>
    <w:rsid w:val="00B10043"/>
    <w:rsid w:val="00BC507F"/>
    <w:rsid w:val="00DB3115"/>
    <w:rsid w:val="00F6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596FA"/>
  <w15:chartTrackingRefBased/>
  <w15:docId w15:val="{C0DA0BB2-3E91-4431-8981-C038118F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00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10043"/>
  </w:style>
  <w:style w:type="paragraph" w:styleId="a5">
    <w:name w:val="footer"/>
    <w:basedOn w:val="a"/>
    <w:link w:val="a6"/>
    <w:uiPriority w:val="99"/>
    <w:semiHidden/>
    <w:unhideWhenUsed/>
    <w:rsid w:val="00B100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B10043"/>
  </w:style>
  <w:style w:type="table" w:styleId="a7">
    <w:name w:val="Table Grid"/>
    <w:basedOn w:val="a1"/>
    <w:uiPriority w:val="99"/>
    <w:rsid w:val="00B1004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азва документа"/>
    <w:basedOn w:val="a"/>
    <w:next w:val="a"/>
    <w:uiPriority w:val="99"/>
    <w:rsid w:val="00B10043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9">
    <w:name w:val="Нормальний текст"/>
    <w:basedOn w:val="a"/>
    <w:rsid w:val="00B1004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3154</Words>
  <Characters>1798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cp:lastPrinted>2021-11-29T09:09:00Z</cp:lastPrinted>
  <dcterms:created xsi:type="dcterms:W3CDTF">2021-11-29T09:02:00Z</dcterms:created>
  <dcterms:modified xsi:type="dcterms:W3CDTF">2021-12-01T22:06:00Z</dcterms:modified>
</cp:coreProperties>
</file>