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7EC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F517EC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F517EC" w:rsidRDefault="00F517EC" w:rsidP="00F517EC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F517EC" w:rsidRPr="00F517EC" w:rsidRDefault="00F517EC" w:rsidP="00F517EC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щодо </w:t>
      </w:r>
      <w:proofErr w:type="spellStart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проєкту</w:t>
      </w:r>
      <w:proofErr w:type="spellEnd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Закону України «Про </w:t>
      </w:r>
      <w:r w:rsidRPr="00F517E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внесення змін до статті 7 Закону України "Про банки і банківську діяльність" щодо посилення захисту інтересів клієнтів державних банків</w:t>
      </w:r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» </w:t>
      </w:r>
    </w:p>
    <w:p w:rsidR="00F517EC" w:rsidRPr="00F517EC" w:rsidRDefault="00F517EC" w:rsidP="00F517EC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(реєстр. № 5862 від 20.08.2021р., </w:t>
      </w:r>
      <w:proofErr w:type="spellStart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н.д</w:t>
      </w:r>
      <w:proofErr w:type="spellEnd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 </w:t>
      </w:r>
      <w:proofErr w:type="spellStart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Дубінський</w:t>
      </w:r>
      <w:proofErr w:type="spellEnd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О.А. та інші)</w:t>
      </w:r>
      <w:r w:rsidRPr="00F517EC">
        <w:rPr>
          <w:rFonts w:ascii="Times New Roman" w:eastAsia="Times New Roman" w:hAnsi="Times New Roman"/>
          <w:b/>
          <w:sz w:val="28"/>
          <w:szCs w:val="28"/>
          <w:vertAlign w:val="superscript"/>
          <w:lang w:val="uk-UA" w:eastAsia="ru-RU"/>
        </w:rPr>
        <w:footnoteReference w:id="1"/>
      </w:r>
    </w:p>
    <w:p w:rsidR="00F517EC" w:rsidRPr="00F517EC" w:rsidRDefault="00F517EC" w:rsidP="00F517EC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517EC" w:rsidRPr="00F517EC" w:rsidRDefault="00F517EC" w:rsidP="00F517EC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517EC" w:rsidRPr="00F517EC" w:rsidRDefault="00F517EC" w:rsidP="00F517EC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1. Загальна характеристика </w:t>
      </w:r>
      <w:proofErr w:type="spellStart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F517EC" w:rsidRPr="00F517EC" w:rsidRDefault="00F517EC" w:rsidP="00F517EC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MS Mincho" w:hAnsi="Times New Roman"/>
          <w:sz w:val="28"/>
          <w:szCs w:val="24"/>
          <w:lang w:val="uk-UA" w:eastAsia="ru-RU"/>
        </w:rPr>
      </w:pP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розроблення </w:t>
      </w:r>
      <w:proofErr w:type="spellStart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Закону, як зазначено у пояснювальній записці, є </w:t>
      </w:r>
      <w:r w:rsidRPr="00F517EC">
        <w:rPr>
          <w:rFonts w:ascii="Times New Roman" w:eastAsia="MS Mincho" w:hAnsi="Times New Roman"/>
          <w:sz w:val="28"/>
          <w:szCs w:val="24"/>
          <w:lang w:val="uk-UA" w:eastAsia="ru-RU"/>
        </w:rPr>
        <w:t>забезпечення рівного доступу клієнтів – фізичних осіб, в тому числі, які є держателями платіжних карток, до послуг, які надаються державними банками, забезпечення захисту інтересів клієнтів державних банків, які проживають в невеликих за чисельністю населених пунктах, що стимулюватиме більш динамічніший розвиток ринку платіжних послуг з використанням платіжних інструментів (платіжних карток), сприятиме зберіганню населенням грошових коштів у безготівковій формі, підвищуватиме довіру населення до банківської системи, зокрема, та держави, в цілому.</w:t>
      </w:r>
    </w:p>
    <w:p w:rsidR="00F517EC" w:rsidRPr="00F517EC" w:rsidRDefault="00F517EC" w:rsidP="00F517EC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F517EC" w:rsidRDefault="00F517EC" w:rsidP="00F517EC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F517EC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2.  </w:t>
      </w:r>
      <w:r w:rsidRPr="00F517E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Належність </w:t>
      </w:r>
      <w:proofErr w:type="spellStart"/>
      <w:r w:rsidRPr="00F517E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законопроєкту</w:t>
      </w:r>
      <w:proofErr w:type="spellEnd"/>
      <w:r w:rsidRPr="00F517E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F517EC" w:rsidRPr="00F517EC" w:rsidRDefault="00F517EC" w:rsidP="00F517EC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</w:t>
      </w:r>
      <w:proofErr w:type="spellStart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охоплюється:</w:t>
      </w:r>
    </w:p>
    <w:p w:rsidR="00F517EC" w:rsidRPr="00F517EC" w:rsidRDefault="00F517EC" w:rsidP="00F517EC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Главою 13 «</w:t>
      </w:r>
      <w:r w:rsidRPr="00F517EC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>Законодавство про заснування та діяльність компаній, корпоративне управління, бухгалтерський облік та аудит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»,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F517EC" w:rsidRPr="00F517EC" w:rsidRDefault="00F517EC" w:rsidP="00F517EC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Керівними принципами ОЕСР щодо корпоративного управління на підприємствах державної форми власності від 2015 р.</w:t>
      </w:r>
    </w:p>
    <w:p w:rsidR="00F517EC" w:rsidRPr="00F517EC" w:rsidRDefault="00F517EC" w:rsidP="00F517EC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F517EC" w:rsidRDefault="00F517EC" w:rsidP="00F517EC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517EC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3.  </w:t>
      </w:r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Відповідність </w:t>
      </w:r>
      <w:proofErr w:type="spellStart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міжнародно-правовим зобов’язанням України в сфері європейської інтеграції та праву ЄС.</w:t>
      </w:r>
    </w:p>
    <w:p w:rsidR="00F517EC" w:rsidRPr="00F517EC" w:rsidRDefault="00F517EC" w:rsidP="00F517EC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За</w:t>
      </w:r>
      <w:r w:rsidR="00A7782C">
        <w:rPr>
          <w:rFonts w:ascii="Times New Roman" w:eastAsia="Times New Roman" w:hAnsi="Times New Roman"/>
          <w:sz w:val="28"/>
          <w:szCs w:val="28"/>
          <w:lang w:val="uk-UA" w:eastAsia="ru-RU"/>
        </w:rPr>
        <w:t>конопроєкт</w:t>
      </w:r>
      <w:proofErr w:type="spellEnd"/>
      <w:r w:rsidR="00A778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зобов’язує державні банки мати </w:t>
      </w:r>
      <w:r w:rsidRPr="00F517EC">
        <w:rPr>
          <w:rFonts w:ascii="Times New Roman" w:eastAsia="MS Mincho" w:hAnsi="Times New Roman"/>
          <w:sz w:val="28"/>
          <w:szCs w:val="28"/>
          <w:lang w:val="uk-UA" w:eastAsia="ru-RU"/>
        </w:rPr>
        <w:t>щонайменше один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відокремлений підрозділ (філію, відділення, тощо) в кожному обласному, кожному районному центрі, а також в кожному адміністративному центрі територіальної громади. </w:t>
      </w:r>
    </w:p>
    <w:p w:rsidR="00F517EC" w:rsidRPr="00F517EC" w:rsidRDefault="00F517EC" w:rsidP="00F517EC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</w:t>
      </w:r>
      <w:proofErr w:type="spellStart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законопроєктом</w:t>
      </w:r>
      <w:proofErr w:type="spellEnd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передбачається зобов’язання державного банку забезпечити розміщення не менше одного банкомату у кожному населеному пункті, в якому розташоване відділення  національного оператора поштового зв’язку (не враховуючи пересувних</w:t>
      </w:r>
      <w:r w:rsidR="00A778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відділень), а також у кожному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населеному пункті, у якому кількість клієнтів - держателів платіжних інструментів (платіжних карток) такого державного банку становить не менше 150 осіб, незалежно від розташування в такому населеному пункті відділення національного оператора поштового зв’язку (в тому числі пересувного).</w:t>
      </w:r>
    </w:p>
    <w:p w:rsidR="00F517EC" w:rsidRPr="00F517EC" w:rsidRDefault="00F517EC" w:rsidP="00F517EC">
      <w:pPr>
        <w:shd w:val="clear" w:color="auto" w:fill="FFFFFF"/>
        <w:spacing w:after="120" w:line="240" w:lineRule="auto"/>
        <w:ind w:left="-426" w:firstLine="568"/>
        <w:jc w:val="both"/>
        <w:rPr>
          <w:rFonts w:ascii="Times New Roman" w:eastAsia="Times New Roman" w:hAnsi="Times New Roman"/>
          <w:bCs/>
          <w:sz w:val="28"/>
          <w:szCs w:val="24"/>
          <w:lang w:val="uk-UA" w:eastAsia="ru-RU"/>
        </w:rPr>
      </w:pPr>
      <w:r w:rsidRPr="00F517EC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>Частиною І статті 387</w:t>
      </w:r>
      <w:r w:rsidR="00A7782C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>,</w:t>
      </w:r>
      <w:r w:rsidRPr="00F517EC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 xml:space="preserve"> Глави 13 «Законодавство про заснування та діяльність компаній, корпоративне управління, бухгалтерський облік та аудит», Розділу V «Економічне та галузеве співробітництво» Угоди про асоціацію зазначено, що «визнаючи важливість комплексного застосування ефективних правил та методики у сферах законодавства щодо заснування та діяльності компаній, корпоративного управління, а також щодо бухгалтерського обліку та аудиту, з метою створення повноцінно функціонуючої ринкової економіки та задля стимулювання торгівлі, Сторони домовилися співробітничати:</w:t>
      </w:r>
    </w:p>
    <w:p w:rsidR="00F517EC" w:rsidRPr="00F517EC" w:rsidRDefault="00F517EC" w:rsidP="00F517EC">
      <w:pPr>
        <w:shd w:val="clear" w:color="auto" w:fill="FFFFFF"/>
        <w:spacing w:after="120" w:line="240" w:lineRule="auto"/>
        <w:ind w:left="-426" w:firstLine="568"/>
        <w:jc w:val="both"/>
        <w:rPr>
          <w:rFonts w:ascii="Times New Roman" w:eastAsia="Times New Roman" w:hAnsi="Times New Roman"/>
          <w:bCs/>
          <w:sz w:val="28"/>
          <w:szCs w:val="24"/>
          <w:lang w:val="uk-UA" w:eastAsia="ru-RU"/>
        </w:rPr>
      </w:pPr>
      <w:r w:rsidRPr="00F517EC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 xml:space="preserve">c) з питань подальшого розвитку політики корпоративного управління відповідно до міжнародних стандартів, а також поступового наближення до правил та рекомендацій ЄС у цій сфері згідно з Додатком XXXVІ до цієї Угоди». </w:t>
      </w:r>
    </w:p>
    <w:p w:rsidR="00F517EC" w:rsidRPr="00F517EC" w:rsidRDefault="00F517EC" w:rsidP="00F517EC">
      <w:pPr>
        <w:shd w:val="clear" w:color="auto" w:fill="FFFFFF"/>
        <w:spacing w:after="120" w:line="240" w:lineRule="auto"/>
        <w:ind w:left="-426" w:firstLine="568"/>
        <w:jc w:val="both"/>
        <w:rPr>
          <w:rFonts w:ascii="Times New Roman" w:eastAsia="Times New Roman" w:hAnsi="Times New Roman"/>
          <w:bCs/>
          <w:sz w:val="28"/>
          <w:szCs w:val="24"/>
          <w:lang w:val="uk-UA" w:eastAsia="ru-RU"/>
        </w:rPr>
      </w:pPr>
      <w:r w:rsidRPr="00F517EC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>Додаток XXXVІ Угоди про асоціацію передбачає застосування Принципів ОЕСР щодо корпоративного управління.</w:t>
      </w:r>
    </w:p>
    <w:p w:rsidR="00F517EC" w:rsidRPr="00F517EC" w:rsidRDefault="00F517EC" w:rsidP="00412CB7">
      <w:pPr>
        <w:shd w:val="clear" w:color="auto" w:fill="FFFFFF"/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пунктом «Цілі державної політики», Розділу «Застосовність і визначеність» Керівних принципів ОЕСР </w:t>
      </w:r>
      <w:r w:rsidR="00412CB7"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щодо корпоративного управління на підприємствах державної форми власності від 2015 р.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«цілями державної політики є цілі, реалізовані на користь широких кіл громадськості», «такі цілі відрізняються від досягнення максимального прибутку та зростання вартості акцій. Це може включати надання публічних послуг, наприклад, послуг пошти, а також виконання інших спеціальних обов’язків в інтересах суспільства».  </w:t>
      </w:r>
    </w:p>
    <w:p w:rsidR="00412CB7" w:rsidRDefault="00F517EC" w:rsidP="00412CB7">
      <w:pPr>
        <w:shd w:val="clear" w:color="auto" w:fill="FFFFFF"/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Тому, </w:t>
      </w:r>
      <w:r w:rsidR="00412CB7">
        <w:rPr>
          <w:rFonts w:ascii="Times New Roman" w:eastAsia="Times New Roman" w:hAnsi="Times New Roman"/>
          <w:sz w:val="28"/>
          <w:szCs w:val="28"/>
          <w:lang w:val="uk-UA" w:eastAsia="ru-RU"/>
        </w:rPr>
        <w:t>розширення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мережі відділень державних банків та збільшення кількості </w:t>
      </w:r>
      <w:proofErr w:type="spellStart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банкоматів</w:t>
      </w:r>
      <w:proofErr w:type="spellEnd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метою надання відповідних послуг в інтересах суспільства не суперечить Керівн</w:t>
      </w:r>
      <w:r w:rsidR="00412CB7">
        <w:rPr>
          <w:rFonts w:ascii="Times New Roman" w:eastAsia="Times New Roman" w:hAnsi="Times New Roman"/>
          <w:sz w:val="28"/>
          <w:szCs w:val="28"/>
          <w:lang w:val="uk-UA" w:eastAsia="ru-RU"/>
        </w:rPr>
        <w:t>им принципам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ОЕСР </w:t>
      </w:r>
      <w:r w:rsidR="00412CB7" w:rsidRPr="00412CB7">
        <w:rPr>
          <w:rFonts w:ascii="Times New Roman" w:eastAsia="Times New Roman" w:hAnsi="Times New Roman"/>
          <w:sz w:val="28"/>
          <w:szCs w:val="28"/>
          <w:lang w:val="uk-UA" w:eastAsia="ru-RU"/>
        </w:rPr>
        <w:t>щодо корпоративного управління на підприємствах державної форми власності від 2015 р.</w:t>
      </w:r>
    </w:p>
    <w:p w:rsidR="007E0C76" w:rsidRDefault="00705FFA" w:rsidP="00412CB7">
      <w:pPr>
        <w:shd w:val="clear" w:color="auto" w:fill="FFFFFF"/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Разом з цим, </w:t>
      </w:r>
      <w:r w:rsidR="001271A7">
        <w:rPr>
          <w:rFonts w:ascii="Times New Roman" w:eastAsia="Times New Roman" w:hAnsi="Times New Roman"/>
          <w:sz w:val="28"/>
          <w:szCs w:val="28"/>
          <w:lang w:val="uk-UA" w:eastAsia="ru-RU"/>
        </w:rPr>
        <w:t>варто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зазначити, що доходність та конкурентоспроможність державного банку може бути доволі низькою</w:t>
      </w:r>
      <w:r w:rsidR="007E0C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функціонування деяких </w:t>
      </w:r>
      <w:r w:rsidR="001271A7">
        <w:rPr>
          <w:rFonts w:ascii="Times New Roman" w:eastAsia="Times New Roman" w:hAnsi="Times New Roman"/>
          <w:sz w:val="28"/>
          <w:szCs w:val="28"/>
          <w:lang w:val="uk-UA" w:eastAsia="ru-RU"/>
        </w:rPr>
        <w:t>відділень може бути неефективним</w:t>
      </w:r>
      <w:r w:rsidR="00351C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може призвести до додаткових витрат по рефінансуванню та підтриманню </w:t>
      </w:r>
      <w:r w:rsidR="006408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деяких </w:t>
      </w:r>
      <w:r w:rsidR="00351C7A">
        <w:rPr>
          <w:rFonts w:ascii="Times New Roman" w:eastAsia="Times New Roman" w:hAnsi="Times New Roman"/>
          <w:sz w:val="28"/>
          <w:szCs w:val="28"/>
          <w:lang w:val="uk-UA" w:eastAsia="ru-RU"/>
        </w:rPr>
        <w:t>нерентабельних відділень</w:t>
      </w:r>
      <w:r w:rsidR="007E0C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proofErr w:type="spellStart"/>
      <w:r w:rsidR="007E0C76">
        <w:rPr>
          <w:rFonts w:ascii="Times New Roman" w:eastAsia="Times New Roman" w:hAnsi="Times New Roman"/>
          <w:sz w:val="28"/>
          <w:szCs w:val="28"/>
          <w:lang w:val="uk-UA" w:eastAsia="ru-RU"/>
        </w:rPr>
        <w:t>банкоматів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757FF" w:rsidRDefault="00B757FF" w:rsidP="00B757FF">
      <w:pPr>
        <w:shd w:val="clear" w:color="auto" w:fill="FFFFFF"/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Пункт а) Розділу І «Засади державної форми власності» 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Керівн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их принципів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ОЕСР </w:t>
      </w:r>
      <w:r w:rsidRPr="00412CB7">
        <w:rPr>
          <w:rFonts w:ascii="Times New Roman" w:eastAsia="Times New Roman" w:hAnsi="Times New Roman"/>
          <w:sz w:val="28"/>
          <w:szCs w:val="28"/>
          <w:lang w:val="uk-UA" w:eastAsia="ru-RU"/>
        </w:rPr>
        <w:t>щодо корпоративного управління на підприємствах державної форми власності від 2015 р.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зазначає, що «кінцевою метою державної форми власності повинна стати максимізація цінності підприємства для суспільства шляхом ефективного розпорядження ресурсами».</w:t>
      </w:r>
    </w:p>
    <w:p w:rsidR="00351C7A" w:rsidRDefault="00705FFA" w:rsidP="00412CB7">
      <w:pPr>
        <w:shd w:val="clear" w:color="auto" w:fill="FFFFFF"/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Тому, </w:t>
      </w:r>
      <w:r w:rsidR="00351C7A">
        <w:rPr>
          <w:rFonts w:ascii="Times New Roman" w:eastAsia="Times New Roman" w:hAnsi="Times New Roman"/>
          <w:sz w:val="28"/>
          <w:szCs w:val="28"/>
          <w:lang w:val="uk-UA" w:eastAsia="ru-RU"/>
        </w:rPr>
        <w:t>з метою найбільш кращого задоволення суспільного інтересу та найбільш ефективного використання державних коштів</w:t>
      </w:r>
      <w:r w:rsidR="007E0C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7E0C76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</w:t>
      </w:r>
      <w:r w:rsidR="00351C7A">
        <w:rPr>
          <w:rFonts w:ascii="Times New Roman" w:eastAsia="Times New Roman" w:hAnsi="Times New Roman"/>
          <w:sz w:val="28"/>
          <w:szCs w:val="28"/>
          <w:lang w:val="uk-UA" w:eastAsia="ru-RU"/>
        </w:rPr>
        <w:t>кт</w:t>
      </w:r>
      <w:proofErr w:type="spellEnd"/>
      <w:r w:rsidR="00351C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потребує зваженого</w:t>
      </w:r>
      <w:r w:rsidR="00640853">
        <w:rPr>
          <w:rFonts w:ascii="Times New Roman" w:eastAsia="Times New Roman" w:hAnsi="Times New Roman"/>
          <w:sz w:val="28"/>
          <w:szCs w:val="28"/>
          <w:lang w:val="uk-UA" w:eastAsia="ru-RU"/>
        </w:rPr>
        <w:t>, комплексного</w:t>
      </w:r>
      <w:r w:rsidR="00351C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збалансованого підходу щодо критеріїв</w:t>
      </w:r>
      <w:r w:rsidR="00861E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які застосовуються для </w:t>
      </w:r>
      <w:r w:rsidR="00EA20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вибору місць </w:t>
      </w:r>
      <w:r w:rsidR="00351C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розміщення </w:t>
      </w:r>
      <w:r w:rsidR="006408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відділень та </w:t>
      </w:r>
      <w:proofErr w:type="spellStart"/>
      <w:r w:rsidR="00640853">
        <w:rPr>
          <w:rFonts w:ascii="Times New Roman" w:eastAsia="Times New Roman" w:hAnsi="Times New Roman"/>
          <w:sz w:val="28"/>
          <w:szCs w:val="28"/>
          <w:lang w:val="uk-UA" w:eastAsia="ru-RU"/>
        </w:rPr>
        <w:t>банкоматів</w:t>
      </w:r>
      <w:proofErr w:type="spellEnd"/>
      <w:r w:rsidR="006408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державних банків</w:t>
      </w:r>
      <w:r w:rsidR="006F1C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дотриманням принципу ефективного розпорядження ресурсами</w:t>
      </w:r>
      <w:r w:rsidR="0064085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517EC" w:rsidRPr="00F517EC" w:rsidRDefault="00F517EC" w:rsidP="008719DF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F517EC" w:rsidRDefault="00F517EC" w:rsidP="00F517EC">
      <w:pPr>
        <w:spacing w:after="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0" w:name="bookmark2"/>
      <w:r w:rsidRPr="00F517EC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4.</w:t>
      </w:r>
      <w:r w:rsidRPr="00F517EC">
        <w:rPr>
          <w:rFonts w:ascii="Times New Roman" w:eastAsia="Verdana" w:hAnsi="Times New Roman"/>
          <w:bCs/>
          <w:sz w:val="28"/>
          <w:szCs w:val="28"/>
          <w:lang w:val="uk-UA" w:eastAsia="ru-RU"/>
        </w:rPr>
        <w:t>   </w:t>
      </w:r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Висновок Комітету з питань інтеграції України до Європейського Союзу. </w:t>
      </w:r>
    </w:p>
    <w:bookmarkEnd w:id="0"/>
    <w:p w:rsidR="00F517EC" w:rsidRPr="00F517EC" w:rsidRDefault="00F517EC" w:rsidP="00F517EC">
      <w:pPr>
        <w:tabs>
          <w:tab w:val="left" w:pos="426"/>
        </w:tabs>
        <w:spacing w:after="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Pr="00F517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не суперечить</w:t>
      </w:r>
      <w:r w:rsidRPr="00F51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73DC6">
        <w:rPr>
          <w:rFonts w:ascii="Times New Roman" w:eastAsia="Times New Roman" w:hAnsi="Times New Roman"/>
          <w:sz w:val="28"/>
          <w:szCs w:val="28"/>
          <w:lang w:val="uk-UA" w:eastAsia="ru-RU"/>
        </w:rPr>
        <w:t>цілям</w:t>
      </w:r>
      <w:r w:rsidR="00861E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Угоди про асоціацію.</w:t>
      </w:r>
      <w:r w:rsidR="00A73D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Разом з т</w:t>
      </w:r>
      <w:r w:rsidR="006F1C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им, </w:t>
      </w:r>
      <w:r w:rsidR="00EA20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критерії вибору місць </w:t>
      </w:r>
      <w:r w:rsidR="006F1C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розміщення відділень та </w:t>
      </w:r>
      <w:proofErr w:type="spellStart"/>
      <w:r w:rsidR="006F1C51">
        <w:rPr>
          <w:rFonts w:ascii="Times New Roman" w:eastAsia="Times New Roman" w:hAnsi="Times New Roman"/>
          <w:sz w:val="28"/>
          <w:szCs w:val="28"/>
          <w:lang w:val="uk-UA" w:eastAsia="ru-RU"/>
        </w:rPr>
        <w:t>банкоматів</w:t>
      </w:r>
      <w:proofErr w:type="spellEnd"/>
      <w:r w:rsidR="006F1C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державних банків</w:t>
      </w:r>
      <w:r w:rsidR="00EA20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повинні</w:t>
      </w:r>
      <w:r w:rsidR="006F1C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A2005">
        <w:rPr>
          <w:rFonts w:ascii="Times New Roman" w:eastAsia="Times New Roman" w:hAnsi="Times New Roman"/>
          <w:sz w:val="28"/>
          <w:szCs w:val="28"/>
          <w:lang w:val="uk-UA" w:eastAsia="ru-RU"/>
        </w:rPr>
        <w:t>враховувати принцип</w:t>
      </w:r>
      <w:r w:rsidR="006F1C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ефективного розпорядження ресурсами.</w:t>
      </w:r>
    </w:p>
    <w:p w:rsidR="00F517EC" w:rsidRPr="00F517EC" w:rsidRDefault="00F517EC" w:rsidP="00F517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F517EC" w:rsidRDefault="00F517EC" w:rsidP="00F517E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F517EC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1" w:name="_GoBack"/>
      <w:bookmarkEnd w:id="1"/>
    </w:p>
    <w:sectPr w:rsidR="00F517EC" w:rsidRPr="00F517EC" w:rsidSect="00CC2FA6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D39" w:rsidRDefault="00730D39" w:rsidP="005E306B">
      <w:pPr>
        <w:spacing w:after="0" w:line="240" w:lineRule="auto"/>
      </w:pPr>
      <w:r>
        <w:separator/>
      </w:r>
    </w:p>
  </w:endnote>
  <w:endnote w:type="continuationSeparator" w:id="0">
    <w:p w:rsidR="00730D39" w:rsidRDefault="00730D3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6815880"/>
      <w:docPartObj>
        <w:docPartGallery w:val="Page Numbers (Bottom of Page)"/>
        <w:docPartUnique/>
      </w:docPartObj>
    </w:sdtPr>
    <w:sdtEndPr/>
    <w:sdtContent>
      <w:p w:rsidR="008C6D5E" w:rsidRDefault="008C6D5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8E5" w:rsidRPr="00D248E5">
          <w:rPr>
            <w:noProof/>
            <w:lang w:val="uk-UA"/>
          </w:rPr>
          <w:t>3</w:t>
        </w:r>
        <w:r>
          <w:fldChar w:fldCharType="end"/>
        </w:r>
      </w:p>
    </w:sdtContent>
  </w:sdt>
  <w:p w:rsidR="008C6D5E" w:rsidRDefault="008C6D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30D3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D39" w:rsidRDefault="00730D39" w:rsidP="005E306B">
      <w:pPr>
        <w:spacing w:after="0" w:line="240" w:lineRule="auto"/>
      </w:pPr>
      <w:r>
        <w:separator/>
      </w:r>
    </w:p>
  </w:footnote>
  <w:footnote w:type="continuationSeparator" w:id="0">
    <w:p w:rsidR="00730D39" w:rsidRDefault="00730D39" w:rsidP="005E306B">
      <w:pPr>
        <w:spacing w:after="0" w:line="240" w:lineRule="auto"/>
      </w:pPr>
      <w:r>
        <w:continuationSeparator/>
      </w:r>
    </w:p>
  </w:footnote>
  <w:footnote w:id="1">
    <w:p w:rsidR="00F517EC" w:rsidRPr="000D2D10" w:rsidRDefault="00F517EC" w:rsidP="00F517EC">
      <w:pPr>
        <w:pStyle w:val="ac"/>
        <w:ind w:left="-426"/>
        <w:jc w:val="both"/>
      </w:pPr>
      <w:r>
        <w:rPr>
          <w:rStyle w:val="ab"/>
        </w:rPr>
        <w:footnoteRef/>
      </w:r>
      <w:r>
        <w:t xml:space="preserve"> </w:t>
      </w:r>
      <w:r w:rsidRPr="009969AA">
        <w:rPr>
          <w:sz w:val="24"/>
          <w:szCs w:val="24"/>
          <w:lang w:eastAsia="uk-UA"/>
        </w:rPr>
        <w:t xml:space="preserve">Комітет розглянув </w:t>
      </w:r>
      <w:proofErr w:type="spellStart"/>
      <w:r w:rsidRPr="009969AA">
        <w:rPr>
          <w:sz w:val="24"/>
          <w:szCs w:val="24"/>
          <w:lang w:eastAsia="uk-UA"/>
        </w:rPr>
        <w:t>проє</w:t>
      </w:r>
      <w:r>
        <w:rPr>
          <w:sz w:val="24"/>
          <w:szCs w:val="24"/>
          <w:lang w:eastAsia="uk-UA"/>
        </w:rPr>
        <w:t>кт</w:t>
      </w:r>
      <w:proofErr w:type="spellEnd"/>
      <w:r>
        <w:rPr>
          <w:sz w:val="24"/>
          <w:szCs w:val="24"/>
          <w:lang w:eastAsia="uk-UA"/>
        </w:rPr>
        <w:t xml:space="preserve"> Закону на своєму засіданні 21 січня 2022 року (протокол № 94</w:t>
      </w:r>
      <w:r w:rsidRPr="009969AA">
        <w:rPr>
          <w:sz w:val="24"/>
          <w:szCs w:val="24"/>
          <w:lang w:eastAsia="uk-UA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21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491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7831608"/>
    <w:multiLevelType w:val="hybridMultilevel"/>
    <w:tmpl w:val="5CF2433A"/>
    <w:lvl w:ilvl="0" w:tplc="F976CC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005C8"/>
    <w:rsid w:val="00110664"/>
    <w:rsid w:val="001271A7"/>
    <w:rsid w:val="00141617"/>
    <w:rsid w:val="0019108F"/>
    <w:rsid w:val="0019322A"/>
    <w:rsid w:val="001966F0"/>
    <w:rsid w:val="001D3C24"/>
    <w:rsid w:val="0021032F"/>
    <w:rsid w:val="00235CD7"/>
    <w:rsid w:val="00236343"/>
    <w:rsid w:val="002A5D4C"/>
    <w:rsid w:val="002B5FC1"/>
    <w:rsid w:val="002D0561"/>
    <w:rsid w:val="002E0A18"/>
    <w:rsid w:val="002E31BF"/>
    <w:rsid w:val="002E44DA"/>
    <w:rsid w:val="00302843"/>
    <w:rsid w:val="00351C7A"/>
    <w:rsid w:val="00363436"/>
    <w:rsid w:val="003D0996"/>
    <w:rsid w:val="003D1CBA"/>
    <w:rsid w:val="00412CB7"/>
    <w:rsid w:val="00424B1C"/>
    <w:rsid w:val="00451750"/>
    <w:rsid w:val="004852FA"/>
    <w:rsid w:val="004C53C1"/>
    <w:rsid w:val="004E4F5C"/>
    <w:rsid w:val="004F7B8A"/>
    <w:rsid w:val="0050620F"/>
    <w:rsid w:val="0051601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40853"/>
    <w:rsid w:val="00660B13"/>
    <w:rsid w:val="0066623D"/>
    <w:rsid w:val="006F10E8"/>
    <w:rsid w:val="006F1C51"/>
    <w:rsid w:val="00705FFA"/>
    <w:rsid w:val="00713E93"/>
    <w:rsid w:val="007204E1"/>
    <w:rsid w:val="00730D39"/>
    <w:rsid w:val="0073224C"/>
    <w:rsid w:val="00760835"/>
    <w:rsid w:val="007A0252"/>
    <w:rsid w:val="007E0C76"/>
    <w:rsid w:val="007F5D91"/>
    <w:rsid w:val="0080545D"/>
    <w:rsid w:val="0084269F"/>
    <w:rsid w:val="00861E6C"/>
    <w:rsid w:val="008719DF"/>
    <w:rsid w:val="008C4918"/>
    <w:rsid w:val="008C6D5E"/>
    <w:rsid w:val="00945B68"/>
    <w:rsid w:val="00957D31"/>
    <w:rsid w:val="009865D4"/>
    <w:rsid w:val="009A720A"/>
    <w:rsid w:val="00A00059"/>
    <w:rsid w:val="00A60747"/>
    <w:rsid w:val="00A73DC6"/>
    <w:rsid w:val="00A7635E"/>
    <w:rsid w:val="00A76A60"/>
    <w:rsid w:val="00A7782C"/>
    <w:rsid w:val="00A833C8"/>
    <w:rsid w:val="00AC4ABF"/>
    <w:rsid w:val="00AD7F82"/>
    <w:rsid w:val="00B311E8"/>
    <w:rsid w:val="00B55DE0"/>
    <w:rsid w:val="00B6717E"/>
    <w:rsid w:val="00B757FF"/>
    <w:rsid w:val="00BB1827"/>
    <w:rsid w:val="00BD0801"/>
    <w:rsid w:val="00BF1E95"/>
    <w:rsid w:val="00C11FB6"/>
    <w:rsid w:val="00C25388"/>
    <w:rsid w:val="00C27AE9"/>
    <w:rsid w:val="00C86266"/>
    <w:rsid w:val="00C94119"/>
    <w:rsid w:val="00CA7044"/>
    <w:rsid w:val="00CC2FA6"/>
    <w:rsid w:val="00CC39A1"/>
    <w:rsid w:val="00CD4A38"/>
    <w:rsid w:val="00CE3E1B"/>
    <w:rsid w:val="00CE6A4B"/>
    <w:rsid w:val="00D10F4B"/>
    <w:rsid w:val="00D2186F"/>
    <w:rsid w:val="00D22048"/>
    <w:rsid w:val="00D242C2"/>
    <w:rsid w:val="00D248E5"/>
    <w:rsid w:val="00D37FA2"/>
    <w:rsid w:val="00D52549"/>
    <w:rsid w:val="00D56455"/>
    <w:rsid w:val="00D57E1B"/>
    <w:rsid w:val="00DE02E8"/>
    <w:rsid w:val="00DF0115"/>
    <w:rsid w:val="00E3142C"/>
    <w:rsid w:val="00E73887"/>
    <w:rsid w:val="00E85C22"/>
    <w:rsid w:val="00E870BB"/>
    <w:rsid w:val="00EA2005"/>
    <w:rsid w:val="00F517EC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1F7FB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64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455"/>
    <w:rPr>
      <w:rFonts w:ascii="Consolas" w:hAnsi="Consolas"/>
      <w:sz w:val="20"/>
      <w:szCs w:val="20"/>
      <w:lang w:val="ru-RU"/>
    </w:rPr>
  </w:style>
  <w:style w:type="character" w:styleId="ab">
    <w:name w:val="footnote reference"/>
    <w:basedOn w:val="a0"/>
    <w:unhideWhenUsed/>
    <w:rsid w:val="00D56455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D56455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D56455"/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776F-D9BC-44EA-BCC9-3E88DD4C2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7289A-2BA6-4282-B55F-2F989C5B0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216329-843A-4C5D-9DB2-4C0CAEE1F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5F6FF4-1F41-413F-99E3-C6F7CA94B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3492</Words>
  <Characters>1991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Мартинов Юрій Петрович</cp:lastModifiedBy>
  <cp:revision>16</cp:revision>
  <cp:lastPrinted>2022-01-20T08:59:00Z</cp:lastPrinted>
  <dcterms:created xsi:type="dcterms:W3CDTF">2022-01-13T13:11:00Z</dcterms:created>
  <dcterms:modified xsi:type="dcterms:W3CDTF">2022-01-21T12:32:00Z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