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65273" w:rsidRPr="00AB38F0" w:rsidTr="00305E68">
        <w:tc>
          <w:tcPr>
            <w:tcW w:w="11957" w:type="dxa"/>
            <w:tcBorders>
              <w:top w:val="nil"/>
              <w:left w:val="nil"/>
              <w:bottom w:val="nil"/>
              <w:right w:val="nil"/>
            </w:tcBorders>
          </w:tcPr>
          <w:p w:rsidR="00A65273" w:rsidRPr="00AB38F0" w:rsidRDefault="00A65273" w:rsidP="00305E68">
            <w:pPr>
              <w:pStyle w:val="a3"/>
              <w:tabs>
                <w:tab w:val="clear" w:pos="4677"/>
                <w:tab w:val="clear" w:pos="9355"/>
              </w:tabs>
              <w:jc w:val="center"/>
              <w:rPr>
                <w:rFonts w:ascii="Times New Roman" w:hAnsi="Times New Roman"/>
                <w:color w:val="002060"/>
                <w:sz w:val="32"/>
                <w:szCs w:val="32"/>
              </w:rPr>
            </w:pPr>
            <w:r w:rsidRPr="00AB38F0">
              <w:rPr>
                <w:noProof/>
                <w:spacing w:val="20"/>
                <w:sz w:val="32"/>
                <w:szCs w:val="32"/>
                <w:lang w:eastAsia="uk-UA"/>
              </w:rPr>
              <w:drawing>
                <wp:anchor distT="360045" distB="0" distL="114300" distR="114300" simplePos="0" relativeHeight="251659264" behindDoc="0" locked="0" layoutInCell="1" allowOverlap="1" wp14:anchorId="7373F923" wp14:editId="4329B32B">
                  <wp:simplePos x="0" y="0"/>
                  <wp:positionH relativeFrom="margin">
                    <wp:posOffset>3588385</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A65273" w:rsidRPr="00AB38F0" w:rsidRDefault="00A65273" w:rsidP="00305E68">
            <w:pPr>
              <w:pStyle w:val="a3"/>
              <w:tabs>
                <w:tab w:val="clear" w:pos="4677"/>
                <w:tab w:val="clear" w:pos="9355"/>
              </w:tabs>
              <w:jc w:val="center"/>
              <w:rPr>
                <w:rFonts w:ascii="Times New Roman" w:hAnsi="Times New Roman"/>
                <w:color w:val="002060"/>
                <w:sz w:val="32"/>
                <w:szCs w:val="32"/>
              </w:rPr>
            </w:pPr>
          </w:p>
          <w:p w:rsidR="00A65273" w:rsidRPr="00AB38F0" w:rsidRDefault="00A65273" w:rsidP="00305E68">
            <w:pPr>
              <w:pStyle w:val="a3"/>
              <w:tabs>
                <w:tab w:val="clear" w:pos="4677"/>
                <w:tab w:val="clear" w:pos="9355"/>
              </w:tabs>
              <w:jc w:val="center"/>
              <w:rPr>
                <w:rFonts w:ascii="Times New Roman" w:hAnsi="Times New Roman"/>
                <w:color w:val="002060"/>
                <w:sz w:val="32"/>
                <w:szCs w:val="32"/>
              </w:rPr>
            </w:pPr>
          </w:p>
          <w:p w:rsidR="00A65273" w:rsidRPr="00AB38F0" w:rsidRDefault="00A65273" w:rsidP="00305E68">
            <w:pPr>
              <w:pStyle w:val="a3"/>
              <w:tabs>
                <w:tab w:val="clear" w:pos="4677"/>
                <w:tab w:val="clear" w:pos="9355"/>
              </w:tabs>
              <w:jc w:val="center"/>
              <w:rPr>
                <w:rFonts w:ascii="Times New Roman" w:hAnsi="Times New Roman"/>
                <w:color w:val="1829A8"/>
                <w:spacing w:val="20"/>
                <w:sz w:val="32"/>
                <w:szCs w:val="32"/>
              </w:rPr>
            </w:pPr>
            <w:r w:rsidRPr="00AB38F0">
              <w:rPr>
                <w:rFonts w:ascii="Times New Roman" w:hAnsi="Times New Roman"/>
                <w:color w:val="1829A8"/>
                <w:spacing w:val="20"/>
                <w:sz w:val="32"/>
                <w:szCs w:val="32"/>
              </w:rPr>
              <w:t>АПАРАТ ВЕРХОВНОЇ РАДИ УКРАЇНИ</w:t>
            </w:r>
          </w:p>
          <w:p w:rsidR="00A65273" w:rsidRPr="00AB38F0" w:rsidRDefault="00A65273" w:rsidP="00305E68">
            <w:pPr>
              <w:pStyle w:val="a3"/>
              <w:tabs>
                <w:tab w:val="clear" w:pos="4677"/>
                <w:tab w:val="clear" w:pos="9355"/>
              </w:tabs>
              <w:jc w:val="center"/>
              <w:rPr>
                <w:rFonts w:ascii="Times New Roman" w:hAnsi="Times New Roman"/>
                <w:b/>
                <w:color w:val="1829A8"/>
                <w:spacing w:val="20"/>
                <w:sz w:val="24"/>
                <w:szCs w:val="24"/>
              </w:rPr>
            </w:pPr>
            <w:r w:rsidRPr="00AB38F0">
              <w:rPr>
                <w:rFonts w:ascii="Times New Roman" w:hAnsi="Times New Roman"/>
                <w:b/>
                <w:color w:val="1829A8"/>
                <w:spacing w:val="20"/>
                <w:sz w:val="24"/>
                <w:szCs w:val="24"/>
              </w:rPr>
              <w:t>Головне юридичне управління</w:t>
            </w:r>
          </w:p>
          <w:p w:rsidR="00A65273" w:rsidRPr="00AB38F0" w:rsidRDefault="00A65273" w:rsidP="00305E68">
            <w:pPr>
              <w:pStyle w:val="a3"/>
              <w:tabs>
                <w:tab w:val="clear" w:pos="4677"/>
                <w:tab w:val="clear" w:pos="9355"/>
              </w:tabs>
              <w:jc w:val="center"/>
              <w:rPr>
                <w:color w:val="002060"/>
                <w:sz w:val="20"/>
                <w:szCs w:val="20"/>
              </w:rPr>
            </w:pPr>
            <w:r w:rsidRPr="00AB38F0">
              <w:rPr>
                <w:rFonts w:ascii="Times New Roman" w:hAnsi="Times New Roman"/>
                <w:color w:val="1829A8"/>
                <w:sz w:val="20"/>
                <w:szCs w:val="20"/>
              </w:rPr>
              <w:t>01008, м.Київ-8, вул. М. Грушевського, 5, тел.:255-20-76</w:t>
            </w:r>
          </w:p>
        </w:tc>
      </w:tr>
    </w:tbl>
    <w:tbl>
      <w:tblPr>
        <w:tblStyle w:val="a5"/>
        <w:tblW w:w="12338"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9714"/>
        <w:gridCol w:w="1086"/>
      </w:tblGrid>
      <w:tr w:rsidR="00A65273" w:rsidRPr="00AB38F0" w:rsidTr="00305E68">
        <w:tc>
          <w:tcPr>
            <w:tcW w:w="1538" w:type="dxa"/>
            <w:tcBorders>
              <w:top w:val="nil"/>
            </w:tcBorders>
          </w:tcPr>
          <w:p w:rsidR="00A65273" w:rsidRPr="00AB38F0" w:rsidRDefault="00A65273" w:rsidP="00305E68">
            <w:pPr>
              <w:pStyle w:val="a3"/>
              <w:tabs>
                <w:tab w:val="clear" w:pos="4677"/>
                <w:tab w:val="clear" w:pos="9355"/>
              </w:tabs>
              <w:rPr>
                <w:rFonts w:ascii="Times New Roman" w:hAnsi="Times New Roman"/>
                <w:color w:val="002060"/>
                <w:lang w:val="uk-UA"/>
              </w:rPr>
            </w:pPr>
          </w:p>
        </w:tc>
        <w:tc>
          <w:tcPr>
            <w:tcW w:w="9714" w:type="dxa"/>
          </w:tcPr>
          <w:p w:rsidR="00A65273" w:rsidRPr="00AB38F0" w:rsidRDefault="00A65273" w:rsidP="00305E68">
            <w:pPr>
              <w:pStyle w:val="a3"/>
              <w:tabs>
                <w:tab w:val="clear" w:pos="4677"/>
                <w:tab w:val="clear" w:pos="9355"/>
              </w:tabs>
              <w:rPr>
                <w:rFonts w:ascii="Times New Roman" w:hAnsi="Times New Roman"/>
                <w:color w:val="002060"/>
                <w:lang w:val="uk-UA"/>
              </w:rPr>
            </w:pPr>
          </w:p>
        </w:tc>
        <w:tc>
          <w:tcPr>
            <w:tcW w:w="1086" w:type="dxa"/>
            <w:tcBorders>
              <w:top w:val="nil"/>
            </w:tcBorders>
          </w:tcPr>
          <w:p w:rsidR="00A65273" w:rsidRPr="00AB38F0" w:rsidRDefault="00A65273" w:rsidP="00305E68">
            <w:pPr>
              <w:pStyle w:val="a3"/>
              <w:tabs>
                <w:tab w:val="clear" w:pos="4677"/>
                <w:tab w:val="clear" w:pos="9355"/>
              </w:tabs>
              <w:rPr>
                <w:rFonts w:ascii="Times New Roman" w:hAnsi="Times New Roman"/>
                <w:color w:val="002060"/>
                <w:lang w:val="uk-UA"/>
              </w:rPr>
            </w:pPr>
          </w:p>
        </w:tc>
      </w:tr>
    </w:tbl>
    <w:p w:rsidR="00A65273" w:rsidRDefault="00A65273" w:rsidP="00A65273">
      <w:pPr>
        <w:jc w:val="right"/>
      </w:pPr>
      <w:r w:rsidRPr="00AB38F0">
        <w:t>До реєстр. № </w:t>
      </w:r>
      <w:r>
        <w:t>5</w:t>
      </w:r>
      <w:r w:rsidR="00C15FDB">
        <w:t>873</w:t>
      </w:r>
      <w:r>
        <w:t xml:space="preserve"> від </w:t>
      </w:r>
      <w:r w:rsidR="00C15FDB">
        <w:t>30</w:t>
      </w:r>
      <w:r w:rsidRPr="00230126">
        <w:t>.</w:t>
      </w:r>
      <w:r>
        <w:t>0</w:t>
      </w:r>
      <w:r w:rsidR="00C15FDB">
        <w:t>8</w:t>
      </w:r>
      <w:r w:rsidRPr="00230126">
        <w:t>.202</w:t>
      </w:r>
      <w:r>
        <w:t>1 р.</w:t>
      </w:r>
    </w:p>
    <w:p w:rsidR="00A65273" w:rsidRPr="00B4703A" w:rsidRDefault="00A65273" w:rsidP="00A65273">
      <w:pPr>
        <w:jc w:val="right"/>
      </w:pPr>
      <w:r>
        <w:t>(друге читання)</w:t>
      </w:r>
    </w:p>
    <w:p w:rsidR="00A65273" w:rsidRPr="00230126" w:rsidRDefault="00A65273" w:rsidP="00A65273">
      <w:pPr>
        <w:jc w:val="right"/>
      </w:pPr>
    </w:p>
    <w:p w:rsidR="00A65273" w:rsidRPr="004F0CF2" w:rsidRDefault="00A65273" w:rsidP="00A65273">
      <w:pPr>
        <w:pStyle w:val="3"/>
        <w:spacing w:before="0" w:beforeAutospacing="0" w:after="0" w:afterAutospacing="0"/>
        <w:jc w:val="center"/>
        <w:rPr>
          <w:sz w:val="28"/>
          <w:szCs w:val="28"/>
        </w:rPr>
      </w:pPr>
    </w:p>
    <w:p w:rsidR="00A65273" w:rsidRPr="004F0CF2" w:rsidRDefault="00A65273" w:rsidP="00A65273">
      <w:pPr>
        <w:pStyle w:val="3"/>
        <w:spacing w:before="0" w:beforeAutospacing="0" w:after="0" w:afterAutospacing="0"/>
        <w:jc w:val="center"/>
        <w:rPr>
          <w:sz w:val="28"/>
          <w:szCs w:val="28"/>
        </w:rPr>
      </w:pPr>
      <w:r w:rsidRPr="004F0CF2">
        <w:rPr>
          <w:sz w:val="28"/>
          <w:szCs w:val="28"/>
        </w:rPr>
        <w:t>ЗАУВАЖЕННЯ</w:t>
      </w:r>
    </w:p>
    <w:p w:rsidR="00A65273" w:rsidRPr="004F0CF2" w:rsidRDefault="00A65273" w:rsidP="00A65273">
      <w:pPr>
        <w:pStyle w:val="3"/>
        <w:spacing w:before="0" w:beforeAutospacing="0" w:after="0" w:afterAutospacing="0"/>
        <w:jc w:val="center"/>
        <w:rPr>
          <w:sz w:val="28"/>
          <w:szCs w:val="28"/>
        </w:rPr>
      </w:pPr>
      <w:r w:rsidRPr="004F0CF2">
        <w:rPr>
          <w:sz w:val="28"/>
          <w:szCs w:val="28"/>
        </w:rPr>
        <w:t xml:space="preserve">до проекту Закону України про внесення змін до деяких </w:t>
      </w:r>
      <w:r w:rsidR="00C15FDB">
        <w:rPr>
          <w:sz w:val="28"/>
          <w:szCs w:val="28"/>
        </w:rPr>
        <w:t>законодавчих актів</w:t>
      </w:r>
      <w:r w:rsidRPr="004F0CF2">
        <w:rPr>
          <w:sz w:val="28"/>
          <w:szCs w:val="28"/>
        </w:rPr>
        <w:t xml:space="preserve"> України</w:t>
      </w:r>
      <w:r w:rsidR="00C15FDB">
        <w:rPr>
          <w:sz w:val="28"/>
          <w:szCs w:val="28"/>
        </w:rPr>
        <w:t xml:space="preserve"> щодо вдосконалення системи управління сферою охорони здоров'я та забезпечення медичного обслуговування населення</w:t>
      </w:r>
    </w:p>
    <w:p w:rsidR="00A65273" w:rsidRPr="004F0CF2" w:rsidRDefault="00A65273" w:rsidP="00A65273">
      <w:pPr>
        <w:pStyle w:val="1"/>
        <w:jc w:val="center"/>
        <w:rPr>
          <w:rFonts w:ascii="Times New Roman" w:hAnsi="Times New Roman"/>
          <w:color w:val="000000"/>
          <w:sz w:val="28"/>
          <w:szCs w:val="28"/>
        </w:rPr>
      </w:pPr>
      <w:r w:rsidRPr="004F0CF2">
        <w:rPr>
          <w:rFonts w:ascii="Times New Roman" w:hAnsi="Times New Roman"/>
          <w:color w:val="000000"/>
          <w:sz w:val="28"/>
          <w:szCs w:val="28"/>
        </w:rPr>
        <w:t>(реєстр. № 58</w:t>
      </w:r>
      <w:r w:rsidR="00C15FDB">
        <w:rPr>
          <w:rFonts w:ascii="Times New Roman" w:hAnsi="Times New Roman"/>
          <w:color w:val="000000"/>
          <w:sz w:val="28"/>
          <w:szCs w:val="28"/>
        </w:rPr>
        <w:t>73</w:t>
      </w:r>
      <w:r w:rsidRPr="004F0CF2">
        <w:rPr>
          <w:rFonts w:ascii="Times New Roman" w:hAnsi="Times New Roman"/>
          <w:color w:val="000000"/>
          <w:sz w:val="28"/>
          <w:szCs w:val="28"/>
        </w:rPr>
        <w:t>)</w:t>
      </w:r>
    </w:p>
    <w:p w:rsidR="00A65273" w:rsidRPr="004F0CF2" w:rsidRDefault="00A65273" w:rsidP="00A65273">
      <w:pPr>
        <w:rPr>
          <w:b/>
          <w:sz w:val="28"/>
          <w:szCs w:val="28"/>
        </w:rPr>
      </w:pPr>
    </w:p>
    <w:p w:rsidR="00A65273" w:rsidRDefault="00A65273" w:rsidP="000728B0">
      <w:pPr>
        <w:ind w:firstLine="709"/>
        <w:jc w:val="both"/>
        <w:rPr>
          <w:color w:val="000000"/>
          <w:sz w:val="28"/>
          <w:szCs w:val="28"/>
        </w:rPr>
      </w:pPr>
      <w:r w:rsidRPr="004F0CF2">
        <w:rPr>
          <w:color w:val="000000"/>
          <w:sz w:val="28"/>
          <w:szCs w:val="28"/>
        </w:rPr>
        <w:t xml:space="preserve">У Головному юридичному управлінні у </w:t>
      </w:r>
      <w:r w:rsidR="00C15FDB">
        <w:rPr>
          <w:color w:val="000000"/>
          <w:sz w:val="28"/>
          <w:szCs w:val="28"/>
        </w:rPr>
        <w:t xml:space="preserve">край </w:t>
      </w:r>
      <w:r w:rsidRPr="004F0CF2">
        <w:rPr>
          <w:color w:val="000000"/>
          <w:sz w:val="28"/>
          <w:szCs w:val="28"/>
        </w:rPr>
        <w:t xml:space="preserve">стислий термін </w:t>
      </w:r>
      <w:r w:rsidR="00C15FDB">
        <w:rPr>
          <w:color w:val="000000"/>
          <w:sz w:val="28"/>
          <w:szCs w:val="28"/>
        </w:rPr>
        <w:t xml:space="preserve">(таблицю отримано о 9-45 год. 1 грудня 2021 року) </w:t>
      </w:r>
      <w:r w:rsidRPr="004F0CF2">
        <w:rPr>
          <w:color w:val="000000"/>
          <w:sz w:val="28"/>
          <w:szCs w:val="28"/>
        </w:rPr>
        <w:t xml:space="preserve">розглянуто </w:t>
      </w:r>
      <w:r w:rsidR="00C15FDB">
        <w:rPr>
          <w:color w:val="000000"/>
          <w:sz w:val="28"/>
          <w:szCs w:val="28"/>
        </w:rPr>
        <w:t xml:space="preserve">зазначений </w:t>
      </w:r>
      <w:r w:rsidRPr="004F0CF2">
        <w:rPr>
          <w:color w:val="000000"/>
          <w:sz w:val="28"/>
          <w:szCs w:val="28"/>
        </w:rPr>
        <w:t>законопроект (реєстр. № 58</w:t>
      </w:r>
      <w:r w:rsidR="00C15FDB">
        <w:rPr>
          <w:color w:val="000000"/>
          <w:sz w:val="28"/>
          <w:szCs w:val="28"/>
        </w:rPr>
        <w:t>73</w:t>
      </w:r>
      <w:r w:rsidRPr="004F0CF2">
        <w:rPr>
          <w:color w:val="000000"/>
          <w:sz w:val="28"/>
          <w:szCs w:val="28"/>
        </w:rPr>
        <w:t xml:space="preserve">), підготовлений Комітетом </w:t>
      </w:r>
      <w:r w:rsidRPr="004F0CF2">
        <w:rPr>
          <w:sz w:val="28"/>
          <w:szCs w:val="28"/>
        </w:rPr>
        <w:t>з питань здоров'я нації, медичної допомоги та медичного страхування</w:t>
      </w:r>
      <w:r w:rsidRPr="004F0CF2">
        <w:rPr>
          <w:color w:val="000000"/>
          <w:sz w:val="28"/>
          <w:szCs w:val="28"/>
        </w:rPr>
        <w:t xml:space="preserve"> до другого читання і звертається увага на найбільш важливі, на нашу думку, його вади.</w:t>
      </w:r>
    </w:p>
    <w:p w:rsidR="005A5CB6" w:rsidRDefault="005A5CB6" w:rsidP="000728B0">
      <w:pPr>
        <w:ind w:firstLine="709"/>
        <w:jc w:val="both"/>
        <w:rPr>
          <w:color w:val="000000"/>
          <w:sz w:val="28"/>
          <w:szCs w:val="28"/>
        </w:rPr>
      </w:pPr>
    </w:p>
    <w:p w:rsidR="003B35B0" w:rsidRPr="003B35B0" w:rsidRDefault="003B35B0" w:rsidP="000728B0">
      <w:pPr>
        <w:ind w:firstLine="709"/>
        <w:jc w:val="both"/>
        <w:rPr>
          <w:sz w:val="28"/>
          <w:szCs w:val="28"/>
        </w:rPr>
      </w:pPr>
      <w:r w:rsidRPr="003B35B0">
        <w:rPr>
          <w:sz w:val="28"/>
          <w:szCs w:val="28"/>
        </w:rPr>
        <w:t>Законопроект не відповідає вимогам частини першої статті 116 Регламенту Верховної Ради України.</w:t>
      </w:r>
    </w:p>
    <w:p w:rsidR="003B35B0" w:rsidRPr="003B35B0" w:rsidRDefault="003B35B0" w:rsidP="000728B0">
      <w:pPr>
        <w:ind w:firstLine="709"/>
        <w:jc w:val="both"/>
        <w:rPr>
          <w:rStyle w:val="rvts0"/>
          <w:sz w:val="28"/>
          <w:szCs w:val="28"/>
        </w:rPr>
      </w:pPr>
      <w:r w:rsidRPr="003B35B0">
        <w:rPr>
          <w:sz w:val="28"/>
          <w:szCs w:val="28"/>
        </w:rPr>
        <w:t xml:space="preserve">Так, відповідно до пункту 2 Постанови Верховної Ради України від </w:t>
      </w:r>
      <w:r w:rsidRPr="003B35B0">
        <w:rPr>
          <w:rStyle w:val="rvts44"/>
          <w:sz w:val="28"/>
          <w:szCs w:val="28"/>
        </w:rPr>
        <w:t>2 листопада 2021 року № 1846-IX «</w:t>
      </w:r>
      <w:r w:rsidRPr="003B35B0">
        <w:rPr>
          <w:rStyle w:val="rvts23"/>
          <w:rFonts w:eastAsia="Calibri"/>
          <w:sz w:val="28"/>
          <w:szCs w:val="28"/>
        </w:rPr>
        <w:t>Про прийняття за основу проекту Закону України про внесення змін до деяких законодавчих актів України щодо удосконалення системи управління сферою охорони здоров’я та забезпечення медичного обслуговування населення</w:t>
      </w:r>
      <w:r w:rsidRPr="003B35B0">
        <w:rPr>
          <w:rStyle w:val="rvts44"/>
          <w:sz w:val="28"/>
          <w:szCs w:val="28"/>
        </w:rPr>
        <w:t xml:space="preserve">» </w:t>
      </w:r>
      <w:r w:rsidRPr="003B35B0">
        <w:rPr>
          <w:rStyle w:val="rvts0"/>
          <w:sz w:val="28"/>
          <w:szCs w:val="28"/>
        </w:rPr>
        <w:t xml:space="preserve">Комітету Верховної Ради України з питань здоров’я нації, медичної допомоги та медичного страхування доручалося доопрацювати зазначений законопроект з урахуванням пропозицій і поправок суб’єктів права законодавчої ініціативи, пропозицій, висловлених у висновку Комітету Верховної Ради України з питань здоров’я нації, медичної допомоги та медичного страхування від 22 вересня 2021 року відповідно до </w:t>
      </w:r>
      <w:hyperlink r:id="rId8" w:anchor="n920" w:tgtFrame="_blank" w:history="1">
        <w:r w:rsidRPr="003B35B0">
          <w:rPr>
            <w:rStyle w:val="rvts0"/>
            <w:sz w:val="28"/>
            <w:szCs w:val="28"/>
          </w:rPr>
          <w:t>частини першої</w:t>
        </w:r>
      </w:hyperlink>
      <w:r w:rsidRPr="003B35B0">
        <w:rPr>
          <w:rStyle w:val="rvts0"/>
          <w:sz w:val="28"/>
          <w:szCs w:val="28"/>
        </w:rPr>
        <w:t xml:space="preserve"> статті 116 Регламенту Верховної Ради України, та </w:t>
      </w:r>
      <w:proofErr w:type="spellStart"/>
      <w:r w:rsidRPr="003B35B0">
        <w:rPr>
          <w:rStyle w:val="rvts0"/>
          <w:sz w:val="28"/>
          <w:szCs w:val="28"/>
        </w:rPr>
        <w:t>внести</w:t>
      </w:r>
      <w:proofErr w:type="spellEnd"/>
      <w:r w:rsidRPr="003B35B0">
        <w:rPr>
          <w:rStyle w:val="rvts0"/>
          <w:sz w:val="28"/>
          <w:szCs w:val="28"/>
        </w:rPr>
        <w:t xml:space="preserve"> його на розгляд Верховної Ради України у другому читанні.</w:t>
      </w:r>
    </w:p>
    <w:p w:rsidR="003B35B0" w:rsidRPr="003B35B0" w:rsidRDefault="003B35B0" w:rsidP="000728B0">
      <w:pPr>
        <w:ind w:firstLine="709"/>
        <w:jc w:val="both"/>
        <w:rPr>
          <w:rStyle w:val="rvts0"/>
          <w:sz w:val="28"/>
          <w:szCs w:val="28"/>
        </w:rPr>
      </w:pPr>
      <w:r w:rsidRPr="003B35B0">
        <w:rPr>
          <w:rStyle w:val="rvts0"/>
          <w:sz w:val="28"/>
          <w:szCs w:val="28"/>
        </w:rPr>
        <w:t xml:space="preserve">Так, у зазначеному у Постанові висновку Комітету </w:t>
      </w:r>
      <w:r w:rsidR="00CF7B87">
        <w:rPr>
          <w:rStyle w:val="rvts0"/>
          <w:sz w:val="28"/>
          <w:szCs w:val="28"/>
        </w:rPr>
        <w:t xml:space="preserve">мова </w:t>
      </w:r>
      <w:r w:rsidRPr="003B35B0">
        <w:rPr>
          <w:rStyle w:val="rvts0"/>
          <w:sz w:val="28"/>
          <w:szCs w:val="28"/>
        </w:rPr>
        <w:t xml:space="preserve">йшла про застосування </w:t>
      </w:r>
      <w:hyperlink r:id="rId9" w:anchor="n920" w:tgtFrame="_blank" w:history="1">
        <w:r w:rsidRPr="003B35B0">
          <w:rPr>
            <w:rStyle w:val="rvts0"/>
            <w:sz w:val="28"/>
            <w:szCs w:val="28"/>
          </w:rPr>
          <w:t>частини першої</w:t>
        </w:r>
      </w:hyperlink>
      <w:r w:rsidRPr="003B35B0">
        <w:rPr>
          <w:rStyle w:val="rvts0"/>
          <w:sz w:val="28"/>
          <w:szCs w:val="28"/>
        </w:rPr>
        <w:t xml:space="preserve"> статті 116 Регламенту Верховної Ради України в частині врахування зауважень Міністерства охорони здоров'я України та Національної служби здоров'я України (</w:t>
      </w:r>
      <w:r w:rsidR="00CF7B87">
        <w:rPr>
          <w:sz w:val="28"/>
          <w:szCs w:val="28"/>
        </w:rPr>
        <w:t>щодо</w:t>
      </w:r>
      <w:r w:rsidRPr="003B35B0">
        <w:rPr>
          <w:sz w:val="28"/>
          <w:szCs w:val="28"/>
        </w:rPr>
        <w:t xml:space="preserve"> уточнення деяких аспектів функціонування електронної системи охорони здоров’я (ЕСОЗ), зокрема, з урахуванням вимог законодавства про захист персональних даних</w:t>
      </w:r>
      <w:r w:rsidRPr="003B35B0">
        <w:rPr>
          <w:rStyle w:val="rvts0"/>
          <w:sz w:val="28"/>
          <w:szCs w:val="28"/>
        </w:rPr>
        <w:t xml:space="preserve">) та зауважень </w:t>
      </w:r>
      <w:r w:rsidR="00CF7B87">
        <w:rPr>
          <w:rStyle w:val="rvts0"/>
          <w:sz w:val="28"/>
          <w:szCs w:val="28"/>
        </w:rPr>
        <w:t>і</w:t>
      </w:r>
      <w:bookmarkStart w:id="0" w:name="_GoBack"/>
      <w:bookmarkEnd w:id="0"/>
      <w:r w:rsidRPr="003B35B0">
        <w:rPr>
          <w:rStyle w:val="rvts0"/>
          <w:sz w:val="28"/>
          <w:szCs w:val="28"/>
        </w:rPr>
        <w:t xml:space="preserve"> пропозицій Головного науково-експертного управління.</w:t>
      </w:r>
    </w:p>
    <w:p w:rsidR="005A5CB6" w:rsidRDefault="003B35B0" w:rsidP="000728B0">
      <w:pPr>
        <w:ind w:firstLine="709"/>
        <w:jc w:val="both"/>
        <w:rPr>
          <w:rStyle w:val="rvts0"/>
          <w:sz w:val="28"/>
          <w:szCs w:val="28"/>
        </w:rPr>
      </w:pPr>
      <w:r w:rsidRPr="00596DF9">
        <w:rPr>
          <w:color w:val="000000"/>
          <w:sz w:val="28"/>
          <w:szCs w:val="28"/>
        </w:rPr>
        <w:t xml:space="preserve">Проте, окрім зазначеного у висновку Комітету, при підготовці до другого читання, запропоновано зміни до Закону України "Про збір та облік єдиного внеску на загальнообов'язкове державне соціальне страхування" (пункт 8 розділу </w:t>
      </w:r>
      <w:r w:rsidRPr="00596DF9">
        <w:rPr>
          <w:color w:val="000000"/>
          <w:sz w:val="28"/>
          <w:szCs w:val="28"/>
        </w:rPr>
        <w:lastRenderedPageBreak/>
        <w:t>І законопроекту)</w:t>
      </w:r>
      <w:r w:rsidR="00895E1D" w:rsidRPr="00596DF9">
        <w:rPr>
          <w:color w:val="000000"/>
          <w:sz w:val="28"/>
          <w:szCs w:val="28"/>
        </w:rPr>
        <w:t xml:space="preserve">, якими передбачається обов'язок </w:t>
      </w:r>
      <w:r w:rsidR="000728B0" w:rsidRPr="00596DF9">
        <w:rPr>
          <w:color w:val="000000"/>
          <w:sz w:val="28"/>
          <w:szCs w:val="28"/>
        </w:rPr>
        <w:t>платника єдиного внеску подавати звітність, у тому числі, про членство працівника у профспілковій організації</w:t>
      </w:r>
      <w:r w:rsidR="00596DF9" w:rsidRPr="00596DF9">
        <w:rPr>
          <w:color w:val="000000"/>
          <w:sz w:val="28"/>
          <w:szCs w:val="28"/>
        </w:rPr>
        <w:t xml:space="preserve"> та визначає складовою Державного реєстру </w:t>
      </w:r>
      <w:r w:rsidR="00596DF9" w:rsidRPr="00596DF9">
        <w:rPr>
          <w:rStyle w:val="rvts0"/>
          <w:sz w:val="28"/>
          <w:szCs w:val="28"/>
        </w:rPr>
        <w:t>загальнообов'язкового державного соціального страхування інформації про належність особи до профспілок.</w:t>
      </w:r>
    </w:p>
    <w:p w:rsidR="00596DF9" w:rsidRDefault="00596DF9" w:rsidP="000728B0">
      <w:pPr>
        <w:ind w:firstLine="709"/>
        <w:jc w:val="both"/>
        <w:rPr>
          <w:rStyle w:val="rvts0"/>
          <w:sz w:val="28"/>
          <w:szCs w:val="28"/>
        </w:rPr>
      </w:pPr>
      <w:r>
        <w:rPr>
          <w:rStyle w:val="rvts0"/>
          <w:sz w:val="28"/>
          <w:szCs w:val="28"/>
        </w:rPr>
        <w:t xml:space="preserve">Запропоноване не охоплюється предметом регулювання законопроекту та не </w:t>
      </w:r>
      <w:r w:rsidRPr="00596DF9">
        <w:rPr>
          <w:rStyle w:val="rvts0"/>
          <w:sz w:val="28"/>
          <w:szCs w:val="28"/>
        </w:rPr>
        <w:t>належить до предмету регулювання Закону України "Про збір та облік єдиного внеску на загальнообов'язкове державне соціальне страхування", який визначає правові та організаційні засади забезпечення збору та обліку єдиного внеску на загальнообов'язкове державне соціальне страхування, умови та порядок його нарахування і сплати та повноваження органу, що здійснює його збір та ведення обліку</w:t>
      </w:r>
      <w:r>
        <w:rPr>
          <w:rStyle w:val="rvts0"/>
          <w:sz w:val="28"/>
          <w:szCs w:val="28"/>
        </w:rPr>
        <w:t>.</w:t>
      </w:r>
    </w:p>
    <w:p w:rsidR="00596DF9" w:rsidRDefault="00596DF9" w:rsidP="000728B0">
      <w:pPr>
        <w:ind w:firstLine="709"/>
        <w:jc w:val="both"/>
        <w:rPr>
          <w:rStyle w:val="rvts0"/>
          <w:sz w:val="28"/>
          <w:szCs w:val="28"/>
        </w:rPr>
      </w:pPr>
      <w:r>
        <w:rPr>
          <w:rStyle w:val="rvts0"/>
          <w:sz w:val="28"/>
          <w:szCs w:val="28"/>
        </w:rPr>
        <w:t>Крім того, зазначене не враховує положень статті 5 Закону України "Про професійні спілки, їх права та гарантії діяльності" та вимоги частини третьої статті 36 Основного Закону України.</w:t>
      </w:r>
    </w:p>
    <w:p w:rsidR="002817F6" w:rsidRDefault="002817F6" w:rsidP="000728B0">
      <w:pPr>
        <w:ind w:firstLine="709"/>
        <w:jc w:val="both"/>
        <w:rPr>
          <w:rStyle w:val="rvts0"/>
          <w:sz w:val="28"/>
          <w:szCs w:val="28"/>
        </w:rPr>
      </w:pPr>
    </w:p>
    <w:p w:rsidR="002817F6" w:rsidRPr="00596DF9" w:rsidRDefault="00376638" w:rsidP="000728B0">
      <w:pPr>
        <w:ind w:firstLine="709"/>
        <w:jc w:val="both"/>
        <w:rPr>
          <w:color w:val="000000"/>
          <w:sz w:val="28"/>
          <w:szCs w:val="28"/>
        </w:rPr>
      </w:pPr>
      <w:r>
        <w:rPr>
          <w:rStyle w:val="rvts0"/>
          <w:sz w:val="28"/>
          <w:szCs w:val="28"/>
        </w:rPr>
        <w:t>Також</w:t>
      </w:r>
      <w:r w:rsidR="002817F6">
        <w:rPr>
          <w:rStyle w:val="rvts0"/>
          <w:sz w:val="28"/>
          <w:szCs w:val="28"/>
        </w:rPr>
        <w:t>, законопроект викликає такі зауваження.</w:t>
      </w:r>
    </w:p>
    <w:p w:rsidR="000728B0" w:rsidRPr="000728B0" w:rsidRDefault="000728B0" w:rsidP="000728B0">
      <w:pPr>
        <w:ind w:firstLine="709"/>
        <w:jc w:val="both"/>
        <w:rPr>
          <w:sz w:val="28"/>
          <w:szCs w:val="28"/>
        </w:rPr>
      </w:pPr>
      <w:r w:rsidRPr="000728B0">
        <w:rPr>
          <w:sz w:val="28"/>
          <w:szCs w:val="28"/>
        </w:rPr>
        <w:t xml:space="preserve">Положеннями законопроекту пропонується запровадити поряд з існуючими організаційними формами державного унітарного підприємства новий різновид – "державне некомерційне підприємство". Так, відповідно до частини </w:t>
      </w:r>
      <w:r w:rsidR="00376638">
        <w:rPr>
          <w:sz w:val="28"/>
          <w:szCs w:val="28"/>
        </w:rPr>
        <w:t>дев'ятої</w:t>
      </w:r>
      <w:r w:rsidRPr="000728B0">
        <w:rPr>
          <w:sz w:val="28"/>
          <w:szCs w:val="28"/>
        </w:rPr>
        <w:t xml:space="preserve"> статті 73 Господарського кодексу України (далі – ГК України) (у редакції законопроекту) </w:t>
      </w:r>
      <w:r w:rsidRPr="000728B0">
        <w:rPr>
          <w:i/>
          <w:sz w:val="28"/>
          <w:szCs w:val="28"/>
        </w:rPr>
        <w:t xml:space="preserve">"державні унітарні підприємства діють як державні комерційні підприємства, </w:t>
      </w:r>
      <w:r w:rsidRPr="000728B0">
        <w:rPr>
          <w:b/>
          <w:i/>
          <w:sz w:val="28"/>
          <w:szCs w:val="28"/>
        </w:rPr>
        <w:t>державні некомерційні підприємства</w:t>
      </w:r>
      <w:r w:rsidRPr="000728B0">
        <w:rPr>
          <w:i/>
          <w:sz w:val="28"/>
          <w:szCs w:val="28"/>
        </w:rPr>
        <w:t xml:space="preserve"> або казенні підприємства"</w:t>
      </w:r>
      <w:r w:rsidRPr="000728B0">
        <w:rPr>
          <w:sz w:val="28"/>
          <w:szCs w:val="28"/>
        </w:rPr>
        <w:t xml:space="preserve">. </w:t>
      </w:r>
    </w:p>
    <w:p w:rsidR="000728B0" w:rsidRPr="000728B0" w:rsidRDefault="000728B0" w:rsidP="000728B0">
      <w:pPr>
        <w:pStyle w:val="rvps2"/>
        <w:shd w:val="clear" w:color="auto" w:fill="FFFFFF"/>
        <w:spacing w:before="0" w:beforeAutospacing="0" w:after="0" w:afterAutospacing="0"/>
        <w:ind w:firstLine="709"/>
        <w:jc w:val="both"/>
        <w:rPr>
          <w:sz w:val="28"/>
          <w:szCs w:val="28"/>
        </w:rPr>
      </w:pPr>
      <w:r w:rsidRPr="000728B0">
        <w:rPr>
          <w:sz w:val="28"/>
          <w:szCs w:val="28"/>
        </w:rPr>
        <w:t>Загалом не заперечуючи проти запровадження нової організаційної форми державного унітарного підприємства, зауважуємо, що системний аналіз положень законопроекту (зміни до статей 73 і 76, нові статті 75</w:t>
      </w:r>
      <w:r w:rsidRPr="000728B0">
        <w:rPr>
          <w:sz w:val="28"/>
          <w:szCs w:val="28"/>
          <w:vertAlign w:val="superscript"/>
        </w:rPr>
        <w:t>1</w:t>
      </w:r>
      <w:r w:rsidRPr="000728B0">
        <w:rPr>
          <w:sz w:val="28"/>
          <w:szCs w:val="28"/>
        </w:rPr>
        <w:t xml:space="preserve"> і 75</w:t>
      </w:r>
      <w:r w:rsidRPr="000728B0">
        <w:rPr>
          <w:sz w:val="28"/>
          <w:szCs w:val="28"/>
          <w:vertAlign w:val="superscript"/>
        </w:rPr>
        <w:t>2</w:t>
      </w:r>
      <w:r w:rsidRPr="000728B0">
        <w:rPr>
          <w:sz w:val="28"/>
          <w:szCs w:val="28"/>
        </w:rPr>
        <w:t xml:space="preserve"> ГК України) дає змогу прийти до висновку, що "казенне підприємство" і "державне некомерційне підприємство" за правовою природою є доволі схожими з незначними відмінностями. Обидва ці різновиди організаційної форми підприємства здійснюють некомерційну господарську діяльність та володіють майном на праві оперативного управління. А основна їх відмінність, по суті, полягає в тому, що </w:t>
      </w:r>
      <w:r w:rsidRPr="000728B0">
        <w:rPr>
          <w:sz w:val="28"/>
          <w:szCs w:val="28"/>
          <w:u w:val="single"/>
        </w:rPr>
        <w:t>державне некомерційне підприємство утворюється у сфері охорони здоров’я, соціальній та/або гуманітарній сферах, і його діяльність повинна бути спрямована на досягнення соціальних та інших результатів</w:t>
      </w:r>
      <w:r w:rsidRPr="000728B0">
        <w:rPr>
          <w:sz w:val="28"/>
          <w:szCs w:val="28"/>
        </w:rPr>
        <w:t> (частина перша нової статті 75</w:t>
      </w:r>
      <w:r w:rsidRPr="000728B0">
        <w:rPr>
          <w:sz w:val="28"/>
          <w:szCs w:val="28"/>
          <w:vertAlign w:val="superscript"/>
        </w:rPr>
        <w:t>1</w:t>
      </w:r>
      <w:r w:rsidRPr="000728B0">
        <w:rPr>
          <w:sz w:val="28"/>
          <w:szCs w:val="28"/>
        </w:rPr>
        <w:t xml:space="preserve"> ГК України), а </w:t>
      </w:r>
      <w:r w:rsidRPr="000728B0">
        <w:rPr>
          <w:sz w:val="28"/>
          <w:szCs w:val="28"/>
          <w:u w:val="single"/>
        </w:rPr>
        <w:t>казенні підприємства створюються у певних галузях економіки</w:t>
      </w:r>
      <w:r w:rsidRPr="000728B0">
        <w:rPr>
          <w:rStyle w:val="a9"/>
          <w:sz w:val="28"/>
          <w:szCs w:val="28"/>
        </w:rPr>
        <w:footnoteReference w:id="1"/>
      </w:r>
      <w:r w:rsidRPr="000728B0">
        <w:rPr>
          <w:sz w:val="28"/>
          <w:szCs w:val="28"/>
        </w:rPr>
        <w:t xml:space="preserve"> (частина перша статті 76 ГК України). Тобто, ці обидві форми, незважаючи на формулювання щодо сфер діяльності, можуть здійснювати діяльність у певних сферах, які пересікаються. Відтак, відсутність однозначної відмінності та допустимість одночасного регулювання </w:t>
      </w:r>
      <w:r w:rsidRPr="000728B0">
        <w:rPr>
          <w:sz w:val="28"/>
          <w:szCs w:val="28"/>
        </w:rPr>
        <w:lastRenderedPageBreak/>
        <w:t>однотипних відносин фактично дозволить відповідним суб'єктам обирати зручнішу для них організаційну форму (або ж створюватиме колізію щодо її вибору), таким чином уникаючи законодавчих обмежень, що передбачені для казенних підприємств. Водночас неналежне розмежування правових основ діяльності казенного і державного некомерційного підприємств, внаслідок їх невизначеності, матиме негативні наслідки для правозастосування загалом.</w:t>
      </w:r>
    </w:p>
    <w:p w:rsidR="000728B0" w:rsidRPr="000728B0" w:rsidRDefault="000728B0" w:rsidP="000728B0">
      <w:pPr>
        <w:pStyle w:val="a6"/>
        <w:ind w:firstLine="709"/>
        <w:jc w:val="both"/>
        <w:rPr>
          <w:rFonts w:ascii="Times New Roman" w:hAnsi="Times New Roman"/>
          <w:sz w:val="28"/>
          <w:szCs w:val="28"/>
        </w:rPr>
      </w:pPr>
      <w:r w:rsidRPr="000728B0">
        <w:rPr>
          <w:rFonts w:ascii="Times New Roman" w:hAnsi="Times New Roman"/>
          <w:sz w:val="28"/>
          <w:szCs w:val="28"/>
        </w:rPr>
        <w:t xml:space="preserve">Як наслідок, у зазначених положеннях законопроекту не враховано вимоги щодо правової визначеності як елементу верховенства права. Відповідно до статті 8 Конституції України в Україні визнається та діє принцип верховенства права. При цьому одним з основних фундаментальних елементів цього принципу є юридична визначеність, яка передбачає, насамперед, ясність та недвозначність викладення правових приписів, відсутність внутрішніх суперечностей у нормативно-правовому акті та їх узгодженість з іншими законами, що має забезпечити однакове розуміння суб’єктами відповідних правовідносин правових приписів та коректне їх правозастосування. </w:t>
      </w:r>
    </w:p>
    <w:p w:rsidR="000728B0" w:rsidRPr="000728B0" w:rsidRDefault="000728B0" w:rsidP="000728B0">
      <w:pPr>
        <w:pStyle w:val="a6"/>
        <w:ind w:firstLine="709"/>
        <w:jc w:val="both"/>
        <w:rPr>
          <w:rFonts w:ascii="Times New Roman" w:hAnsi="Times New Roman"/>
          <w:sz w:val="28"/>
          <w:szCs w:val="28"/>
        </w:rPr>
      </w:pPr>
      <w:r w:rsidRPr="000728B0">
        <w:rPr>
          <w:rFonts w:ascii="Times New Roman" w:hAnsi="Times New Roman"/>
          <w:sz w:val="28"/>
          <w:szCs w:val="28"/>
          <w:shd w:val="clear" w:color="auto" w:fill="FFFFFF"/>
        </w:rPr>
        <w:t xml:space="preserve">Наведені законодавчі зміни також не враховують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0728B0">
        <w:rPr>
          <w:rFonts w:ascii="Times New Roman" w:hAnsi="Times New Roman"/>
          <w:sz w:val="28"/>
          <w:szCs w:val="28"/>
          <w:shd w:val="clear" w:color="auto" w:fill="FFFFFF"/>
        </w:rPr>
        <w:t>однопредметними</w:t>
      </w:r>
      <w:proofErr w:type="spellEnd"/>
      <w:r w:rsidRPr="000728B0">
        <w:rPr>
          <w:rFonts w:ascii="Times New Roman" w:hAnsi="Times New Roman"/>
          <w:sz w:val="28"/>
          <w:szCs w:val="28"/>
          <w:shd w:val="clear" w:color="auto" w:fill="FFFFFF"/>
        </w:rPr>
        <w:t xml:space="preserve"> нормативними правовими актами однакової сили, які за змістом суперечать один одному (пункт 3 мотивувальної частини Рішення від 3 жовтня 1997 року № 4-зп).</w:t>
      </w:r>
    </w:p>
    <w:p w:rsidR="000728B0" w:rsidRPr="000728B0" w:rsidRDefault="000728B0" w:rsidP="000728B0">
      <w:pPr>
        <w:pStyle w:val="a6"/>
        <w:ind w:firstLine="709"/>
        <w:jc w:val="both"/>
        <w:rPr>
          <w:rFonts w:ascii="Times New Roman" w:hAnsi="Times New Roman"/>
          <w:sz w:val="28"/>
          <w:szCs w:val="28"/>
        </w:rPr>
      </w:pPr>
    </w:p>
    <w:p w:rsidR="000728B0" w:rsidRPr="000728B0" w:rsidRDefault="000728B0" w:rsidP="000728B0">
      <w:pPr>
        <w:pStyle w:val="a6"/>
        <w:ind w:firstLine="709"/>
        <w:jc w:val="both"/>
        <w:rPr>
          <w:rFonts w:ascii="Times New Roman" w:hAnsi="Times New Roman"/>
          <w:sz w:val="28"/>
          <w:szCs w:val="28"/>
        </w:rPr>
      </w:pPr>
      <w:r w:rsidRPr="000728B0">
        <w:rPr>
          <w:rFonts w:ascii="Times New Roman" w:hAnsi="Times New Roman"/>
          <w:sz w:val="28"/>
          <w:szCs w:val="28"/>
        </w:rPr>
        <w:t>Положення частини першої статті 75</w:t>
      </w:r>
      <w:r w:rsidRPr="000728B0">
        <w:rPr>
          <w:rFonts w:ascii="Times New Roman" w:hAnsi="Times New Roman"/>
          <w:sz w:val="28"/>
          <w:szCs w:val="28"/>
          <w:vertAlign w:val="superscript"/>
        </w:rPr>
        <w:t>2</w:t>
      </w:r>
      <w:r w:rsidRPr="000728B0">
        <w:rPr>
          <w:rFonts w:ascii="Times New Roman" w:hAnsi="Times New Roman"/>
          <w:sz w:val="28"/>
          <w:szCs w:val="28"/>
        </w:rPr>
        <w:t xml:space="preserve"> ГК України (у редакції законопроекту), за яким </w:t>
      </w:r>
      <w:r w:rsidRPr="000728B0">
        <w:rPr>
          <w:rFonts w:ascii="Times New Roman" w:hAnsi="Times New Roman"/>
          <w:i/>
          <w:sz w:val="28"/>
          <w:szCs w:val="28"/>
        </w:rPr>
        <w:t xml:space="preserve">"державне некомерційне підприємство зобов'язане приймати та виконувати </w:t>
      </w:r>
      <w:r w:rsidRPr="000728B0">
        <w:rPr>
          <w:rFonts w:ascii="Times New Roman" w:hAnsi="Times New Roman"/>
          <w:b/>
          <w:i/>
          <w:sz w:val="28"/>
          <w:szCs w:val="28"/>
        </w:rPr>
        <w:t>доведені у встановленому законодавством порядку</w:t>
      </w:r>
      <w:r w:rsidRPr="000728B0">
        <w:rPr>
          <w:rFonts w:ascii="Times New Roman" w:hAnsi="Times New Roman"/>
          <w:i/>
          <w:sz w:val="28"/>
          <w:szCs w:val="28"/>
        </w:rPr>
        <w:t xml:space="preserve"> державні замовлення, враховувати їх при формуванні виробничої програми, визначенні перспектив свого економічного і соціального розвитку та виборі контрагентів, а також складати і виконувати річний та з поквартальною розбивкою фінансовий план на кожен наступний рік"</w:t>
      </w:r>
      <w:r w:rsidRPr="000728B0">
        <w:rPr>
          <w:rFonts w:ascii="Times New Roman" w:hAnsi="Times New Roman"/>
          <w:sz w:val="28"/>
          <w:szCs w:val="28"/>
        </w:rPr>
        <w:t xml:space="preserve"> позбавлене правової визначеності (стаття 8 Конституції України), оскільки не дає змоги однозначно встановити, що саме розуміється під поняттям "доведені"(кому? Куди?), а також про який "встановлений законодавством порядок" йдеться з огляду на те, що державне замовлення є засобом державного регулювання економіки (статті 12 і 13 ГК України)?</w:t>
      </w:r>
    </w:p>
    <w:p w:rsidR="000728B0" w:rsidRPr="000728B0" w:rsidRDefault="000728B0" w:rsidP="000728B0">
      <w:pPr>
        <w:pStyle w:val="a6"/>
        <w:ind w:firstLine="709"/>
        <w:jc w:val="both"/>
        <w:rPr>
          <w:rFonts w:ascii="Times New Roman" w:hAnsi="Times New Roman"/>
          <w:sz w:val="28"/>
          <w:szCs w:val="28"/>
        </w:rPr>
      </w:pPr>
      <w:r w:rsidRPr="000728B0">
        <w:rPr>
          <w:rFonts w:ascii="Times New Roman" w:hAnsi="Times New Roman"/>
          <w:sz w:val="28"/>
          <w:szCs w:val="28"/>
        </w:rPr>
        <w:t>У Доповіді "Верховенство права", схваленій Європейською Комісією "За демократію через право" на 86-му пленарному засіданні (далі – Доповідь), до елементів верховенства права віднесено, зокрема, юридичну визначеність та заборону свавілля (пункт 41).</w:t>
      </w:r>
    </w:p>
    <w:p w:rsidR="000728B0" w:rsidRPr="000728B0" w:rsidRDefault="000728B0" w:rsidP="000728B0">
      <w:pPr>
        <w:pStyle w:val="a6"/>
        <w:ind w:firstLine="709"/>
        <w:jc w:val="both"/>
        <w:rPr>
          <w:rFonts w:ascii="Times New Roman" w:hAnsi="Times New Roman"/>
          <w:sz w:val="28"/>
          <w:szCs w:val="28"/>
        </w:rPr>
      </w:pPr>
      <w:r w:rsidRPr="000728B0">
        <w:rPr>
          <w:rFonts w:ascii="Times New Roman" w:hAnsi="Times New Roman"/>
          <w:sz w:val="28"/>
          <w:szCs w:val="28"/>
        </w:rPr>
        <w:t>У пункті 48 Доповіді зазначено, що юридична визначеність також означає, що держава загалом повинна дотримуватись взятих на себе певних зобов’язань, виконувати покладені на неї певні функції чи виголошені нею перед людьми певні обіцянки (поняття "законних очікувань").</w:t>
      </w:r>
    </w:p>
    <w:p w:rsidR="000728B0" w:rsidRPr="000728B0" w:rsidRDefault="000728B0" w:rsidP="000728B0">
      <w:pPr>
        <w:pStyle w:val="a6"/>
        <w:ind w:firstLine="709"/>
        <w:jc w:val="both"/>
        <w:rPr>
          <w:rFonts w:ascii="Times New Roman" w:hAnsi="Times New Roman"/>
          <w:sz w:val="28"/>
          <w:szCs w:val="28"/>
        </w:rPr>
      </w:pPr>
      <w:r w:rsidRPr="000728B0">
        <w:rPr>
          <w:rFonts w:ascii="Times New Roman" w:hAnsi="Times New Roman"/>
          <w:sz w:val="28"/>
          <w:szCs w:val="28"/>
        </w:rPr>
        <w:t>При цьому відповідно до пункту 51 Доповіді юридична визначеність </w:t>
      </w:r>
      <w:r w:rsidRPr="000728B0">
        <w:rPr>
          <w:rFonts w:ascii="Times New Roman" w:hAnsi="Times New Roman"/>
          <w:i/>
          <w:sz w:val="28"/>
          <w:szCs w:val="28"/>
        </w:rPr>
        <w:t>(</w:t>
      </w:r>
      <w:proofErr w:type="spellStart"/>
      <w:r w:rsidRPr="000728B0">
        <w:rPr>
          <w:rFonts w:ascii="Times New Roman" w:hAnsi="Times New Roman"/>
          <w:i/>
          <w:sz w:val="28"/>
          <w:szCs w:val="28"/>
        </w:rPr>
        <w:t>legal</w:t>
      </w:r>
      <w:proofErr w:type="spellEnd"/>
      <w:r w:rsidRPr="000728B0">
        <w:rPr>
          <w:rFonts w:ascii="Times New Roman" w:hAnsi="Times New Roman"/>
          <w:i/>
          <w:sz w:val="28"/>
          <w:szCs w:val="28"/>
        </w:rPr>
        <w:t xml:space="preserve"> </w:t>
      </w:r>
      <w:proofErr w:type="spellStart"/>
      <w:r w:rsidRPr="000728B0">
        <w:rPr>
          <w:rFonts w:ascii="Times New Roman" w:hAnsi="Times New Roman"/>
          <w:i/>
          <w:sz w:val="28"/>
          <w:szCs w:val="28"/>
        </w:rPr>
        <w:t>certainty</w:t>
      </w:r>
      <w:proofErr w:type="spellEnd"/>
      <w:r w:rsidRPr="000728B0">
        <w:rPr>
          <w:rFonts w:ascii="Times New Roman" w:hAnsi="Times New Roman"/>
          <w:i/>
          <w:sz w:val="28"/>
          <w:szCs w:val="28"/>
        </w:rPr>
        <w:t>)</w:t>
      </w:r>
      <w:r w:rsidRPr="000728B0">
        <w:rPr>
          <w:rFonts w:ascii="Times New Roman" w:hAnsi="Times New Roman"/>
          <w:sz w:val="28"/>
          <w:szCs w:val="28"/>
        </w:rPr>
        <w:t xml:space="preserve"> та вищість закону (</w:t>
      </w:r>
      <w:proofErr w:type="spellStart"/>
      <w:r w:rsidRPr="000728B0">
        <w:rPr>
          <w:rFonts w:ascii="Times New Roman" w:hAnsi="Times New Roman"/>
          <w:sz w:val="28"/>
          <w:szCs w:val="28"/>
        </w:rPr>
        <w:t>supremacy</w:t>
      </w:r>
      <w:proofErr w:type="spellEnd"/>
      <w:r w:rsidRPr="000728B0">
        <w:rPr>
          <w:rFonts w:ascii="Times New Roman" w:hAnsi="Times New Roman"/>
          <w:sz w:val="28"/>
          <w:szCs w:val="28"/>
        </w:rPr>
        <w:t xml:space="preserve"> of </w:t>
      </w:r>
      <w:proofErr w:type="spellStart"/>
      <w:r w:rsidRPr="000728B0">
        <w:rPr>
          <w:rFonts w:ascii="Times New Roman" w:hAnsi="Times New Roman"/>
          <w:sz w:val="28"/>
          <w:szCs w:val="28"/>
        </w:rPr>
        <w:t>the</w:t>
      </w:r>
      <w:proofErr w:type="spellEnd"/>
      <w:r w:rsidRPr="000728B0">
        <w:rPr>
          <w:rFonts w:ascii="Times New Roman" w:hAnsi="Times New Roman"/>
          <w:sz w:val="28"/>
          <w:szCs w:val="28"/>
        </w:rPr>
        <w:t xml:space="preserve"> </w:t>
      </w:r>
      <w:proofErr w:type="spellStart"/>
      <w:r w:rsidRPr="000728B0">
        <w:rPr>
          <w:rFonts w:ascii="Times New Roman" w:hAnsi="Times New Roman"/>
          <w:sz w:val="28"/>
          <w:szCs w:val="28"/>
        </w:rPr>
        <w:t>law</w:t>
      </w:r>
      <w:proofErr w:type="spellEnd"/>
      <w:r w:rsidRPr="000728B0">
        <w:rPr>
          <w:rFonts w:ascii="Times New Roman" w:hAnsi="Times New Roman"/>
          <w:sz w:val="28"/>
          <w:szCs w:val="28"/>
        </w:rPr>
        <w:t xml:space="preserve">) передбачають, що закон застосовано на практиці. Це також означає, що він є придатним для застосовування. </w:t>
      </w:r>
      <w:r w:rsidRPr="000728B0">
        <w:rPr>
          <w:rFonts w:ascii="Times New Roman" w:hAnsi="Times New Roman"/>
          <w:b/>
          <w:sz w:val="28"/>
          <w:szCs w:val="28"/>
        </w:rPr>
        <w:t xml:space="preserve">Тому надзвичайно важливо ще до прийняття закону оцінити </w:t>
      </w:r>
      <w:r w:rsidRPr="000728B0">
        <w:rPr>
          <w:rFonts w:ascii="Times New Roman" w:hAnsi="Times New Roman"/>
          <w:b/>
          <w:sz w:val="28"/>
          <w:szCs w:val="28"/>
        </w:rPr>
        <w:lastRenderedPageBreak/>
        <w:t xml:space="preserve">його на предмет придатності його застосування на практиці, а також перевірити </w:t>
      </w:r>
      <w:r w:rsidRPr="000728B0">
        <w:rPr>
          <w:rFonts w:ascii="Times New Roman" w:hAnsi="Times New Roman"/>
          <w:b/>
          <w:i/>
          <w:sz w:val="28"/>
          <w:szCs w:val="28"/>
        </w:rPr>
        <w:t xml:space="preserve">a </w:t>
      </w:r>
      <w:proofErr w:type="spellStart"/>
      <w:r w:rsidRPr="000728B0">
        <w:rPr>
          <w:rFonts w:ascii="Times New Roman" w:hAnsi="Times New Roman"/>
          <w:b/>
          <w:i/>
          <w:sz w:val="28"/>
          <w:szCs w:val="28"/>
        </w:rPr>
        <w:t>posteriori</w:t>
      </w:r>
      <w:proofErr w:type="spellEnd"/>
      <w:r w:rsidRPr="000728B0">
        <w:rPr>
          <w:rFonts w:ascii="Times New Roman" w:hAnsi="Times New Roman"/>
          <w:b/>
          <w:sz w:val="28"/>
          <w:szCs w:val="28"/>
        </w:rPr>
        <w:t>, чи буде його застосовування ефективним.</w:t>
      </w:r>
      <w:r w:rsidRPr="000728B0">
        <w:rPr>
          <w:rFonts w:ascii="Times New Roman" w:hAnsi="Times New Roman"/>
          <w:sz w:val="28"/>
          <w:szCs w:val="28"/>
        </w:rPr>
        <w:t xml:space="preserve"> Це означає, що, звертаючись до питання про верховенство права, слід зважати на оцінювання законодавства – </w:t>
      </w:r>
      <w:proofErr w:type="spellStart"/>
      <w:r w:rsidRPr="000728B0">
        <w:rPr>
          <w:rFonts w:ascii="Times New Roman" w:hAnsi="Times New Roman"/>
          <w:i/>
          <w:sz w:val="28"/>
          <w:szCs w:val="28"/>
        </w:rPr>
        <w:t>ex</w:t>
      </w:r>
      <w:proofErr w:type="spellEnd"/>
      <w:r w:rsidRPr="000728B0">
        <w:rPr>
          <w:rFonts w:ascii="Times New Roman" w:hAnsi="Times New Roman"/>
          <w:i/>
          <w:sz w:val="28"/>
          <w:szCs w:val="28"/>
        </w:rPr>
        <w:t xml:space="preserve"> </w:t>
      </w:r>
      <w:proofErr w:type="spellStart"/>
      <w:r w:rsidRPr="000728B0">
        <w:rPr>
          <w:rFonts w:ascii="Times New Roman" w:hAnsi="Times New Roman"/>
          <w:i/>
          <w:sz w:val="28"/>
          <w:szCs w:val="28"/>
        </w:rPr>
        <w:t>ante</w:t>
      </w:r>
      <w:proofErr w:type="spellEnd"/>
      <w:r w:rsidRPr="000728B0">
        <w:rPr>
          <w:rFonts w:ascii="Times New Roman" w:hAnsi="Times New Roman"/>
          <w:sz w:val="28"/>
          <w:szCs w:val="28"/>
        </w:rPr>
        <w:t xml:space="preserve"> та </w:t>
      </w:r>
      <w:proofErr w:type="spellStart"/>
      <w:r w:rsidRPr="000728B0">
        <w:rPr>
          <w:rFonts w:ascii="Times New Roman" w:hAnsi="Times New Roman"/>
          <w:i/>
          <w:sz w:val="28"/>
          <w:szCs w:val="28"/>
        </w:rPr>
        <w:t>ex</w:t>
      </w:r>
      <w:proofErr w:type="spellEnd"/>
      <w:r w:rsidRPr="000728B0">
        <w:rPr>
          <w:rFonts w:ascii="Times New Roman" w:hAnsi="Times New Roman"/>
          <w:i/>
          <w:sz w:val="28"/>
          <w:szCs w:val="28"/>
        </w:rPr>
        <w:t xml:space="preserve"> </w:t>
      </w:r>
      <w:proofErr w:type="spellStart"/>
      <w:r w:rsidRPr="000728B0">
        <w:rPr>
          <w:rFonts w:ascii="Times New Roman" w:hAnsi="Times New Roman"/>
          <w:i/>
          <w:sz w:val="28"/>
          <w:szCs w:val="28"/>
        </w:rPr>
        <w:t>post</w:t>
      </w:r>
      <w:proofErr w:type="spellEnd"/>
      <w:r w:rsidRPr="000728B0">
        <w:rPr>
          <w:rFonts w:ascii="Times New Roman" w:hAnsi="Times New Roman"/>
          <w:sz w:val="28"/>
          <w:szCs w:val="28"/>
        </w:rPr>
        <w:t>.</w:t>
      </w:r>
    </w:p>
    <w:p w:rsidR="000728B0" w:rsidRPr="000728B0" w:rsidRDefault="000728B0" w:rsidP="000728B0">
      <w:pPr>
        <w:ind w:firstLine="709"/>
        <w:rPr>
          <w:sz w:val="28"/>
          <w:szCs w:val="28"/>
        </w:rPr>
      </w:pPr>
    </w:p>
    <w:p w:rsidR="000728B0" w:rsidRDefault="000728B0" w:rsidP="000728B0">
      <w:pPr>
        <w:ind w:firstLine="709"/>
        <w:jc w:val="both"/>
        <w:rPr>
          <w:sz w:val="28"/>
          <w:szCs w:val="28"/>
        </w:rPr>
      </w:pPr>
      <w:r w:rsidRPr="000728B0">
        <w:rPr>
          <w:sz w:val="28"/>
          <w:szCs w:val="28"/>
        </w:rPr>
        <w:t>Положення частини п'ятої статті 75</w:t>
      </w:r>
      <w:r w:rsidRPr="000728B0">
        <w:rPr>
          <w:sz w:val="28"/>
          <w:szCs w:val="28"/>
          <w:vertAlign w:val="superscript"/>
        </w:rPr>
        <w:t>2</w:t>
      </w:r>
      <w:r w:rsidRPr="000728B0">
        <w:rPr>
          <w:sz w:val="28"/>
          <w:szCs w:val="28"/>
        </w:rPr>
        <w:t xml:space="preserve"> ГК України, згідно з яким </w:t>
      </w:r>
      <w:r w:rsidRPr="000728B0">
        <w:rPr>
          <w:i/>
          <w:sz w:val="28"/>
          <w:szCs w:val="28"/>
        </w:rPr>
        <w:t>"розпоряджатися в інший спосіб майном, що належить до основних фондів, державне некомерційне підприємство має право лише у межах повноважень та у спосіб, що передбачені цим Кодексом та іншими законами"</w:t>
      </w:r>
      <w:r w:rsidRPr="000728B0">
        <w:rPr>
          <w:sz w:val="28"/>
          <w:szCs w:val="28"/>
        </w:rPr>
        <w:t xml:space="preserve"> є некоректним, оскільки розпорядження майном є правом суб'єкта господарювання, якому за загальним правилом, можуть належати певні права та обов'язки, а не повноваження.</w:t>
      </w:r>
    </w:p>
    <w:p w:rsidR="002817F6" w:rsidRDefault="002817F6" w:rsidP="000728B0">
      <w:pPr>
        <w:ind w:firstLine="709"/>
        <w:jc w:val="both"/>
        <w:rPr>
          <w:sz w:val="28"/>
          <w:szCs w:val="28"/>
        </w:rPr>
      </w:pPr>
    </w:p>
    <w:p w:rsidR="002817F6" w:rsidRDefault="002817F6" w:rsidP="000728B0">
      <w:pPr>
        <w:ind w:firstLine="709"/>
        <w:jc w:val="both"/>
        <w:rPr>
          <w:sz w:val="28"/>
          <w:szCs w:val="28"/>
        </w:rPr>
      </w:pPr>
      <w:r>
        <w:rPr>
          <w:sz w:val="28"/>
          <w:szCs w:val="28"/>
        </w:rPr>
        <w:t>Крім того, пропонуємо у ініційованих положеннях застосовувати однакову термінологію, позначаючи установчі документи державного некомерційного підприємства. Зокрема, частина перша статті 75</w:t>
      </w:r>
      <w:r w:rsidRPr="002817F6">
        <w:rPr>
          <w:sz w:val="28"/>
          <w:szCs w:val="28"/>
          <w:vertAlign w:val="superscript"/>
        </w:rPr>
        <w:t>1</w:t>
      </w:r>
      <w:r>
        <w:rPr>
          <w:sz w:val="28"/>
          <w:szCs w:val="28"/>
        </w:rPr>
        <w:t xml:space="preserve"> ГК України встановлює, що "</w:t>
      </w:r>
      <w:r w:rsidRPr="002817F6">
        <w:rPr>
          <w:sz w:val="28"/>
          <w:szCs w:val="28"/>
        </w:rPr>
        <w:t>державне некомерційне підприємство … діє на підставі статуту</w:t>
      </w:r>
      <w:r>
        <w:rPr>
          <w:sz w:val="28"/>
          <w:szCs w:val="28"/>
        </w:rPr>
        <w:t xml:space="preserve">". Проте, у частині другій </w:t>
      </w:r>
      <w:r w:rsidRPr="000728B0">
        <w:rPr>
          <w:sz w:val="28"/>
          <w:szCs w:val="28"/>
        </w:rPr>
        <w:t>статті 75</w:t>
      </w:r>
      <w:r w:rsidRPr="000728B0">
        <w:rPr>
          <w:sz w:val="28"/>
          <w:szCs w:val="28"/>
          <w:vertAlign w:val="superscript"/>
        </w:rPr>
        <w:t>2</w:t>
      </w:r>
      <w:r w:rsidRPr="000728B0">
        <w:rPr>
          <w:sz w:val="28"/>
          <w:szCs w:val="28"/>
        </w:rPr>
        <w:t xml:space="preserve"> ГК України</w:t>
      </w:r>
      <w:r>
        <w:rPr>
          <w:sz w:val="28"/>
          <w:szCs w:val="28"/>
        </w:rPr>
        <w:t xml:space="preserve"> використовується термін "установчий документ".</w:t>
      </w:r>
    </w:p>
    <w:p w:rsidR="002817F6" w:rsidRPr="000728B0" w:rsidRDefault="002817F6" w:rsidP="000728B0">
      <w:pPr>
        <w:ind w:firstLine="709"/>
        <w:jc w:val="both"/>
        <w:rPr>
          <w:sz w:val="28"/>
          <w:szCs w:val="28"/>
        </w:rPr>
      </w:pPr>
      <w:r>
        <w:rPr>
          <w:sz w:val="28"/>
          <w:szCs w:val="28"/>
        </w:rPr>
        <w:t>Звертаємо увагу, що відповідно до статті 88 Цивільного кодексу України установчими документами є статут або засновницький договір.</w:t>
      </w:r>
    </w:p>
    <w:p w:rsidR="000728B0" w:rsidRPr="000728B0" w:rsidRDefault="000728B0" w:rsidP="000728B0">
      <w:pPr>
        <w:ind w:firstLine="709"/>
        <w:jc w:val="both"/>
        <w:rPr>
          <w:sz w:val="28"/>
          <w:szCs w:val="28"/>
        </w:rPr>
      </w:pPr>
    </w:p>
    <w:p w:rsidR="000728B0" w:rsidRDefault="000728B0" w:rsidP="000728B0">
      <w:pPr>
        <w:ind w:firstLine="709"/>
        <w:jc w:val="both"/>
        <w:rPr>
          <w:sz w:val="28"/>
          <w:szCs w:val="28"/>
        </w:rPr>
      </w:pPr>
      <w:r w:rsidRPr="000728B0">
        <w:rPr>
          <w:sz w:val="28"/>
          <w:szCs w:val="28"/>
        </w:rPr>
        <w:t xml:space="preserve">Положення законопроекту, яким визначається, що </w:t>
      </w:r>
      <w:r w:rsidRPr="000728B0">
        <w:rPr>
          <w:i/>
          <w:sz w:val="28"/>
          <w:szCs w:val="28"/>
        </w:rPr>
        <w:t>"</w:t>
      </w:r>
      <w:r w:rsidRPr="000728B0">
        <w:rPr>
          <w:i/>
          <w:sz w:val="28"/>
          <w:szCs w:val="28"/>
          <w:u w:val="single"/>
        </w:rPr>
        <w:t>провадження у справах про банкрутство</w:t>
      </w:r>
      <w:r w:rsidRPr="000728B0">
        <w:rPr>
          <w:i/>
          <w:sz w:val="28"/>
          <w:szCs w:val="28"/>
        </w:rPr>
        <w:t xml:space="preserve"> боржників – казенних підприємств, державних некомерційних підприємств та бюджетних установ, а також </w:t>
      </w:r>
      <w:r w:rsidRPr="000728B0">
        <w:rPr>
          <w:i/>
          <w:sz w:val="28"/>
          <w:szCs w:val="28"/>
          <w:u w:val="single"/>
        </w:rPr>
        <w:t>санація</w:t>
      </w:r>
      <w:r w:rsidRPr="000728B0">
        <w:rPr>
          <w:i/>
          <w:sz w:val="28"/>
          <w:szCs w:val="28"/>
        </w:rPr>
        <w:t xml:space="preserve"> таких боржників </w:t>
      </w:r>
      <w:r w:rsidRPr="000728B0">
        <w:rPr>
          <w:i/>
          <w:sz w:val="28"/>
          <w:szCs w:val="28"/>
          <w:u w:val="single"/>
        </w:rPr>
        <w:t>до відкриття провадження у справі про банкрутство</w:t>
      </w:r>
      <w:r w:rsidRPr="000728B0">
        <w:rPr>
          <w:i/>
          <w:sz w:val="28"/>
          <w:szCs w:val="28"/>
        </w:rPr>
        <w:t xml:space="preserve"> не допускаються"</w:t>
      </w:r>
      <w:r w:rsidRPr="000728B0">
        <w:rPr>
          <w:sz w:val="28"/>
          <w:szCs w:val="28"/>
        </w:rPr>
        <w:t xml:space="preserve"> (нова редакція частини четвертої статті 2 Кодексу України з процедур банкрутства) зумовлює внутрішні неузгодженості. Така редакція частини містить взаємовиключні положення щодо </w:t>
      </w:r>
      <w:r w:rsidRPr="000728B0">
        <w:rPr>
          <w:sz w:val="28"/>
          <w:szCs w:val="28"/>
          <w:u w:val="single"/>
        </w:rPr>
        <w:t>недопущення проваджень у справах про банкрутство</w:t>
      </w:r>
      <w:r w:rsidRPr="000728B0">
        <w:rPr>
          <w:sz w:val="28"/>
          <w:szCs w:val="28"/>
        </w:rPr>
        <w:t xml:space="preserve"> боржників – казенних підприємств, державних некомерційних підприємств та бюджетних установ та </w:t>
      </w:r>
      <w:r w:rsidRPr="000728B0">
        <w:rPr>
          <w:sz w:val="28"/>
          <w:szCs w:val="28"/>
          <w:u w:val="single"/>
        </w:rPr>
        <w:t>здійснення процедури санації</w:t>
      </w:r>
      <w:r w:rsidRPr="000728B0">
        <w:rPr>
          <w:sz w:val="28"/>
          <w:szCs w:val="28"/>
        </w:rPr>
        <w:t xml:space="preserve"> таких боржників </w:t>
      </w:r>
      <w:r w:rsidRPr="000728B0">
        <w:rPr>
          <w:sz w:val="28"/>
          <w:szCs w:val="28"/>
          <w:u w:val="single"/>
        </w:rPr>
        <w:t>до відкриття провадження у справі про банкрутство.</w:t>
      </w:r>
      <w:r w:rsidRPr="000728B0">
        <w:rPr>
          <w:sz w:val="28"/>
          <w:szCs w:val="28"/>
        </w:rPr>
        <w:t xml:space="preserve"> </w:t>
      </w:r>
    </w:p>
    <w:p w:rsidR="00376638" w:rsidRPr="00376638" w:rsidRDefault="00376638" w:rsidP="00376638">
      <w:pPr>
        <w:pStyle w:val="ParagraphStyle"/>
        <w:ind w:firstLine="709"/>
        <w:jc w:val="both"/>
        <w:rPr>
          <w:rStyle w:val="FontStyle"/>
          <w:rFonts w:ascii="Times New Roman" w:hAnsi="Times New Roman" w:cs="Times New Roman"/>
          <w:sz w:val="28"/>
          <w:szCs w:val="28"/>
          <w:lang w:val="uk-UA"/>
        </w:rPr>
      </w:pPr>
      <w:r w:rsidRPr="00376638">
        <w:rPr>
          <w:rFonts w:ascii="Times New Roman" w:hAnsi="Times New Roman" w:cs="Times New Roman"/>
          <w:sz w:val="28"/>
          <w:szCs w:val="28"/>
          <w:lang w:val="uk-UA"/>
        </w:rPr>
        <w:t xml:space="preserve">Запропонований механізм щодо заборони відкриття відповідних проваджень </w:t>
      </w:r>
      <w:r w:rsidRPr="00376638">
        <w:rPr>
          <w:rStyle w:val="FontStyle"/>
          <w:rFonts w:ascii="Times New Roman" w:hAnsi="Times New Roman" w:cs="Times New Roman"/>
          <w:sz w:val="28"/>
          <w:szCs w:val="28"/>
          <w:lang w:val="uk-UA"/>
        </w:rPr>
        <w:t>не відповідає закріпленому у статті 13 Конституції України принципу рівності суб’єктів господарювання.</w:t>
      </w:r>
    </w:p>
    <w:p w:rsidR="000728B0" w:rsidRDefault="000728B0" w:rsidP="00A65273">
      <w:pPr>
        <w:ind w:firstLine="709"/>
        <w:jc w:val="both"/>
        <w:rPr>
          <w:color w:val="000000"/>
          <w:sz w:val="28"/>
          <w:szCs w:val="28"/>
        </w:rPr>
      </w:pPr>
    </w:p>
    <w:p w:rsidR="005A5CB6" w:rsidRDefault="005A5CB6" w:rsidP="002817F6">
      <w:pPr>
        <w:pStyle w:val="a6"/>
        <w:ind w:firstLine="709"/>
        <w:jc w:val="both"/>
        <w:rPr>
          <w:rFonts w:ascii="Times New Roman" w:hAnsi="Times New Roman"/>
          <w:sz w:val="28"/>
          <w:szCs w:val="28"/>
          <w:lang w:eastAsia="ru-RU"/>
        </w:rPr>
      </w:pPr>
      <w:r>
        <w:rPr>
          <w:rFonts w:ascii="Times New Roman" w:hAnsi="Times New Roman"/>
          <w:sz w:val="28"/>
          <w:szCs w:val="28"/>
          <w:lang w:eastAsia="ru-RU"/>
        </w:rPr>
        <w:t>Ініційованими змінами до статті 3 Основ законодавства України про охорону здоров'я (далі - Основи) пропонується запровадити визначення терміну "</w:t>
      </w:r>
      <w:r w:rsidRPr="00114D52">
        <w:rPr>
          <w:rFonts w:ascii="Times New Roman" w:hAnsi="Times New Roman"/>
          <w:sz w:val="28"/>
          <w:szCs w:val="28"/>
          <w:u w:val="single"/>
          <w:lang w:eastAsia="ru-RU"/>
        </w:rPr>
        <w:t>медична інформація</w:t>
      </w:r>
      <w:r>
        <w:rPr>
          <w:rFonts w:ascii="Times New Roman" w:hAnsi="Times New Roman"/>
          <w:sz w:val="28"/>
          <w:szCs w:val="28"/>
          <w:lang w:eastAsia="ru-RU"/>
        </w:rPr>
        <w:t>", до якої відносять</w:t>
      </w:r>
      <w:r w:rsidRPr="008730F5">
        <w:rPr>
          <w:rFonts w:ascii="Times New Roman" w:hAnsi="Times New Roman"/>
          <w:sz w:val="28"/>
          <w:szCs w:val="28"/>
          <w:lang w:eastAsia="ru-RU"/>
        </w:rPr>
        <w:t xml:space="preserve"> інформаці</w:t>
      </w:r>
      <w:r>
        <w:rPr>
          <w:rFonts w:ascii="Times New Roman" w:hAnsi="Times New Roman"/>
          <w:sz w:val="28"/>
          <w:szCs w:val="28"/>
          <w:lang w:eastAsia="ru-RU"/>
        </w:rPr>
        <w:t>ю</w:t>
      </w:r>
      <w:r w:rsidRPr="008730F5">
        <w:rPr>
          <w:rFonts w:ascii="Times New Roman" w:hAnsi="Times New Roman"/>
          <w:sz w:val="28"/>
          <w:szCs w:val="28"/>
          <w:lang w:eastAsia="ru-RU"/>
        </w:rPr>
        <w:t xml:space="preserve"> про медичне обслуговування особи або його результати, </w:t>
      </w:r>
      <w:r>
        <w:rPr>
          <w:rFonts w:ascii="Times New Roman" w:hAnsi="Times New Roman"/>
          <w:sz w:val="28"/>
          <w:szCs w:val="28"/>
          <w:lang w:eastAsia="ru-RU"/>
        </w:rPr>
        <w:t>в</w:t>
      </w:r>
      <w:r w:rsidRPr="008730F5">
        <w:rPr>
          <w:rFonts w:ascii="Times New Roman" w:hAnsi="Times New Roman"/>
          <w:sz w:val="28"/>
          <w:szCs w:val="28"/>
          <w:lang w:eastAsia="ru-RU"/>
        </w:rPr>
        <w:t xml:space="preserve"> тому числі </w:t>
      </w:r>
      <w:r w:rsidRPr="00114D52">
        <w:rPr>
          <w:rFonts w:ascii="Times New Roman" w:hAnsi="Times New Roman"/>
          <w:sz w:val="28"/>
          <w:szCs w:val="28"/>
          <w:u w:val="single"/>
          <w:lang w:eastAsia="ru-RU"/>
        </w:rPr>
        <w:t>інформацію про стан здоров’я</w:t>
      </w:r>
      <w:r w:rsidRPr="008730F5">
        <w:rPr>
          <w:rFonts w:ascii="Times New Roman" w:hAnsi="Times New Roman"/>
          <w:sz w:val="28"/>
          <w:szCs w:val="28"/>
          <w:lang w:eastAsia="ru-RU"/>
        </w:rPr>
        <w:t>, діагнози та будь-які документи, що стосуються здоров’я та обмеженн</w:t>
      </w:r>
      <w:r>
        <w:rPr>
          <w:rFonts w:ascii="Times New Roman" w:hAnsi="Times New Roman"/>
          <w:sz w:val="28"/>
          <w:szCs w:val="28"/>
          <w:lang w:eastAsia="ru-RU"/>
        </w:rPr>
        <w:t>я повсякденного функціонування/</w:t>
      </w:r>
      <w:r w:rsidRPr="008730F5">
        <w:rPr>
          <w:rFonts w:ascii="Times New Roman" w:hAnsi="Times New Roman"/>
          <w:sz w:val="28"/>
          <w:szCs w:val="28"/>
          <w:lang w:eastAsia="ru-RU"/>
        </w:rPr>
        <w:t>життєдіяльності людини</w:t>
      </w:r>
      <w:r>
        <w:rPr>
          <w:rFonts w:ascii="Times New Roman" w:hAnsi="Times New Roman"/>
          <w:sz w:val="28"/>
          <w:szCs w:val="28"/>
          <w:lang w:eastAsia="ru-RU"/>
        </w:rPr>
        <w:t xml:space="preserve">". </w:t>
      </w:r>
    </w:p>
    <w:p w:rsidR="005A5CB6" w:rsidRDefault="005A5CB6" w:rsidP="002817F6">
      <w:pPr>
        <w:pStyle w:val="a6"/>
        <w:ind w:firstLine="709"/>
        <w:jc w:val="both"/>
        <w:rPr>
          <w:rFonts w:ascii="Times New Roman" w:hAnsi="Times New Roman"/>
          <w:sz w:val="28"/>
          <w:szCs w:val="28"/>
          <w:lang w:eastAsia="ru-RU"/>
        </w:rPr>
      </w:pPr>
      <w:r>
        <w:rPr>
          <w:rFonts w:ascii="Times New Roman" w:hAnsi="Times New Roman"/>
          <w:sz w:val="28"/>
          <w:szCs w:val="28"/>
          <w:lang w:eastAsia="ru-RU"/>
        </w:rPr>
        <w:t xml:space="preserve">Водночас чинною редакцією статті 39 Основ частково врегульовано правовий режим цього виду інформації, згідно з яким "медична інформація" за режимом доступу не є відкритою інформацією. </w:t>
      </w:r>
    </w:p>
    <w:p w:rsidR="005A5CB6" w:rsidRDefault="005A5CB6" w:rsidP="002817F6">
      <w:pPr>
        <w:pStyle w:val="a6"/>
        <w:ind w:firstLine="709"/>
        <w:jc w:val="both"/>
        <w:rPr>
          <w:rFonts w:ascii="Times New Roman" w:hAnsi="Times New Roman"/>
          <w:sz w:val="28"/>
          <w:szCs w:val="28"/>
          <w:lang w:eastAsia="ru-RU"/>
        </w:rPr>
      </w:pPr>
      <w:r>
        <w:rPr>
          <w:rFonts w:ascii="Times New Roman" w:hAnsi="Times New Roman"/>
          <w:sz w:val="28"/>
          <w:szCs w:val="28"/>
          <w:lang w:eastAsia="ru-RU"/>
        </w:rPr>
        <w:lastRenderedPageBreak/>
        <w:t>Відтак, з метою належного правового регулювання поширення "медичної інформації" у контексті вимог законів України "Про інформацію" та "Про доступ до публічної інформації" такий вид інформації має бути віднесений до одного з різновидів інформації з обмеженим доступом (конфіденційної, службової чи таємної</w:t>
      </w:r>
      <w:r>
        <w:rPr>
          <w:rStyle w:val="a9"/>
          <w:rFonts w:ascii="Times New Roman" w:hAnsi="Times New Roman"/>
          <w:sz w:val="28"/>
          <w:szCs w:val="28"/>
          <w:lang w:eastAsia="ru-RU"/>
        </w:rPr>
        <w:footnoteReference w:id="2"/>
      </w:r>
      <w:r>
        <w:rPr>
          <w:rFonts w:ascii="Times New Roman" w:hAnsi="Times New Roman"/>
          <w:sz w:val="28"/>
          <w:szCs w:val="28"/>
          <w:lang w:eastAsia="ru-RU"/>
        </w:rPr>
        <w:t xml:space="preserve">). При цьому, слід враховувати, що відповідно до частини першої статті 11 Закону України "Про інформацію" </w:t>
      </w:r>
      <w:r w:rsidRPr="00572E6B">
        <w:rPr>
          <w:rFonts w:ascii="Times New Roman" w:hAnsi="Times New Roman"/>
          <w:sz w:val="28"/>
          <w:szCs w:val="28"/>
          <w:u w:val="single"/>
          <w:lang w:eastAsia="ru-RU"/>
        </w:rPr>
        <w:t>дані про стан здоров'я</w:t>
      </w:r>
      <w:r>
        <w:rPr>
          <w:rFonts w:ascii="Times New Roman" w:hAnsi="Times New Roman"/>
          <w:sz w:val="28"/>
          <w:szCs w:val="28"/>
          <w:lang w:eastAsia="ru-RU"/>
        </w:rPr>
        <w:t xml:space="preserve"> (складову медичної інформації) віднесено до </w:t>
      </w:r>
      <w:r w:rsidRPr="00E54C6E">
        <w:rPr>
          <w:rFonts w:ascii="Times New Roman" w:hAnsi="Times New Roman"/>
          <w:sz w:val="28"/>
          <w:szCs w:val="28"/>
          <w:lang w:eastAsia="ru-RU"/>
        </w:rPr>
        <w:t>конфіденційної інформації про фізичну особу</w:t>
      </w:r>
      <w:r>
        <w:rPr>
          <w:rFonts w:ascii="Times New Roman" w:hAnsi="Times New Roman"/>
          <w:sz w:val="28"/>
          <w:szCs w:val="28"/>
          <w:lang w:eastAsia="ru-RU"/>
        </w:rPr>
        <w:t xml:space="preserve"> (охоронювану Конституцією та законами України </w:t>
      </w:r>
      <w:r w:rsidRPr="00E54C6E">
        <w:rPr>
          <w:rFonts w:ascii="Times New Roman" w:hAnsi="Times New Roman"/>
          <w:sz w:val="28"/>
          <w:szCs w:val="28"/>
          <w:lang w:eastAsia="ru-RU"/>
        </w:rPr>
        <w:t>інформаці</w:t>
      </w:r>
      <w:r>
        <w:rPr>
          <w:rFonts w:ascii="Times New Roman" w:hAnsi="Times New Roman"/>
          <w:sz w:val="28"/>
          <w:szCs w:val="28"/>
          <w:lang w:eastAsia="ru-RU"/>
        </w:rPr>
        <w:t>ю, що</w:t>
      </w:r>
      <w:r w:rsidRPr="00E54C6E">
        <w:rPr>
          <w:rFonts w:ascii="Times New Roman" w:hAnsi="Times New Roman"/>
          <w:sz w:val="28"/>
          <w:szCs w:val="28"/>
          <w:lang w:eastAsia="ru-RU"/>
        </w:rPr>
        <w:t xml:space="preserve"> може поширюватися за бажанням (згодою) відповідної особи у визначеному нею порядку відповідно до передбачених нею умов, а також в інших випадках, визначених законом</w:t>
      </w:r>
      <w:r>
        <w:rPr>
          <w:rFonts w:ascii="Times New Roman" w:hAnsi="Times New Roman"/>
          <w:sz w:val="28"/>
          <w:szCs w:val="28"/>
          <w:lang w:eastAsia="ru-RU"/>
        </w:rPr>
        <w:t>).</w:t>
      </w:r>
    </w:p>
    <w:p w:rsidR="005A5CB6" w:rsidRDefault="005A5CB6" w:rsidP="002817F6">
      <w:pPr>
        <w:pStyle w:val="a6"/>
        <w:ind w:firstLine="709"/>
        <w:jc w:val="both"/>
        <w:rPr>
          <w:rFonts w:ascii="Times New Roman" w:hAnsi="Times New Roman"/>
          <w:sz w:val="28"/>
          <w:szCs w:val="28"/>
          <w:lang w:eastAsia="ru-RU"/>
        </w:rPr>
      </w:pPr>
      <w:r>
        <w:rPr>
          <w:rFonts w:ascii="Times New Roman" w:hAnsi="Times New Roman"/>
          <w:sz w:val="28"/>
          <w:szCs w:val="28"/>
          <w:lang w:eastAsia="ru-RU"/>
        </w:rPr>
        <w:t>У зв'язку з цим, абзац четвертий підпункту 1 пункту 4 розділу І проекту потребує доопрацювання.</w:t>
      </w:r>
    </w:p>
    <w:p w:rsidR="00A65273" w:rsidRPr="004F0CF2" w:rsidRDefault="00A65273" w:rsidP="00A65273">
      <w:pPr>
        <w:ind w:firstLine="709"/>
        <w:jc w:val="both"/>
        <w:rPr>
          <w:rStyle w:val="rvts0"/>
          <w:sz w:val="28"/>
          <w:szCs w:val="28"/>
        </w:rPr>
      </w:pPr>
    </w:p>
    <w:p w:rsidR="00A65273" w:rsidRPr="004F0CF2" w:rsidRDefault="002817F6" w:rsidP="00A65273">
      <w:pPr>
        <w:ind w:firstLine="709"/>
        <w:jc w:val="both"/>
        <w:rPr>
          <w:rStyle w:val="rvts0"/>
          <w:sz w:val="28"/>
          <w:szCs w:val="28"/>
        </w:rPr>
      </w:pPr>
      <w:r>
        <w:rPr>
          <w:rStyle w:val="rvts0"/>
          <w:sz w:val="28"/>
          <w:szCs w:val="28"/>
        </w:rPr>
        <w:t xml:space="preserve">З огляду на те, що </w:t>
      </w:r>
      <w:r w:rsidR="004E41CD">
        <w:rPr>
          <w:rStyle w:val="rvts0"/>
          <w:sz w:val="28"/>
          <w:szCs w:val="28"/>
        </w:rPr>
        <w:t>передбачені</w:t>
      </w:r>
      <w:r>
        <w:rPr>
          <w:rStyle w:val="rvts0"/>
          <w:sz w:val="28"/>
          <w:szCs w:val="28"/>
        </w:rPr>
        <w:t xml:space="preserve"> законопроектом зміни матимуть наслідком </w:t>
      </w:r>
      <w:r w:rsidR="004E41CD">
        <w:rPr>
          <w:rStyle w:val="rvts0"/>
          <w:sz w:val="28"/>
          <w:szCs w:val="28"/>
        </w:rPr>
        <w:t xml:space="preserve">переформатування електронної системи охорони здоров'я, що потребуватиме додаткових видатків, то </w:t>
      </w:r>
      <w:r w:rsidR="00A65273" w:rsidRPr="004F0CF2">
        <w:rPr>
          <w:rStyle w:val="rvts0"/>
          <w:sz w:val="28"/>
          <w:szCs w:val="28"/>
        </w:rPr>
        <w:t>з урахуванням набрання чинності цим Законом у</w:t>
      </w:r>
      <w:r w:rsidR="00A65273">
        <w:rPr>
          <w:rStyle w:val="rvts0"/>
          <w:sz w:val="28"/>
          <w:szCs w:val="28"/>
        </w:rPr>
        <w:t xml:space="preserve"> </w:t>
      </w:r>
      <w:r w:rsidR="00A65273" w:rsidRPr="004F0CF2">
        <w:rPr>
          <w:rStyle w:val="rvts0"/>
          <w:sz w:val="28"/>
          <w:szCs w:val="28"/>
        </w:rPr>
        <w:t xml:space="preserve">разі його ухвалення, </w:t>
      </w:r>
      <w:r w:rsidR="00A65273">
        <w:rPr>
          <w:rStyle w:val="rvts0"/>
          <w:sz w:val="28"/>
          <w:szCs w:val="28"/>
        </w:rPr>
        <w:t>запропоноване</w:t>
      </w:r>
      <w:r w:rsidR="00A65273" w:rsidRPr="004F0CF2">
        <w:rPr>
          <w:rStyle w:val="rvts0"/>
          <w:sz w:val="28"/>
          <w:szCs w:val="28"/>
        </w:rPr>
        <w:t xml:space="preserve"> </w:t>
      </w:r>
      <w:r w:rsidR="00A65273" w:rsidRPr="004F0CF2">
        <w:rPr>
          <w:sz w:val="28"/>
          <w:szCs w:val="28"/>
        </w:rPr>
        <w:t>не відповідає вимогам статті 27 Бюджетного кодексу України щодо порядку  прийняття та введення в дію законів України або окремих їх положень, що впливають на показники бюджету.</w:t>
      </w:r>
    </w:p>
    <w:p w:rsidR="00A65273" w:rsidRPr="004F0CF2" w:rsidRDefault="00A65273" w:rsidP="00A65273">
      <w:pPr>
        <w:ind w:firstLine="709"/>
        <w:jc w:val="both"/>
        <w:rPr>
          <w:rStyle w:val="rvts0"/>
          <w:sz w:val="28"/>
          <w:szCs w:val="28"/>
        </w:rPr>
      </w:pPr>
    </w:p>
    <w:p w:rsidR="00A65273" w:rsidRPr="004F0CF2" w:rsidRDefault="00A65273" w:rsidP="00A65273">
      <w:pPr>
        <w:ind w:firstLine="709"/>
        <w:jc w:val="both"/>
        <w:rPr>
          <w:sz w:val="28"/>
          <w:szCs w:val="28"/>
        </w:rPr>
      </w:pPr>
      <w:r w:rsidRPr="004F0CF2">
        <w:rPr>
          <w:sz w:val="28"/>
          <w:szCs w:val="28"/>
        </w:rPr>
        <w:t>Розділ ІІ законопроекту щодо визначення строку набрання чинності цим Законом (з дня, наступного за днем його опублікування</w:t>
      </w:r>
      <w:r w:rsidR="004E41CD">
        <w:rPr>
          <w:sz w:val="28"/>
          <w:szCs w:val="28"/>
        </w:rPr>
        <w:t>, крім деяких положень</w:t>
      </w:r>
      <w:r w:rsidRPr="004F0CF2">
        <w:rPr>
          <w:sz w:val="28"/>
          <w:szCs w:val="28"/>
        </w:rPr>
        <w:t xml:space="preserve">) та надання доручення Кабінету Міністрів України </w:t>
      </w:r>
      <w:r w:rsidR="004E41CD">
        <w:rPr>
          <w:sz w:val="28"/>
          <w:szCs w:val="28"/>
        </w:rPr>
        <w:t>у тримісячний строк</w:t>
      </w:r>
      <w:r w:rsidRPr="004F0CF2">
        <w:rPr>
          <w:sz w:val="28"/>
          <w:szCs w:val="28"/>
        </w:rPr>
        <w:t xml:space="preserve"> з дня набрання чинності цим Законом привести свої нормативно-правові акти у відповідність із цим Законом та забезпечити приведення міністерствами, іншими центральними органами виконавчої влади їх нормативно-правових актів у відповідність із цим Законом, є юридично некоректними, оскільки реалізація норм законопроекту ставиться в залежність від прийняття у майбутньому підзаконних нормативно-правових актів.</w:t>
      </w:r>
    </w:p>
    <w:p w:rsidR="00A65273" w:rsidRPr="004E41CD" w:rsidRDefault="00A65273" w:rsidP="00A65273">
      <w:pPr>
        <w:ind w:firstLine="709"/>
        <w:jc w:val="both"/>
        <w:rPr>
          <w:sz w:val="28"/>
          <w:szCs w:val="28"/>
        </w:rPr>
      </w:pPr>
    </w:p>
    <w:p w:rsidR="00376638" w:rsidRPr="004F0CF2" w:rsidRDefault="00376638" w:rsidP="00376638">
      <w:pPr>
        <w:ind w:firstLine="709"/>
        <w:jc w:val="both"/>
        <w:rPr>
          <w:color w:val="000000" w:themeColor="text1"/>
          <w:sz w:val="28"/>
          <w:szCs w:val="28"/>
          <w:shd w:val="clear" w:color="auto" w:fill="FFFFFF"/>
        </w:rPr>
      </w:pPr>
      <w:r w:rsidRPr="004F0CF2">
        <w:rPr>
          <w:color w:val="000000" w:themeColor="text1"/>
          <w:sz w:val="28"/>
          <w:szCs w:val="28"/>
        </w:rPr>
        <w:t xml:space="preserve">Зважаючи на висловлені зауваження, пропонуємо законопроект доопрацювати з урахуванням можливостей, передбачених </w:t>
      </w:r>
      <w:r w:rsidRPr="004F0CF2">
        <w:rPr>
          <w:color w:val="000000" w:themeColor="text1"/>
          <w:sz w:val="28"/>
          <w:szCs w:val="28"/>
          <w:shd w:val="clear" w:color="auto" w:fill="FFFFFF"/>
        </w:rPr>
        <w:t>частиною шостою статті 118 Регламенту Верховної Ради України.</w:t>
      </w:r>
    </w:p>
    <w:p w:rsidR="00A65273" w:rsidRPr="00016583" w:rsidRDefault="00A65273" w:rsidP="00A65273">
      <w:pPr>
        <w:rPr>
          <w:rStyle w:val="st42"/>
          <w:b/>
          <w:sz w:val="28"/>
          <w:szCs w:val="28"/>
        </w:rPr>
      </w:pPr>
    </w:p>
    <w:p w:rsidR="00A65273" w:rsidRDefault="00A65273" w:rsidP="00A65273">
      <w:pPr>
        <w:rPr>
          <w:rStyle w:val="st42"/>
          <w:b/>
          <w:sz w:val="28"/>
          <w:szCs w:val="28"/>
        </w:rPr>
      </w:pPr>
    </w:p>
    <w:p w:rsidR="00A65273" w:rsidRPr="00016583" w:rsidRDefault="00A65273" w:rsidP="00A65273">
      <w:pPr>
        <w:rPr>
          <w:rStyle w:val="st42"/>
          <w:b/>
          <w:sz w:val="28"/>
          <w:szCs w:val="28"/>
        </w:rPr>
      </w:pPr>
      <w:r w:rsidRPr="00016583">
        <w:rPr>
          <w:rStyle w:val="st42"/>
          <w:b/>
          <w:sz w:val="28"/>
          <w:szCs w:val="28"/>
        </w:rPr>
        <w:t>Заступник керівника</w:t>
      </w:r>
    </w:p>
    <w:p w:rsidR="003A24EC" w:rsidRPr="004E41CD" w:rsidRDefault="00A65273">
      <w:pPr>
        <w:rPr>
          <w:b/>
          <w:color w:val="000000"/>
          <w:sz w:val="28"/>
          <w:szCs w:val="28"/>
        </w:rPr>
      </w:pPr>
      <w:r w:rsidRPr="00016583">
        <w:rPr>
          <w:rStyle w:val="st42"/>
          <w:b/>
          <w:sz w:val="28"/>
          <w:szCs w:val="28"/>
        </w:rPr>
        <w:t xml:space="preserve">Головного управління                                                                 </w:t>
      </w:r>
      <w:r w:rsidR="004E41CD">
        <w:rPr>
          <w:rStyle w:val="st42"/>
          <w:b/>
          <w:sz w:val="28"/>
          <w:szCs w:val="28"/>
        </w:rPr>
        <w:t>В. МІЛОВАНОВ</w:t>
      </w:r>
    </w:p>
    <w:sectPr w:rsidR="003A24EC" w:rsidRPr="004E41CD" w:rsidSect="00016583">
      <w:headerReference w:type="default" r:id="rId10"/>
      <w:pgSz w:w="11906" w:h="16838"/>
      <w:pgMar w:top="850" w:right="850" w:bottom="850" w:left="1417"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452" w:rsidRDefault="009B4452" w:rsidP="005A5CB6">
      <w:r>
        <w:separator/>
      </w:r>
    </w:p>
  </w:endnote>
  <w:endnote w:type="continuationSeparator" w:id="0">
    <w:p w:rsidR="009B4452" w:rsidRDefault="009B4452" w:rsidP="005A5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452" w:rsidRDefault="009B4452" w:rsidP="005A5CB6">
      <w:r>
        <w:separator/>
      </w:r>
    </w:p>
  </w:footnote>
  <w:footnote w:type="continuationSeparator" w:id="0">
    <w:p w:rsidR="009B4452" w:rsidRDefault="009B4452" w:rsidP="005A5CB6">
      <w:r>
        <w:continuationSeparator/>
      </w:r>
    </w:p>
  </w:footnote>
  <w:footnote w:id="1">
    <w:p w:rsidR="000728B0" w:rsidRPr="004E41CD" w:rsidRDefault="000728B0" w:rsidP="000728B0">
      <w:pPr>
        <w:pStyle w:val="a7"/>
        <w:ind w:firstLine="709"/>
        <w:rPr>
          <w:rFonts w:ascii="Times New Roman" w:hAnsi="Times New Roman" w:cs="Times New Roman"/>
          <w:sz w:val="16"/>
          <w:szCs w:val="16"/>
        </w:rPr>
      </w:pPr>
      <w:r w:rsidRPr="004E41CD">
        <w:rPr>
          <w:rStyle w:val="a9"/>
          <w:rFonts w:ascii="Times New Roman" w:hAnsi="Times New Roman" w:cs="Times New Roman"/>
          <w:sz w:val="16"/>
          <w:szCs w:val="16"/>
        </w:rPr>
        <w:footnoteRef/>
      </w:r>
      <w:r w:rsidRPr="004E41CD">
        <w:rPr>
          <w:rFonts w:ascii="Times New Roman" w:hAnsi="Times New Roman" w:cs="Times New Roman"/>
          <w:sz w:val="16"/>
          <w:szCs w:val="16"/>
        </w:rPr>
        <w:t xml:space="preserve"> В яких:</w:t>
      </w:r>
    </w:p>
    <w:p w:rsidR="000728B0" w:rsidRPr="004E41CD" w:rsidRDefault="000728B0" w:rsidP="000728B0">
      <w:pPr>
        <w:pStyle w:val="a7"/>
        <w:numPr>
          <w:ilvl w:val="0"/>
          <w:numId w:val="2"/>
        </w:numPr>
        <w:ind w:left="0" w:firstLine="709"/>
        <w:jc w:val="both"/>
        <w:rPr>
          <w:rFonts w:ascii="Times New Roman" w:hAnsi="Times New Roman" w:cs="Times New Roman"/>
          <w:sz w:val="16"/>
          <w:szCs w:val="16"/>
        </w:rPr>
      </w:pPr>
      <w:r w:rsidRPr="004E41CD">
        <w:rPr>
          <w:rFonts w:ascii="Times New Roman" w:hAnsi="Times New Roman" w:cs="Times New Roman"/>
          <w:sz w:val="16"/>
          <w:szCs w:val="16"/>
        </w:rPr>
        <w:t xml:space="preserve">законом дозволено здійснення господарської діяльності лише державним підприємствам; </w:t>
      </w:r>
    </w:p>
    <w:p w:rsidR="000728B0" w:rsidRPr="004E41CD" w:rsidRDefault="000728B0" w:rsidP="000728B0">
      <w:pPr>
        <w:pStyle w:val="a7"/>
        <w:numPr>
          <w:ilvl w:val="0"/>
          <w:numId w:val="2"/>
        </w:numPr>
        <w:ind w:left="0" w:firstLine="709"/>
        <w:jc w:val="both"/>
        <w:rPr>
          <w:rFonts w:ascii="Times New Roman" w:hAnsi="Times New Roman" w:cs="Times New Roman"/>
          <w:sz w:val="16"/>
          <w:szCs w:val="16"/>
        </w:rPr>
      </w:pPr>
      <w:r w:rsidRPr="004E41CD">
        <w:rPr>
          <w:rFonts w:ascii="Times New Roman" w:hAnsi="Times New Roman" w:cs="Times New Roman"/>
          <w:sz w:val="16"/>
          <w:szCs w:val="16"/>
        </w:rPr>
        <w:t xml:space="preserve">основним (понад п'ятдесят відсотків) споживачем продукції (робіт, послуг) виступає держава; </w:t>
      </w:r>
    </w:p>
    <w:p w:rsidR="000728B0" w:rsidRPr="004E41CD" w:rsidRDefault="000728B0" w:rsidP="000728B0">
      <w:pPr>
        <w:pStyle w:val="a7"/>
        <w:numPr>
          <w:ilvl w:val="0"/>
          <w:numId w:val="2"/>
        </w:numPr>
        <w:ind w:left="0" w:firstLine="709"/>
        <w:jc w:val="both"/>
        <w:rPr>
          <w:rFonts w:ascii="Times New Roman" w:hAnsi="Times New Roman" w:cs="Times New Roman"/>
          <w:sz w:val="16"/>
          <w:szCs w:val="16"/>
        </w:rPr>
      </w:pPr>
      <w:r w:rsidRPr="004E41CD">
        <w:rPr>
          <w:rFonts w:ascii="Times New Roman" w:hAnsi="Times New Roman" w:cs="Times New Roman"/>
          <w:sz w:val="16"/>
          <w:szCs w:val="16"/>
        </w:rPr>
        <w:t xml:space="preserve">за умовами господарювання неможлива вільна конкуренція товаровиробників чи споживачів; </w:t>
      </w:r>
    </w:p>
    <w:p w:rsidR="000728B0" w:rsidRPr="004E41CD" w:rsidRDefault="000728B0" w:rsidP="000728B0">
      <w:pPr>
        <w:pStyle w:val="a7"/>
        <w:numPr>
          <w:ilvl w:val="0"/>
          <w:numId w:val="2"/>
        </w:numPr>
        <w:ind w:left="0" w:firstLine="709"/>
        <w:jc w:val="both"/>
        <w:rPr>
          <w:rFonts w:ascii="Times New Roman" w:hAnsi="Times New Roman" w:cs="Times New Roman"/>
          <w:sz w:val="16"/>
          <w:szCs w:val="16"/>
        </w:rPr>
      </w:pPr>
      <w:r w:rsidRPr="004E41CD">
        <w:rPr>
          <w:rFonts w:ascii="Times New Roman" w:hAnsi="Times New Roman" w:cs="Times New Roman"/>
          <w:sz w:val="16"/>
          <w:szCs w:val="16"/>
        </w:rPr>
        <w:t xml:space="preserve">переважаючим (понад п'ятдесят відсотків) є виробництво суспільно необхідної продукції (робіт, послуг), яке за своїми умовами і характером потреб, що ним задовольняються, як правило, не може бути рентабельним; </w:t>
      </w:r>
    </w:p>
    <w:p w:rsidR="000728B0" w:rsidRPr="004E41CD" w:rsidRDefault="000728B0" w:rsidP="000728B0">
      <w:pPr>
        <w:pStyle w:val="a7"/>
        <w:numPr>
          <w:ilvl w:val="0"/>
          <w:numId w:val="2"/>
        </w:numPr>
        <w:ind w:left="0" w:firstLine="709"/>
        <w:jc w:val="both"/>
        <w:rPr>
          <w:rFonts w:ascii="Times New Roman" w:hAnsi="Times New Roman" w:cs="Times New Roman"/>
          <w:sz w:val="16"/>
          <w:szCs w:val="16"/>
        </w:rPr>
      </w:pPr>
      <w:r w:rsidRPr="004E41CD">
        <w:rPr>
          <w:rFonts w:ascii="Times New Roman" w:hAnsi="Times New Roman" w:cs="Times New Roman"/>
          <w:sz w:val="16"/>
          <w:szCs w:val="16"/>
        </w:rPr>
        <w:t xml:space="preserve">приватизацію майнових комплексів державних підприємств заборонено законом; </w:t>
      </w:r>
    </w:p>
    <w:p w:rsidR="000728B0" w:rsidRPr="004E41CD" w:rsidRDefault="000728B0" w:rsidP="000728B0">
      <w:pPr>
        <w:pStyle w:val="a7"/>
        <w:numPr>
          <w:ilvl w:val="0"/>
          <w:numId w:val="2"/>
        </w:numPr>
        <w:ind w:left="0" w:firstLine="709"/>
        <w:jc w:val="both"/>
        <w:rPr>
          <w:rFonts w:ascii="Times New Roman" w:hAnsi="Times New Roman" w:cs="Times New Roman"/>
          <w:sz w:val="16"/>
          <w:szCs w:val="16"/>
        </w:rPr>
      </w:pPr>
      <w:r w:rsidRPr="004E41CD">
        <w:rPr>
          <w:rFonts w:ascii="Times New Roman" w:hAnsi="Times New Roman" w:cs="Times New Roman"/>
          <w:sz w:val="16"/>
          <w:szCs w:val="16"/>
        </w:rPr>
        <w:t>здійснюється медичне обслуговування населення.</w:t>
      </w:r>
    </w:p>
  </w:footnote>
  <w:footnote w:id="2">
    <w:p w:rsidR="005A5CB6" w:rsidRPr="004E41CD" w:rsidRDefault="005A5CB6" w:rsidP="005A5CB6">
      <w:pPr>
        <w:pStyle w:val="a7"/>
        <w:rPr>
          <w:rFonts w:ascii="Times New Roman" w:hAnsi="Times New Roman" w:cs="Times New Roman"/>
          <w:sz w:val="16"/>
          <w:szCs w:val="16"/>
        </w:rPr>
      </w:pPr>
      <w:r w:rsidRPr="004E41CD">
        <w:rPr>
          <w:rStyle w:val="a9"/>
          <w:rFonts w:ascii="Times New Roman" w:hAnsi="Times New Roman" w:cs="Times New Roman"/>
          <w:sz w:val="16"/>
          <w:szCs w:val="16"/>
        </w:rPr>
        <w:footnoteRef/>
      </w:r>
      <w:r w:rsidRPr="004E41CD">
        <w:rPr>
          <w:rFonts w:ascii="Times New Roman" w:hAnsi="Times New Roman" w:cs="Times New Roman"/>
          <w:sz w:val="16"/>
          <w:szCs w:val="16"/>
        </w:rPr>
        <w:t xml:space="preserve"> Для прикладу, лікарська таємниця відноситься до таємної інформації.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938912"/>
      <w:docPartObj>
        <w:docPartGallery w:val="Page Numbers (Top of Page)"/>
        <w:docPartUnique/>
      </w:docPartObj>
    </w:sdtPr>
    <w:sdtEndPr/>
    <w:sdtContent>
      <w:p w:rsidR="00016583" w:rsidRDefault="00DC26E3">
        <w:pPr>
          <w:pStyle w:val="a3"/>
          <w:jc w:val="center"/>
        </w:pPr>
        <w:r>
          <w:fldChar w:fldCharType="begin"/>
        </w:r>
        <w:r>
          <w:instrText>PAGE   \* MERGEFORMAT</w:instrText>
        </w:r>
        <w:r>
          <w:fldChar w:fldCharType="separate"/>
        </w:r>
        <w:r w:rsidR="00CF7B87">
          <w:rPr>
            <w:noProof/>
          </w:rPr>
          <w:t>5</w:t>
        </w:r>
        <w:r>
          <w:fldChar w:fldCharType="end"/>
        </w:r>
      </w:p>
    </w:sdtContent>
  </w:sdt>
  <w:p w:rsidR="00016583" w:rsidRDefault="009B445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D208F"/>
    <w:multiLevelType w:val="hybridMultilevel"/>
    <w:tmpl w:val="C1824796"/>
    <w:lvl w:ilvl="0" w:tplc="4CBAF16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656B06F9"/>
    <w:multiLevelType w:val="hybridMultilevel"/>
    <w:tmpl w:val="BC826E8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273"/>
    <w:rsid w:val="000021F2"/>
    <w:rsid w:val="000329E0"/>
    <w:rsid w:val="000728B0"/>
    <w:rsid w:val="00117F3B"/>
    <w:rsid w:val="00125980"/>
    <w:rsid w:val="00143585"/>
    <w:rsid w:val="00173075"/>
    <w:rsid w:val="00182C5C"/>
    <w:rsid w:val="001A461B"/>
    <w:rsid w:val="001C0D57"/>
    <w:rsid w:val="001C4BCF"/>
    <w:rsid w:val="001C64ED"/>
    <w:rsid w:val="00223226"/>
    <w:rsid w:val="00230BA0"/>
    <w:rsid w:val="00276041"/>
    <w:rsid w:val="002817F6"/>
    <w:rsid w:val="00290AD0"/>
    <w:rsid w:val="002A6A4C"/>
    <w:rsid w:val="002C1434"/>
    <w:rsid w:val="00333542"/>
    <w:rsid w:val="00351F29"/>
    <w:rsid w:val="003660CD"/>
    <w:rsid w:val="00376638"/>
    <w:rsid w:val="00385AFA"/>
    <w:rsid w:val="003B35B0"/>
    <w:rsid w:val="003B51F8"/>
    <w:rsid w:val="003D1AB2"/>
    <w:rsid w:val="003E67AE"/>
    <w:rsid w:val="003F1C10"/>
    <w:rsid w:val="003F689D"/>
    <w:rsid w:val="00442CC6"/>
    <w:rsid w:val="00462C62"/>
    <w:rsid w:val="00473306"/>
    <w:rsid w:val="004831DF"/>
    <w:rsid w:val="00492ECE"/>
    <w:rsid w:val="004A3971"/>
    <w:rsid w:val="004E41CD"/>
    <w:rsid w:val="004F6B84"/>
    <w:rsid w:val="00500062"/>
    <w:rsid w:val="00506E7A"/>
    <w:rsid w:val="00516D13"/>
    <w:rsid w:val="00585E74"/>
    <w:rsid w:val="0058655C"/>
    <w:rsid w:val="00596DF9"/>
    <w:rsid w:val="005A5CB6"/>
    <w:rsid w:val="005B2354"/>
    <w:rsid w:val="00611011"/>
    <w:rsid w:val="00636E18"/>
    <w:rsid w:val="00637233"/>
    <w:rsid w:val="00666F2E"/>
    <w:rsid w:val="006917DF"/>
    <w:rsid w:val="006B270C"/>
    <w:rsid w:val="006E2367"/>
    <w:rsid w:val="00747ECA"/>
    <w:rsid w:val="0078407B"/>
    <w:rsid w:val="00791D80"/>
    <w:rsid w:val="007D11D8"/>
    <w:rsid w:val="0082610D"/>
    <w:rsid w:val="00831355"/>
    <w:rsid w:val="0087079F"/>
    <w:rsid w:val="008929B6"/>
    <w:rsid w:val="00895E1D"/>
    <w:rsid w:val="008B5D95"/>
    <w:rsid w:val="008E4017"/>
    <w:rsid w:val="008E5C96"/>
    <w:rsid w:val="008F1991"/>
    <w:rsid w:val="00912478"/>
    <w:rsid w:val="009A5C04"/>
    <w:rsid w:val="009B0212"/>
    <w:rsid w:val="009B4452"/>
    <w:rsid w:val="009F0D53"/>
    <w:rsid w:val="00A00A4F"/>
    <w:rsid w:val="00A27577"/>
    <w:rsid w:val="00A6313D"/>
    <w:rsid w:val="00A65273"/>
    <w:rsid w:val="00AB1E76"/>
    <w:rsid w:val="00AE2B58"/>
    <w:rsid w:val="00B02B9A"/>
    <w:rsid w:val="00B16F09"/>
    <w:rsid w:val="00B3718A"/>
    <w:rsid w:val="00B4192F"/>
    <w:rsid w:val="00B57B46"/>
    <w:rsid w:val="00B74BF5"/>
    <w:rsid w:val="00B81CA4"/>
    <w:rsid w:val="00B967C8"/>
    <w:rsid w:val="00BA7188"/>
    <w:rsid w:val="00C118C2"/>
    <w:rsid w:val="00C15FDB"/>
    <w:rsid w:val="00C21A4B"/>
    <w:rsid w:val="00C25E35"/>
    <w:rsid w:val="00C51AA1"/>
    <w:rsid w:val="00C717F9"/>
    <w:rsid w:val="00C87787"/>
    <w:rsid w:val="00CB5405"/>
    <w:rsid w:val="00CC099E"/>
    <w:rsid w:val="00CE1FE5"/>
    <w:rsid w:val="00CF7B87"/>
    <w:rsid w:val="00D105F8"/>
    <w:rsid w:val="00D707DF"/>
    <w:rsid w:val="00D937BF"/>
    <w:rsid w:val="00DB6A7B"/>
    <w:rsid w:val="00DC26E3"/>
    <w:rsid w:val="00DE285B"/>
    <w:rsid w:val="00E4604A"/>
    <w:rsid w:val="00E7671C"/>
    <w:rsid w:val="00E966A1"/>
    <w:rsid w:val="00EF2C1E"/>
    <w:rsid w:val="00EF7DC0"/>
    <w:rsid w:val="00F06837"/>
    <w:rsid w:val="00F33B91"/>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291B0"/>
  <w15:chartTrackingRefBased/>
  <w15:docId w15:val="{E3D9A362-94F8-4D36-9E4C-4CB767DA3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273"/>
    <w:pPr>
      <w:jc w:val="left"/>
    </w:pPr>
    <w:rPr>
      <w:rFonts w:eastAsia="Times New Roman"/>
      <w:sz w:val="20"/>
      <w:szCs w:val="20"/>
      <w:lang w:eastAsia="ru-RU"/>
    </w:rPr>
  </w:style>
  <w:style w:type="paragraph" w:styleId="3">
    <w:name w:val="heading 3"/>
    <w:basedOn w:val="a"/>
    <w:link w:val="30"/>
    <w:uiPriority w:val="99"/>
    <w:qFormat/>
    <w:rsid w:val="00A65273"/>
    <w:pPr>
      <w:spacing w:before="100" w:beforeAutospacing="1" w:after="100" w:afterAutospacing="1"/>
      <w:outlineLvl w:val="2"/>
    </w:pPr>
    <w:rPr>
      <w:rFonts w:eastAsia="Calibri"/>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A65273"/>
    <w:rPr>
      <w:rFonts w:eastAsia="Calibri"/>
      <w:b/>
      <w:bCs/>
      <w:sz w:val="27"/>
      <w:szCs w:val="27"/>
      <w:lang w:eastAsia="uk-UA"/>
    </w:rPr>
  </w:style>
  <w:style w:type="paragraph" w:styleId="a3">
    <w:name w:val="header"/>
    <w:basedOn w:val="a"/>
    <w:link w:val="a4"/>
    <w:uiPriority w:val="99"/>
    <w:rsid w:val="00A65273"/>
    <w:pPr>
      <w:tabs>
        <w:tab w:val="center" w:pos="4677"/>
        <w:tab w:val="right" w:pos="9355"/>
      </w:tabs>
    </w:pPr>
    <w:rPr>
      <w:rFonts w:ascii="Calibri" w:eastAsia="Calibri" w:hAnsi="Calibri"/>
      <w:sz w:val="22"/>
      <w:szCs w:val="22"/>
      <w:lang w:eastAsia="en-US"/>
    </w:rPr>
  </w:style>
  <w:style w:type="character" w:customStyle="1" w:styleId="a4">
    <w:name w:val="Верхній колонтитул Знак"/>
    <w:basedOn w:val="a0"/>
    <w:link w:val="a3"/>
    <w:uiPriority w:val="99"/>
    <w:rsid w:val="00A65273"/>
    <w:rPr>
      <w:rFonts w:ascii="Calibri" w:eastAsia="Calibri" w:hAnsi="Calibri"/>
      <w:sz w:val="22"/>
      <w:szCs w:val="22"/>
    </w:rPr>
  </w:style>
  <w:style w:type="table" w:styleId="a5">
    <w:name w:val="Table Grid"/>
    <w:basedOn w:val="a1"/>
    <w:uiPriority w:val="99"/>
    <w:rsid w:val="00A65273"/>
    <w:pPr>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інтервалів1"/>
    <w:uiPriority w:val="99"/>
    <w:rsid w:val="00A65273"/>
    <w:pPr>
      <w:jc w:val="left"/>
    </w:pPr>
    <w:rPr>
      <w:rFonts w:ascii="Calibri" w:eastAsia="Calibri" w:hAnsi="Calibri"/>
      <w:sz w:val="22"/>
      <w:szCs w:val="22"/>
    </w:rPr>
  </w:style>
  <w:style w:type="character" w:customStyle="1" w:styleId="rvts0">
    <w:name w:val="rvts0"/>
    <w:basedOn w:val="a0"/>
    <w:rsid w:val="00A65273"/>
  </w:style>
  <w:style w:type="character" w:customStyle="1" w:styleId="st42">
    <w:name w:val="st42"/>
    <w:uiPriority w:val="99"/>
    <w:rsid w:val="00A65273"/>
    <w:rPr>
      <w:rFonts w:ascii="Times New Roman" w:hAnsi="Times New Roman" w:cs="Times New Roman"/>
      <w:color w:val="000000"/>
    </w:rPr>
  </w:style>
  <w:style w:type="character" w:customStyle="1" w:styleId="rvts23">
    <w:name w:val="rvts23"/>
    <w:basedOn w:val="a0"/>
    <w:rsid w:val="00A65273"/>
  </w:style>
  <w:style w:type="character" w:customStyle="1" w:styleId="rvts44">
    <w:name w:val="rvts44"/>
    <w:basedOn w:val="a0"/>
    <w:rsid w:val="00A65273"/>
  </w:style>
  <w:style w:type="paragraph" w:styleId="a6">
    <w:name w:val="No Spacing"/>
    <w:uiPriority w:val="1"/>
    <w:qFormat/>
    <w:rsid w:val="005A5CB6"/>
    <w:pPr>
      <w:jc w:val="left"/>
    </w:pPr>
    <w:rPr>
      <w:rFonts w:ascii="Calibri" w:eastAsia="Calibri" w:hAnsi="Calibri"/>
      <w:sz w:val="22"/>
      <w:szCs w:val="22"/>
    </w:rPr>
  </w:style>
  <w:style w:type="paragraph" w:styleId="a7">
    <w:name w:val="footnote text"/>
    <w:basedOn w:val="a"/>
    <w:link w:val="a8"/>
    <w:uiPriority w:val="99"/>
    <w:semiHidden/>
    <w:unhideWhenUsed/>
    <w:rsid w:val="005A5CB6"/>
    <w:rPr>
      <w:rFonts w:asciiTheme="minorHAnsi" w:eastAsiaTheme="minorHAnsi" w:hAnsiTheme="minorHAnsi" w:cstheme="minorBidi"/>
      <w:lang w:eastAsia="en-US"/>
    </w:rPr>
  </w:style>
  <w:style w:type="character" w:customStyle="1" w:styleId="a8">
    <w:name w:val="Текст виноски Знак"/>
    <w:basedOn w:val="a0"/>
    <w:link w:val="a7"/>
    <w:uiPriority w:val="99"/>
    <w:semiHidden/>
    <w:rsid w:val="005A5CB6"/>
    <w:rPr>
      <w:rFonts w:asciiTheme="minorHAnsi" w:hAnsiTheme="minorHAnsi" w:cstheme="minorBidi"/>
      <w:sz w:val="20"/>
      <w:szCs w:val="20"/>
    </w:rPr>
  </w:style>
  <w:style w:type="character" w:styleId="a9">
    <w:name w:val="footnote reference"/>
    <w:basedOn w:val="a0"/>
    <w:uiPriority w:val="99"/>
    <w:semiHidden/>
    <w:unhideWhenUsed/>
    <w:rsid w:val="005A5CB6"/>
    <w:rPr>
      <w:vertAlign w:val="superscript"/>
    </w:rPr>
  </w:style>
  <w:style w:type="character" w:styleId="aa">
    <w:name w:val="Hyperlink"/>
    <w:basedOn w:val="a0"/>
    <w:uiPriority w:val="99"/>
    <w:semiHidden/>
    <w:unhideWhenUsed/>
    <w:rsid w:val="003B35B0"/>
    <w:rPr>
      <w:color w:val="0000FF"/>
      <w:u w:val="single"/>
    </w:rPr>
  </w:style>
  <w:style w:type="paragraph" w:styleId="ab">
    <w:name w:val="List Paragraph"/>
    <w:basedOn w:val="a"/>
    <w:uiPriority w:val="34"/>
    <w:qFormat/>
    <w:rsid w:val="000728B0"/>
    <w:pPr>
      <w:ind w:left="720"/>
      <w:contextualSpacing/>
      <w:jc w:val="both"/>
    </w:pPr>
    <w:rPr>
      <w:rFonts w:eastAsiaTheme="minorHAnsi"/>
      <w:sz w:val="28"/>
      <w:szCs w:val="28"/>
      <w:lang w:eastAsia="en-US"/>
    </w:rPr>
  </w:style>
  <w:style w:type="paragraph" w:customStyle="1" w:styleId="rvps2">
    <w:name w:val="rvps2"/>
    <w:basedOn w:val="a"/>
    <w:rsid w:val="000728B0"/>
    <w:pPr>
      <w:spacing w:before="100" w:beforeAutospacing="1" w:after="100" w:afterAutospacing="1"/>
    </w:pPr>
    <w:rPr>
      <w:sz w:val="24"/>
      <w:szCs w:val="24"/>
      <w:lang w:eastAsia="uk-UA"/>
    </w:rPr>
  </w:style>
  <w:style w:type="paragraph" w:styleId="ac">
    <w:name w:val="Balloon Text"/>
    <w:basedOn w:val="a"/>
    <w:link w:val="ad"/>
    <w:uiPriority w:val="99"/>
    <w:semiHidden/>
    <w:unhideWhenUsed/>
    <w:rsid w:val="00376638"/>
    <w:rPr>
      <w:rFonts w:ascii="Segoe UI" w:hAnsi="Segoe UI" w:cs="Segoe UI"/>
      <w:sz w:val="18"/>
      <w:szCs w:val="18"/>
    </w:rPr>
  </w:style>
  <w:style w:type="character" w:customStyle="1" w:styleId="ad">
    <w:name w:val="Текст у виносці Знак"/>
    <w:basedOn w:val="a0"/>
    <w:link w:val="ac"/>
    <w:uiPriority w:val="99"/>
    <w:semiHidden/>
    <w:rsid w:val="00376638"/>
    <w:rPr>
      <w:rFonts w:ascii="Segoe UI" w:eastAsia="Times New Roman" w:hAnsi="Segoe UI" w:cs="Segoe UI"/>
      <w:sz w:val="18"/>
      <w:szCs w:val="18"/>
      <w:lang w:eastAsia="ru-RU"/>
    </w:rPr>
  </w:style>
  <w:style w:type="paragraph" w:customStyle="1" w:styleId="ParagraphStyle">
    <w:name w:val="Paragraph Style"/>
    <w:uiPriority w:val="99"/>
    <w:rsid w:val="00376638"/>
    <w:pPr>
      <w:autoSpaceDE w:val="0"/>
      <w:autoSpaceDN w:val="0"/>
      <w:adjustRightInd w:val="0"/>
      <w:jc w:val="left"/>
    </w:pPr>
    <w:rPr>
      <w:rFonts w:ascii="Courier New" w:eastAsia="Calibri" w:hAnsi="Courier New" w:cs="Courier New"/>
      <w:sz w:val="24"/>
      <w:szCs w:val="24"/>
      <w:lang w:val="ru-RU"/>
    </w:rPr>
  </w:style>
  <w:style w:type="character" w:customStyle="1" w:styleId="FontStyle">
    <w:name w:val="Font Style"/>
    <w:uiPriority w:val="99"/>
    <w:rsid w:val="00376638"/>
    <w:rPr>
      <w:color w:val="00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zakon.rada.gov.ua/rada/show/1861-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5</Pages>
  <Words>8304</Words>
  <Characters>4734</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4</cp:revision>
  <cp:lastPrinted>2021-12-01T14:53:00Z</cp:lastPrinted>
  <dcterms:created xsi:type="dcterms:W3CDTF">2021-12-01T13:00:00Z</dcterms:created>
  <dcterms:modified xsi:type="dcterms:W3CDTF">2021-12-01T15:47:00Z</dcterms:modified>
</cp:coreProperties>
</file>