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09B8" w:rsidRPr="002915C6" w:rsidRDefault="008009B8" w:rsidP="002915C6">
      <w:pPr>
        <w:pStyle w:val="a3"/>
        <w:tabs>
          <w:tab w:val="clear" w:pos="4677"/>
          <w:tab w:val="clear" w:pos="9355"/>
        </w:tabs>
        <w:ind w:left="397" w:firstLine="397"/>
        <w:jc w:val="center"/>
        <w:rPr>
          <w:color w:val="002060"/>
          <w:sz w:val="32"/>
          <w:szCs w:val="32"/>
          <w:lang w:val="uk-UA"/>
        </w:rPr>
      </w:pPr>
      <w:r w:rsidRPr="002915C6">
        <w:rPr>
          <w:noProof/>
          <w:lang w:val="uk-UA" w:eastAsia="uk-UA"/>
        </w:rPr>
        <w:drawing>
          <wp:anchor distT="360045" distB="0" distL="114300" distR="114300" simplePos="0" relativeHeight="251659264" behindDoc="0" locked="0" layoutInCell="1" allowOverlap="1" wp14:anchorId="46270FA2" wp14:editId="638F8C45">
            <wp:simplePos x="0" y="0"/>
            <wp:positionH relativeFrom="margin">
              <wp:posOffset>3110230</wp:posOffset>
            </wp:positionH>
            <wp:positionV relativeFrom="paragraph">
              <wp:posOffset>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009B8" w:rsidRPr="002915C6" w:rsidRDefault="008009B8" w:rsidP="002915C6">
      <w:pPr>
        <w:pStyle w:val="a3"/>
        <w:tabs>
          <w:tab w:val="clear" w:pos="4677"/>
          <w:tab w:val="clear" w:pos="9355"/>
        </w:tabs>
        <w:ind w:left="397" w:firstLine="397"/>
        <w:jc w:val="center"/>
        <w:rPr>
          <w:color w:val="002060"/>
          <w:sz w:val="32"/>
          <w:szCs w:val="32"/>
          <w:lang w:val="uk-UA"/>
        </w:rPr>
      </w:pPr>
    </w:p>
    <w:p w:rsidR="008009B8" w:rsidRPr="002915C6" w:rsidRDefault="008009B8" w:rsidP="002915C6">
      <w:pPr>
        <w:pStyle w:val="a3"/>
        <w:tabs>
          <w:tab w:val="clear" w:pos="4677"/>
          <w:tab w:val="clear" w:pos="9355"/>
        </w:tabs>
        <w:ind w:left="397" w:firstLine="397"/>
        <w:jc w:val="center"/>
        <w:rPr>
          <w:color w:val="002060"/>
          <w:sz w:val="32"/>
          <w:szCs w:val="32"/>
          <w:lang w:val="uk-UA"/>
        </w:rPr>
      </w:pPr>
    </w:p>
    <w:p w:rsidR="008009B8" w:rsidRPr="002915C6" w:rsidRDefault="008009B8" w:rsidP="002915C6">
      <w:pPr>
        <w:pStyle w:val="a3"/>
        <w:tabs>
          <w:tab w:val="clear" w:pos="4677"/>
          <w:tab w:val="clear" w:pos="9355"/>
        </w:tabs>
        <w:ind w:left="397" w:firstLine="397"/>
        <w:jc w:val="center"/>
        <w:rPr>
          <w:color w:val="1829A8"/>
          <w:spacing w:val="20"/>
          <w:sz w:val="34"/>
          <w:szCs w:val="34"/>
          <w:lang w:val="uk-UA"/>
        </w:rPr>
      </w:pPr>
      <w:r w:rsidRPr="002915C6">
        <w:rPr>
          <w:color w:val="1829A8"/>
          <w:spacing w:val="20"/>
          <w:sz w:val="34"/>
          <w:szCs w:val="34"/>
          <w:lang w:val="uk-UA"/>
        </w:rPr>
        <w:t>ВЕРХОВНА РАДА УКРАЇНИ</w:t>
      </w:r>
    </w:p>
    <w:p w:rsidR="008009B8" w:rsidRPr="002915C6" w:rsidRDefault="008009B8" w:rsidP="002915C6">
      <w:pPr>
        <w:pStyle w:val="a3"/>
        <w:tabs>
          <w:tab w:val="clear" w:pos="4677"/>
          <w:tab w:val="clear" w:pos="9355"/>
        </w:tabs>
        <w:ind w:left="397" w:firstLine="397"/>
        <w:jc w:val="center"/>
        <w:rPr>
          <w:b/>
          <w:color w:val="1829A8"/>
          <w:spacing w:val="20"/>
          <w:sz w:val="24"/>
          <w:szCs w:val="24"/>
          <w:lang w:val="uk-UA"/>
        </w:rPr>
      </w:pPr>
      <w:r w:rsidRPr="002915C6">
        <w:rPr>
          <w:b/>
          <w:color w:val="1829A8"/>
          <w:spacing w:val="20"/>
          <w:sz w:val="24"/>
          <w:szCs w:val="24"/>
          <w:lang w:val="uk-UA"/>
        </w:rPr>
        <w:t>Комітет з питань інтеграції України до Європейського Союзу</w:t>
      </w:r>
    </w:p>
    <w:p w:rsidR="008009B8" w:rsidRPr="002915C6" w:rsidRDefault="008009B8" w:rsidP="002915C6">
      <w:pPr>
        <w:ind w:left="397" w:firstLine="397"/>
        <w:jc w:val="center"/>
        <w:rPr>
          <w:lang w:val="uk-UA"/>
        </w:rPr>
      </w:pPr>
      <w:r w:rsidRPr="002915C6">
        <w:rPr>
          <w:color w:val="1829A8"/>
          <w:sz w:val="20"/>
          <w:szCs w:val="20"/>
          <w:lang w:val="uk-UA"/>
        </w:rPr>
        <w:t xml:space="preserve">01008, м.Київ-8, вул. М. Грушевського, 5, </w:t>
      </w:r>
      <w:proofErr w:type="spellStart"/>
      <w:r w:rsidRPr="002915C6">
        <w:rPr>
          <w:color w:val="1829A8"/>
          <w:sz w:val="20"/>
          <w:szCs w:val="20"/>
          <w:lang w:val="uk-UA"/>
        </w:rPr>
        <w:t>тел</w:t>
      </w:r>
      <w:proofErr w:type="spellEnd"/>
      <w:r w:rsidRPr="002915C6">
        <w:rPr>
          <w:color w:val="1829A8"/>
          <w:sz w:val="20"/>
          <w:szCs w:val="20"/>
          <w:lang w:val="uk-UA"/>
        </w:rPr>
        <w:t>.: 255-34-42, факс: 255-33-13, e-</w:t>
      </w:r>
      <w:proofErr w:type="spellStart"/>
      <w:r w:rsidRPr="002915C6">
        <w:rPr>
          <w:color w:val="1829A8"/>
          <w:sz w:val="20"/>
          <w:szCs w:val="20"/>
          <w:lang w:val="uk-UA"/>
        </w:rPr>
        <w:t>mail</w:t>
      </w:r>
      <w:proofErr w:type="spellEnd"/>
      <w:r w:rsidRPr="002915C6">
        <w:rPr>
          <w:color w:val="1829A8"/>
          <w:sz w:val="20"/>
          <w:szCs w:val="20"/>
          <w:lang w:val="uk-UA"/>
        </w:rPr>
        <w:t>: comeuroint@v.rada.gov.ua</w:t>
      </w:r>
    </w:p>
    <w:p w:rsidR="008009B8" w:rsidRPr="002915C6" w:rsidRDefault="008009B8" w:rsidP="002915C6">
      <w:pPr>
        <w:ind w:left="397" w:firstLine="397"/>
        <w:jc w:val="center"/>
        <w:rPr>
          <w:lang w:val="uk-UA"/>
        </w:rPr>
      </w:pPr>
    </w:p>
    <w:p w:rsidR="008009B8" w:rsidRPr="002915C6" w:rsidRDefault="008009B8" w:rsidP="002915C6">
      <w:pPr>
        <w:ind w:left="397" w:firstLine="397"/>
        <w:jc w:val="center"/>
        <w:rPr>
          <w:b/>
          <w:lang w:val="uk-UA"/>
        </w:rPr>
      </w:pPr>
      <w:r w:rsidRPr="002915C6">
        <w:rPr>
          <w:b/>
          <w:lang w:val="uk-UA"/>
        </w:rPr>
        <w:t>ВИСНОВОК</w:t>
      </w:r>
    </w:p>
    <w:p w:rsidR="008009B8" w:rsidRPr="002915C6" w:rsidRDefault="008009B8" w:rsidP="002915C6">
      <w:pPr>
        <w:ind w:left="397" w:firstLine="397"/>
        <w:jc w:val="center"/>
        <w:rPr>
          <w:b/>
          <w:lang w:val="uk-UA"/>
        </w:rPr>
      </w:pPr>
      <w:r w:rsidRPr="002915C6">
        <w:rPr>
          <w:b/>
          <w:lang w:val="uk-UA"/>
        </w:rPr>
        <w:t xml:space="preserve">щодо </w:t>
      </w:r>
      <w:proofErr w:type="spellStart"/>
      <w:r w:rsidRPr="002915C6">
        <w:rPr>
          <w:b/>
          <w:lang w:val="uk-UA"/>
        </w:rPr>
        <w:t>проєкту</w:t>
      </w:r>
      <w:proofErr w:type="spellEnd"/>
      <w:r w:rsidRPr="002915C6">
        <w:rPr>
          <w:b/>
          <w:lang w:val="uk-UA"/>
        </w:rPr>
        <w:t xml:space="preserve"> Закону України</w:t>
      </w:r>
    </w:p>
    <w:p w:rsidR="00076DE7" w:rsidRPr="00076DE7" w:rsidRDefault="00076DE7" w:rsidP="00076DE7">
      <w:pPr>
        <w:ind w:left="397" w:firstLine="397"/>
        <w:jc w:val="center"/>
        <w:outlineLvl w:val="2"/>
        <w:rPr>
          <w:rFonts w:eastAsia="MS Mincho"/>
          <w:bCs/>
          <w:lang w:val="uk-UA" w:eastAsia="ja-JP"/>
        </w:rPr>
      </w:pPr>
      <w:r w:rsidRPr="00076DE7">
        <w:rPr>
          <w:rFonts w:eastAsia="MS Mincho"/>
          <w:bCs/>
          <w:lang w:val="uk-UA" w:eastAsia="ja-JP"/>
        </w:rPr>
        <w:t xml:space="preserve">«Про внесення змін до Податкового кодексу України щодо звільнення від оподаткування податком на додану вартість операцій з постачання україномовних </w:t>
      </w:r>
      <w:proofErr w:type="spellStart"/>
      <w:r w:rsidRPr="00076DE7">
        <w:rPr>
          <w:rFonts w:eastAsia="MS Mincho"/>
          <w:bCs/>
          <w:lang w:val="uk-UA" w:eastAsia="ja-JP"/>
        </w:rPr>
        <w:t>аудіокниг</w:t>
      </w:r>
      <w:proofErr w:type="spellEnd"/>
      <w:r w:rsidRPr="00076DE7">
        <w:rPr>
          <w:rFonts w:eastAsia="MS Mincho"/>
          <w:bCs/>
          <w:lang w:val="uk-UA" w:eastAsia="ja-JP"/>
        </w:rPr>
        <w:t xml:space="preserve">» </w:t>
      </w:r>
    </w:p>
    <w:p w:rsidR="00076DE7" w:rsidRPr="00076DE7" w:rsidRDefault="00076DE7" w:rsidP="00076DE7">
      <w:pPr>
        <w:spacing w:before="100" w:beforeAutospacing="1" w:after="100" w:afterAutospacing="1"/>
        <w:ind w:left="397" w:firstLine="397"/>
        <w:jc w:val="center"/>
        <w:outlineLvl w:val="2"/>
        <w:rPr>
          <w:rFonts w:eastAsia="MS Mincho"/>
          <w:b/>
          <w:bCs/>
          <w:lang w:val="uk-UA" w:eastAsia="ja-JP"/>
        </w:rPr>
      </w:pPr>
      <w:r w:rsidRPr="00076DE7">
        <w:rPr>
          <w:rFonts w:eastAsia="MS Mincho"/>
          <w:bCs/>
          <w:lang w:val="uk-UA" w:eastAsia="ja-JP"/>
        </w:rPr>
        <w:t xml:space="preserve">(реєстр. 5876 від 30.08.2021, </w:t>
      </w:r>
      <w:proofErr w:type="spellStart"/>
      <w:r w:rsidRPr="00076DE7">
        <w:rPr>
          <w:rFonts w:eastAsia="MS Mincho"/>
          <w:bCs/>
          <w:lang w:val="uk-UA" w:eastAsia="ja-JP"/>
        </w:rPr>
        <w:t>н.д</w:t>
      </w:r>
      <w:proofErr w:type="spellEnd"/>
      <w:r w:rsidRPr="00076DE7">
        <w:rPr>
          <w:rFonts w:eastAsia="MS Mincho"/>
          <w:bCs/>
          <w:lang w:val="uk-UA" w:eastAsia="ja-JP"/>
        </w:rPr>
        <w:t xml:space="preserve">. </w:t>
      </w:r>
      <w:proofErr w:type="spellStart"/>
      <w:r w:rsidRPr="00076DE7">
        <w:rPr>
          <w:rFonts w:eastAsia="MS Mincho"/>
          <w:bCs/>
          <w:lang w:val="uk-UA" w:eastAsia="ja-JP"/>
        </w:rPr>
        <w:t>Я.Железняк</w:t>
      </w:r>
      <w:proofErr w:type="spellEnd"/>
      <w:r w:rsidRPr="00076DE7">
        <w:rPr>
          <w:rFonts w:eastAsia="MS Mincho"/>
          <w:bCs/>
          <w:lang w:val="uk-UA" w:eastAsia="ja-JP"/>
        </w:rPr>
        <w:t xml:space="preserve"> та </w:t>
      </w:r>
      <w:proofErr w:type="spellStart"/>
      <w:r w:rsidRPr="00076DE7">
        <w:rPr>
          <w:rFonts w:eastAsia="MS Mincho"/>
          <w:bCs/>
          <w:lang w:val="uk-UA" w:eastAsia="ja-JP"/>
        </w:rPr>
        <w:t>інш</w:t>
      </w:r>
      <w:proofErr w:type="spellEnd"/>
      <w:r w:rsidRPr="00076DE7">
        <w:rPr>
          <w:rFonts w:eastAsia="MS Mincho"/>
          <w:bCs/>
          <w:lang w:val="uk-UA" w:eastAsia="ja-JP"/>
        </w:rPr>
        <w:t>.)</w:t>
      </w:r>
    </w:p>
    <w:p w:rsidR="00076DE7" w:rsidRPr="00076DE7" w:rsidRDefault="00076DE7" w:rsidP="00076DE7">
      <w:pPr>
        <w:numPr>
          <w:ilvl w:val="0"/>
          <w:numId w:val="2"/>
        </w:numPr>
        <w:ind w:firstLine="491"/>
        <w:jc w:val="both"/>
        <w:rPr>
          <w:b/>
          <w:i/>
          <w:lang w:val="uk-UA"/>
        </w:rPr>
      </w:pPr>
      <w:r w:rsidRPr="00076DE7">
        <w:rPr>
          <w:b/>
          <w:i/>
          <w:lang w:val="uk-UA"/>
        </w:rPr>
        <w:t xml:space="preserve">Загальна характеристика </w:t>
      </w:r>
      <w:proofErr w:type="spellStart"/>
      <w:r w:rsidRPr="00076DE7">
        <w:rPr>
          <w:b/>
          <w:i/>
          <w:lang w:val="uk-UA"/>
        </w:rPr>
        <w:t>законопроєкту</w:t>
      </w:r>
      <w:proofErr w:type="spellEnd"/>
      <w:r w:rsidRPr="00076DE7">
        <w:rPr>
          <w:b/>
          <w:i/>
          <w:lang w:val="uk-UA"/>
        </w:rPr>
        <w:t>.</w:t>
      </w:r>
    </w:p>
    <w:p w:rsidR="00076DE7" w:rsidRPr="00076DE7" w:rsidRDefault="00076DE7" w:rsidP="00076DE7">
      <w:pPr>
        <w:tabs>
          <w:tab w:val="num" w:pos="720"/>
        </w:tabs>
        <w:ind w:left="426" w:firstLine="709"/>
        <w:jc w:val="both"/>
        <w:rPr>
          <w:lang w:val="uk-UA"/>
        </w:rPr>
      </w:pPr>
      <w:r w:rsidRPr="00076DE7">
        <w:rPr>
          <w:lang w:val="uk-UA"/>
        </w:rPr>
        <w:t xml:space="preserve">Метою законопроекту є: усунення законодавчої прогалини щодо податкової пільги для україномовних </w:t>
      </w:r>
      <w:proofErr w:type="spellStart"/>
      <w:r w:rsidRPr="00076DE7">
        <w:rPr>
          <w:lang w:val="uk-UA"/>
        </w:rPr>
        <w:t>аудіокниг</w:t>
      </w:r>
      <w:proofErr w:type="spellEnd"/>
      <w:r w:rsidRPr="00076DE7">
        <w:rPr>
          <w:lang w:val="uk-UA"/>
        </w:rPr>
        <w:t xml:space="preserve">; стимулювання розвитку сфери україномовних </w:t>
      </w:r>
      <w:proofErr w:type="spellStart"/>
      <w:r w:rsidRPr="00076DE7">
        <w:rPr>
          <w:lang w:val="uk-UA"/>
        </w:rPr>
        <w:t>аудіокниг</w:t>
      </w:r>
      <w:proofErr w:type="spellEnd"/>
      <w:r w:rsidRPr="00076DE7">
        <w:rPr>
          <w:lang w:val="uk-UA"/>
        </w:rPr>
        <w:t>; підтримка поширення української мови.</w:t>
      </w:r>
    </w:p>
    <w:p w:rsidR="00076DE7" w:rsidRPr="00076DE7" w:rsidRDefault="00076DE7" w:rsidP="00076DE7">
      <w:pPr>
        <w:ind w:left="397" w:firstLine="397"/>
        <w:rPr>
          <w:lang w:val="uk-UA"/>
        </w:rPr>
      </w:pPr>
    </w:p>
    <w:p w:rsidR="00076DE7" w:rsidRPr="00076DE7" w:rsidRDefault="00076DE7" w:rsidP="00076DE7">
      <w:pPr>
        <w:numPr>
          <w:ilvl w:val="0"/>
          <w:numId w:val="2"/>
        </w:numPr>
        <w:ind w:left="397" w:firstLine="397"/>
        <w:jc w:val="both"/>
        <w:rPr>
          <w:i/>
          <w:lang w:val="uk-UA"/>
        </w:rPr>
      </w:pPr>
      <w:r w:rsidRPr="00076DE7">
        <w:rPr>
          <w:b/>
          <w:i/>
          <w:lang w:val="uk-UA"/>
        </w:rPr>
        <w:t xml:space="preserve">Належність </w:t>
      </w:r>
      <w:proofErr w:type="spellStart"/>
      <w:r w:rsidRPr="00076DE7">
        <w:rPr>
          <w:b/>
          <w:i/>
          <w:lang w:val="uk-UA"/>
        </w:rPr>
        <w:t>законопроєкту</w:t>
      </w:r>
      <w:proofErr w:type="spellEnd"/>
      <w:r w:rsidRPr="00076DE7">
        <w:rPr>
          <w:b/>
          <w:i/>
          <w:lang w:val="uk-UA"/>
        </w:rPr>
        <w:t xml:space="preserve"> до сфери </w:t>
      </w:r>
      <w:proofErr w:type="spellStart"/>
      <w:r w:rsidRPr="00076DE7">
        <w:rPr>
          <w:b/>
          <w:i/>
          <w:lang w:val="uk-UA"/>
        </w:rPr>
        <w:t>acquis</w:t>
      </w:r>
      <w:proofErr w:type="spellEnd"/>
      <w:r w:rsidRPr="00076DE7">
        <w:rPr>
          <w:b/>
          <w:i/>
          <w:lang w:val="uk-UA"/>
        </w:rPr>
        <w:t xml:space="preserve"> ЄС.</w:t>
      </w:r>
    </w:p>
    <w:p w:rsidR="00076DE7" w:rsidRPr="00076DE7" w:rsidRDefault="00076DE7" w:rsidP="00076DE7">
      <w:pPr>
        <w:ind w:left="397" w:firstLine="397"/>
        <w:jc w:val="both"/>
        <w:rPr>
          <w:lang w:val="uk-UA"/>
        </w:rPr>
      </w:pPr>
      <w:proofErr w:type="spellStart"/>
      <w:r w:rsidRPr="00076DE7">
        <w:rPr>
          <w:lang w:val="uk-UA"/>
        </w:rPr>
        <w:t>Законопроєкт</w:t>
      </w:r>
      <w:proofErr w:type="spellEnd"/>
      <w:r w:rsidRPr="00076DE7">
        <w:rPr>
          <w:lang w:val="uk-UA"/>
        </w:rPr>
        <w:t xml:space="preserve"> за предметом правового регулювання охоплюється міжнародно-правовими зобов’язаннями України у сфері європейської інтеграції, передбаченими у рамках Глави 4 «Оподаткування» Розділу ІV «Торгівля та питання пов’язані з торгівлею»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 зокрема Директивою Ради ЄС № 2006/112/ЄС від 28.11.2006 року про спільну систему податку на додану вартість (далі – Директива 2006/112/ЄС) (імплементація Директиви 2006/112/ЄС передбачена Додатком XXVIII до Угоди про асоціацію, а також пунктами 1490-1522 Плану заходів з виконання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затвердженого постановою Кабінету Міністрів України від 25 жовтня 2017 р. № 1106 (далі – План заходів з виконання Угоди про асоціацію).</w:t>
      </w:r>
    </w:p>
    <w:p w:rsidR="00076DE7" w:rsidRPr="00076DE7" w:rsidRDefault="00076DE7" w:rsidP="00076DE7">
      <w:pPr>
        <w:ind w:left="397" w:firstLine="397"/>
        <w:jc w:val="both"/>
        <w:rPr>
          <w:lang w:val="uk-UA"/>
        </w:rPr>
      </w:pPr>
    </w:p>
    <w:p w:rsidR="00076DE7" w:rsidRPr="00076DE7" w:rsidRDefault="00076DE7" w:rsidP="00076DE7">
      <w:pPr>
        <w:numPr>
          <w:ilvl w:val="0"/>
          <w:numId w:val="2"/>
        </w:numPr>
        <w:ind w:left="397" w:firstLine="397"/>
        <w:jc w:val="both"/>
        <w:rPr>
          <w:b/>
          <w:i/>
          <w:lang w:val="uk-UA"/>
        </w:rPr>
      </w:pPr>
      <w:r w:rsidRPr="00076DE7">
        <w:rPr>
          <w:b/>
          <w:i/>
          <w:lang w:val="uk-UA"/>
        </w:rPr>
        <w:t xml:space="preserve">Відповідність </w:t>
      </w:r>
      <w:proofErr w:type="spellStart"/>
      <w:r w:rsidRPr="00076DE7">
        <w:rPr>
          <w:b/>
          <w:i/>
          <w:lang w:val="uk-UA"/>
        </w:rPr>
        <w:t>законопроєкту</w:t>
      </w:r>
      <w:proofErr w:type="spellEnd"/>
      <w:r w:rsidRPr="00076DE7">
        <w:rPr>
          <w:b/>
          <w:i/>
          <w:lang w:val="uk-UA"/>
        </w:rPr>
        <w:t xml:space="preserve"> праву ЄС та зобов’язанням України в рамках СОТ.</w:t>
      </w:r>
      <w:r w:rsidRPr="00076DE7">
        <w:rPr>
          <w:b/>
          <w:i/>
          <w:lang w:val="uk-UA"/>
        </w:rPr>
        <w:tab/>
      </w:r>
    </w:p>
    <w:p w:rsidR="00076DE7" w:rsidRPr="00076DE7" w:rsidRDefault="00076DE7" w:rsidP="00076DE7">
      <w:pPr>
        <w:spacing w:after="120"/>
        <w:ind w:left="397" w:firstLine="397"/>
        <w:jc w:val="both"/>
        <w:rPr>
          <w:lang w:val="uk-UA"/>
        </w:rPr>
      </w:pPr>
      <w:r w:rsidRPr="00076DE7">
        <w:rPr>
          <w:lang w:val="uk-UA"/>
        </w:rPr>
        <w:t xml:space="preserve">Законопроектом запропоновано </w:t>
      </w:r>
      <w:proofErr w:type="spellStart"/>
      <w:r w:rsidRPr="00076DE7">
        <w:rPr>
          <w:lang w:val="uk-UA"/>
        </w:rPr>
        <w:t>внести</w:t>
      </w:r>
      <w:proofErr w:type="spellEnd"/>
      <w:r w:rsidRPr="00076DE7">
        <w:rPr>
          <w:lang w:val="uk-UA"/>
        </w:rPr>
        <w:t xml:space="preserve"> зміни до Податкового кодексу України доповнивши статтю 197 (Операції, звільнені від оподаткування) новим підпунктом, яким перелік операцій, звільнених від оподаткування податком на додану вартість, доповнити операціями з постачання, підготовлення (літературне, наукове і технічне редагування, коригування тощо), виготовлення, </w:t>
      </w:r>
      <w:r w:rsidRPr="00076DE7">
        <w:rPr>
          <w:lang w:val="uk-UA"/>
        </w:rPr>
        <w:lastRenderedPageBreak/>
        <w:t xml:space="preserve">розповсюдження </w:t>
      </w:r>
      <w:proofErr w:type="spellStart"/>
      <w:r w:rsidRPr="00076DE7">
        <w:rPr>
          <w:lang w:val="uk-UA"/>
        </w:rPr>
        <w:t>аудіокниг</w:t>
      </w:r>
      <w:proofErr w:type="spellEnd"/>
      <w:r w:rsidRPr="00076DE7">
        <w:rPr>
          <w:lang w:val="uk-UA"/>
        </w:rPr>
        <w:t>, озвучених українською мовою, крім видань еротичного характеру.</w:t>
      </w:r>
    </w:p>
    <w:p w:rsidR="00076DE7" w:rsidRPr="00076DE7" w:rsidRDefault="00076DE7" w:rsidP="00076DE7">
      <w:pPr>
        <w:spacing w:after="120"/>
        <w:ind w:left="397" w:firstLine="397"/>
        <w:jc w:val="both"/>
        <w:rPr>
          <w:lang w:val="uk-UA"/>
        </w:rPr>
      </w:pPr>
      <w:r w:rsidRPr="00076DE7">
        <w:rPr>
          <w:lang w:val="uk-UA"/>
        </w:rPr>
        <w:t xml:space="preserve">Вказане звільнення поширюватиметься також на електронні послуги із постачання електронних примірників (електронно-цифрової інформації) та/або надання доступу до </w:t>
      </w:r>
      <w:proofErr w:type="spellStart"/>
      <w:r w:rsidRPr="00076DE7">
        <w:rPr>
          <w:lang w:val="uk-UA"/>
        </w:rPr>
        <w:t>аудіокниг</w:t>
      </w:r>
      <w:proofErr w:type="spellEnd"/>
      <w:r w:rsidRPr="00076DE7">
        <w:rPr>
          <w:lang w:val="uk-UA"/>
        </w:rPr>
        <w:t>, озвучених українською мовою, крім видань еротичного характеру.</w:t>
      </w:r>
    </w:p>
    <w:p w:rsidR="00076DE7" w:rsidRPr="00076DE7" w:rsidRDefault="00076DE7" w:rsidP="00076DE7">
      <w:pPr>
        <w:spacing w:after="120"/>
        <w:ind w:left="397" w:firstLine="397"/>
        <w:jc w:val="both"/>
        <w:rPr>
          <w:lang w:val="uk-UA"/>
        </w:rPr>
      </w:pPr>
      <w:r w:rsidRPr="00076DE7">
        <w:rPr>
          <w:lang w:val="uk-UA"/>
        </w:rPr>
        <w:t>Додаток XXVIII до Глави 4 «Оподаткування» розділу V «Економічне і галузеве співробітництво» передбачає, що Україна зобов’язується поступово наблизити своє законодавство до законодавства ЄС щодо застосування Директиви Ради ЄС №2006/112/ЄС від 28.11.2006 року про спільну систему податку на додану вартість протягом 5 років з дати набрання чинності цією Угодою, за винятком статей 5-8, 20, 33, 40-42, 79, 100-101, 123-130, 140-142, 145, 146 (1(«B»), 147, 155, 164-166, 170-171, 175, 203, 205, 209, 210, 212, 219, 238-240, 245, 254, 258, 274-280, 293-294, 370-395, 396-400, 402-410, 411-413 (положення, що застосовуються до держав-членів ЄС); статей 281-294, 295- 305, 306-325, 326-332, 333-343, 348-349, 358-369 (щодо спеціальних податкових режимів).</w:t>
      </w:r>
    </w:p>
    <w:p w:rsidR="00076DE7" w:rsidRPr="00076DE7" w:rsidRDefault="00076DE7" w:rsidP="00076DE7">
      <w:pPr>
        <w:ind w:left="397" w:firstLine="397"/>
        <w:jc w:val="both"/>
        <w:rPr>
          <w:lang w:val="uk-UA"/>
        </w:rPr>
      </w:pPr>
      <w:r w:rsidRPr="00076DE7">
        <w:rPr>
          <w:lang w:val="uk-UA"/>
        </w:rPr>
        <w:t xml:space="preserve">Варто зазначити, що Директивою № 2006/112/ЄС не передбачено звільнення від оподаткування податком на додану вартість операцій з постачання, підготовлення (літературне, наукове і технічне редагування, коригування тощо), виготовлення, розповсюдження </w:t>
      </w:r>
      <w:proofErr w:type="spellStart"/>
      <w:r w:rsidRPr="00076DE7">
        <w:rPr>
          <w:lang w:val="uk-UA"/>
        </w:rPr>
        <w:t>аудіокниг</w:t>
      </w:r>
      <w:proofErr w:type="spellEnd"/>
      <w:r w:rsidRPr="00076DE7">
        <w:rPr>
          <w:lang w:val="uk-UA"/>
        </w:rPr>
        <w:t xml:space="preserve"> та електронних послуг із постачання електронних примірників (електронно-цифрової інформації) та/або надання доступу до </w:t>
      </w:r>
      <w:proofErr w:type="spellStart"/>
      <w:r w:rsidRPr="00076DE7">
        <w:rPr>
          <w:lang w:val="uk-UA"/>
        </w:rPr>
        <w:t>аудіокниг</w:t>
      </w:r>
      <w:proofErr w:type="spellEnd"/>
      <w:r w:rsidRPr="00076DE7">
        <w:rPr>
          <w:lang w:val="uk-UA"/>
        </w:rPr>
        <w:t>.</w:t>
      </w:r>
    </w:p>
    <w:p w:rsidR="00076DE7" w:rsidRPr="00076DE7" w:rsidRDefault="00076DE7" w:rsidP="00076DE7">
      <w:pPr>
        <w:ind w:left="397" w:firstLine="397"/>
        <w:jc w:val="both"/>
        <w:rPr>
          <w:lang w:val="uk-UA"/>
        </w:rPr>
      </w:pPr>
      <w:r w:rsidRPr="00076DE7">
        <w:rPr>
          <w:lang w:val="uk-UA"/>
        </w:rPr>
        <w:t>Відповідно до частини першої статті 99 держави-члени також можуть застосовувати одну або дві знижені ставки для конкретних товарів або послуг, зазначених у Додатку III «Перелік постачання товарів і надання послуг, до яких можуть застосовуватися знижені ставки» (далі Додаток ІІІ) до цієї Директиви. Така знижена ставка не може бути нижче 5% та, відповідно до Додатку ІІІ Директиви, поширюється на постачання, в тому числі позичання бібліотеками, книжок (в тому числі, брошур, листівок та подібних друкованих матеріалів, дитячих картинок, малюнків або книжок для розмальовування, музичних творів у друкованій чи рукописній формі, мап, гідрографічних або подібних схем), газет і періодичних видань, окрім матеріалів, повністю або переважно призначених для реклами, тощо.</w:t>
      </w:r>
    </w:p>
    <w:p w:rsidR="00076DE7" w:rsidRPr="00076DE7" w:rsidRDefault="00076DE7" w:rsidP="00076DE7">
      <w:pPr>
        <w:ind w:left="397" w:firstLine="397"/>
        <w:jc w:val="both"/>
        <w:rPr>
          <w:lang w:val="uk-UA"/>
        </w:rPr>
      </w:pPr>
      <w:r w:rsidRPr="00076DE7">
        <w:rPr>
          <w:lang w:val="uk-UA"/>
        </w:rPr>
        <w:t>Директивою 2009/47/ЄС</w:t>
      </w:r>
      <w:r w:rsidRPr="00076DE7">
        <w:rPr>
          <w:vertAlign w:val="superscript"/>
          <w:lang w:val="uk-UA"/>
        </w:rPr>
        <w:footnoteReference w:id="1"/>
      </w:r>
      <w:r w:rsidRPr="00076DE7">
        <w:rPr>
          <w:lang w:val="uk-UA"/>
        </w:rPr>
        <w:t xml:space="preserve"> та Директивою 2018/1713</w:t>
      </w:r>
      <w:r w:rsidRPr="00076DE7">
        <w:rPr>
          <w:vertAlign w:val="superscript"/>
          <w:lang w:val="uk-UA"/>
        </w:rPr>
        <w:footnoteReference w:id="2"/>
      </w:r>
      <w:r w:rsidRPr="00076DE7">
        <w:rPr>
          <w:lang w:val="uk-UA"/>
        </w:rPr>
        <w:t>, з метою надання можливості застосування знижених ставок або пільг (у обмеженій кількості конкретних ситуацій), відповідно, з соціальних причин або причин здоров’я, а також для уточнення та адаптації до технічного прогресу частини, що стосується книг,  до  Додатку III до Директиви № 2006/112/ЄС від 5 травня 2009 року були внесені відповідні зміни.</w:t>
      </w:r>
    </w:p>
    <w:p w:rsidR="00076DE7" w:rsidRPr="00076DE7" w:rsidRDefault="00076DE7" w:rsidP="00076DE7">
      <w:pPr>
        <w:ind w:left="397" w:firstLine="397"/>
        <w:jc w:val="both"/>
        <w:rPr>
          <w:lang w:val="uk-UA"/>
        </w:rPr>
      </w:pPr>
      <w:r w:rsidRPr="00076DE7">
        <w:rPr>
          <w:lang w:val="uk-UA"/>
        </w:rPr>
        <w:t xml:space="preserve">Зазначеними змінами передбачається, що держави-члени можуть застосовувати знижені ставки податку на додану вартість на операції з </w:t>
      </w:r>
      <w:r w:rsidRPr="00076DE7">
        <w:rPr>
          <w:lang w:val="uk-UA"/>
        </w:rPr>
        <w:lastRenderedPageBreak/>
        <w:t xml:space="preserve">постачання, включаючи, в тому числі бібліотекам, книг, газет та періодичних видань, у фізичній або електронній формі, або в обох (включаючи брошури, листівки та подібні друковані матеріали, дитячі книжки з картинками для малювання чи розмальовки, друковані чи рукописні музичні публікації, карти, гідрографічні чи подібні діаграми), крім публікацій, які повністю або в основному призначені для реклами, та крім публікацій, які повністю або в основному складаються з </w:t>
      </w:r>
      <w:proofErr w:type="spellStart"/>
      <w:r w:rsidRPr="00076DE7">
        <w:rPr>
          <w:lang w:val="uk-UA"/>
        </w:rPr>
        <w:t>відеоконтенту</w:t>
      </w:r>
      <w:proofErr w:type="spellEnd"/>
      <w:r w:rsidRPr="00076DE7">
        <w:rPr>
          <w:lang w:val="uk-UA"/>
        </w:rPr>
        <w:t xml:space="preserve"> або аудіо-музики.</w:t>
      </w:r>
    </w:p>
    <w:p w:rsidR="00076DE7" w:rsidRPr="00076DE7" w:rsidRDefault="00076DE7" w:rsidP="00076DE7">
      <w:pPr>
        <w:spacing w:after="120"/>
        <w:ind w:left="397" w:firstLine="397"/>
        <w:jc w:val="both"/>
        <w:rPr>
          <w:lang w:val="uk-UA"/>
        </w:rPr>
      </w:pPr>
      <w:r w:rsidRPr="00076DE7">
        <w:rPr>
          <w:lang w:val="uk-UA"/>
        </w:rPr>
        <w:t>Згідно з частиною першою статті 3 Закону України «Про державну допомогу суб’єктам господарювання» (далі - Закон), що був прийнятий на виконання міжнародних зобов’язань України, зокрема, відповідно до Угоди, дія цього Закону поширюється на будь-яку підтримку суб’єктів господарювання надавачами державної допомоги за рахунок ресурсів держави чи місцевих ресурсів для виробництва товарів або провадження окремих видів господарської діяльності, крім випадків, передбачених частиною другою цієї статті.</w:t>
      </w:r>
    </w:p>
    <w:p w:rsidR="00076DE7" w:rsidRPr="00076DE7" w:rsidRDefault="00076DE7" w:rsidP="00076DE7">
      <w:pPr>
        <w:spacing w:after="120"/>
        <w:ind w:left="397" w:firstLine="397"/>
        <w:jc w:val="both"/>
        <w:rPr>
          <w:lang w:val="uk-UA"/>
        </w:rPr>
      </w:pPr>
      <w:r w:rsidRPr="00076DE7">
        <w:rPr>
          <w:lang w:val="uk-UA"/>
        </w:rPr>
        <w:t>Підписанням Угоди Україна прийняла на себе зобов’язання, згідно зі статтею 264 зазначеної Угоди, застосовувати правила функціонування державної допомоги, визначені статтями 262, 263 (3) або 263 (4) цієї Угоди, та використовувати відповідну судову практику Суду Європейського Союзу, а також вторинне законодавство, рамкові положення, керівні принципи та інші чинні адміністративні акти Союзу.</w:t>
      </w:r>
    </w:p>
    <w:p w:rsidR="00076DE7" w:rsidRPr="00076DE7" w:rsidRDefault="00076DE7" w:rsidP="00076DE7">
      <w:pPr>
        <w:ind w:left="397" w:firstLine="397"/>
        <w:jc w:val="both"/>
        <w:rPr>
          <w:lang w:val="uk-UA"/>
        </w:rPr>
      </w:pPr>
      <w:r w:rsidRPr="00076DE7">
        <w:rPr>
          <w:lang w:val="uk-UA"/>
        </w:rPr>
        <w:t>Частиною першою статті 262 Угоди про асоціацію встановлено, що будь-яка допомога, надана Україною або країнами-членами Європейського Союзу з використанням державних ресурсів, що спотворює або загрожує спотворити конкуренцію шляхом надання переваг окремим підприємствам або виробництву окремих товарів, є несумісною з належним функціонуванням цієї Угоди в тій мірі, в якій вона може впливати на торгівлю між Сторонами.</w:t>
      </w:r>
    </w:p>
    <w:p w:rsidR="00076DE7" w:rsidRPr="00076DE7" w:rsidRDefault="00076DE7" w:rsidP="00076DE7">
      <w:pPr>
        <w:ind w:left="397" w:firstLine="397"/>
        <w:jc w:val="both"/>
        <w:rPr>
          <w:lang w:val="uk-UA"/>
        </w:rPr>
      </w:pPr>
      <w:r w:rsidRPr="00076DE7">
        <w:rPr>
          <w:lang w:val="uk-UA"/>
        </w:rPr>
        <w:t xml:space="preserve">Таким чином, державна підтримка передбачена нормами законопроекту, що надається для </w:t>
      </w:r>
      <w:proofErr w:type="spellStart"/>
      <w:r w:rsidRPr="00076DE7">
        <w:rPr>
          <w:lang w:val="uk-UA"/>
        </w:rPr>
        <w:t>аудіокниг</w:t>
      </w:r>
      <w:proofErr w:type="spellEnd"/>
      <w:r w:rsidRPr="00076DE7">
        <w:rPr>
          <w:lang w:val="uk-UA"/>
        </w:rPr>
        <w:t>, за рахунок ресурсів держави чи місцевих ресурсів, що спотворює або загрожує спотворенням економічної конкуренції, створюючи переваги для виробництва окремих видів товарів чи провадження окремих видів господарської діяльності, підлягає оцінці на предмет допустимості щодо її впливу на конкуренцію, а отже, виникає зобов’язання щодо отримання висновку Антимонопольного комітету України.</w:t>
      </w:r>
    </w:p>
    <w:p w:rsidR="00076DE7" w:rsidRPr="00076DE7" w:rsidRDefault="00076DE7" w:rsidP="00076DE7">
      <w:pPr>
        <w:ind w:left="397" w:firstLine="397"/>
        <w:jc w:val="both"/>
        <w:rPr>
          <w:lang w:val="uk-UA"/>
        </w:rPr>
      </w:pPr>
    </w:p>
    <w:p w:rsidR="00076DE7" w:rsidRPr="00076DE7" w:rsidRDefault="00076DE7" w:rsidP="00076DE7">
      <w:pPr>
        <w:ind w:left="397"/>
        <w:jc w:val="both"/>
        <w:rPr>
          <w:i/>
          <w:lang w:val="uk-UA"/>
        </w:rPr>
      </w:pPr>
      <w:r w:rsidRPr="00076DE7">
        <w:rPr>
          <w:rFonts w:eastAsia="Arial Unicode MS" w:cs="Arial Unicode MS"/>
          <w:b/>
          <w:bCs/>
          <w:i/>
          <w:color w:val="000000"/>
          <w:u w:color="000000"/>
          <w:lang w:val="uk-UA" w:eastAsia="uk-UA"/>
          <w14:textOutline w14:w="12700" w14:cap="flat" w14:cmpd="sng" w14:algn="ctr">
            <w14:noFill/>
            <w14:prstDash w14:val="solid"/>
            <w14:miter w14:lim="100000"/>
          </w14:textOutline>
        </w:rPr>
        <w:t>4.   </w:t>
      </w:r>
      <w:proofErr w:type="spellStart"/>
      <w:r w:rsidRPr="00076DE7">
        <w:rPr>
          <w:rFonts w:eastAsia="Arial Unicode MS" w:cs="Arial Unicode MS"/>
          <w:b/>
          <w:bCs/>
          <w:i/>
          <w:color w:val="000000"/>
          <w:u w:color="000000"/>
          <w:lang w:val="ru-RU" w:eastAsia="uk-UA"/>
          <w14:textOutline w14:w="12700" w14:cap="flat" w14:cmpd="sng" w14:algn="ctr">
            <w14:noFill/>
            <w14:prstDash w14:val="solid"/>
            <w14:miter w14:lim="100000"/>
          </w14:textOutline>
        </w:rPr>
        <w:t>Висновок</w:t>
      </w:r>
      <w:proofErr w:type="spellEnd"/>
      <w:r w:rsidRPr="00076DE7">
        <w:rPr>
          <w:rFonts w:eastAsia="Arial Unicode MS" w:cs="Arial Unicode MS"/>
          <w:b/>
          <w:bCs/>
          <w:i/>
          <w:color w:val="000000"/>
          <w:u w:color="000000"/>
          <w:lang w:val="ru-RU" w:eastAsia="uk-UA"/>
          <w14:textOutline w14:w="12700" w14:cap="flat" w14:cmpd="sng" w14:algn="ctr">
            <w14:noFill/>
            <w14:prstDash w14:val="solid"/>
            <w14:miter w14:lim="100000"/>
          </w14:textOutline>
        </w:rPr>
        <w:t xml:space="preserve"> </w:t>
      </w:r>
      <w:proofErr w:type="spellStart"/>
      <w:r w:rsidRPr="00076DE7">
        <w:rPr>
          <w:rFonts w:eastAsia="Arial Unicode MS" w:cs="Arial Unicode MS"/>
          <w:b/>
          <w:bCs/>
          <w:i/>
          <w:color w:val="000000"/>
          <w:u w:color="000000"/>
          <w:lang w:val="ru-RU" w:eastAsia="uk-UA"/>
          <w14:textOutline w14:w="12700" w14:cap="flat" w14:cmpd="sng" w14:algn="ctr">
            <w14:noFill/>
            <w14:prstDash w14:val="solid"/>
            <w14:miter w14:lim="100000"/>
          </w14:textOutline>
        </w:rPr>
        <w:t>Комітету</w:t>
      </w:r>
      <w:proofErr w:type="spellEnd"/>
      <w:r w:rsidRPr="00076DE7">
        <w:rPr>
          <w:rFonts w:eastAsia="Arial Unicode MS" w:cs="Arial Unicode MS"/>
          <w:b/>
          <w:bCs/>
          <w:i/>
          <w:color w:val="000000"/>
          <w:u w:color="000000"/>
          <w:lang w:val="ru-RU" w:eastAsia="uk-UA"/>
          <w14:textOutline w14:w="12700" w14:cap="flat" w14:cmpd="sng" w14:algn="ctr">
            <w14:noFill/>
            <w14:prstDash w14:val="solid"/>
            <w14:miter w14:lim="100000"/>
          </w14:textOutline>
        </w:rPr>
        <w:t xml:space="preserve"> з питань інтеграції </w:t>
      </w:r>
      <w:proofErr w:type="spellStart"/>
      <w:r w:rsidRPr="00076DE7">
        <w:rPr>
          <w:rFonts w:eastAsia="Arial Unicode MS" w:cs="Arial Unicode MS"/>
          <w:b/>
          <w:bCs/>
          <w:i/>
          <w:color w:val="000000"/>
          <w:u w:color="000000"/>
          <w:lang w:val="ru-RU" w:eastAsia="uk-UA"/>
          <w14:textOutline w14:w="12700" w14:cap="flat" w14:cmpd="sng" w14:algn="ctr">
            <w14:noFill/>
            <w14:prstDash w14:val="solid"/>
            <w14:miter w14:lim="100000"/>
          </w14:textOutline>
        </w:rPr>
        <w:t>України</w:t>
      </w:r>
      <w:proofErr w:type="spellEnd"/>
      <w:r w:rsidRPr="00076DE7">
        <w:rPr>
          <w:rFonts w:eastAsia="Arial Unicode MS" w:cs="Arial Unicode MS"/>
          <w:b/>
          <w:bCs/>
          <w:i/>
          <w:color w:val="000000"/>
          <w:u w:color="000000"/>
          <w:lang w:val="ru-RU" w:eastAsia="uk-UA"/>
          <w14:textOutline w14:w="12700" w14:cap="flat" w14:cmpd="sng" w14:algn="ctr">
            <w14:noFill/>
            <w14:prstDash w14:val="solid"/>
            <w14:miter w14:lim="100000"/>
          </w14:textOutline>
        </w:rPr>
        <w:t xml:space="preserve"> до </w:t>
      </w:r>
      <w:proofErr w:type="spellStart"/>
      <w:r w:rsidRPr="00076DE7">
        <w:rPr>
          <w:rFonts w:eastAsia="Arial Unicode MS" w:cs="Arial Unicode MS"/>
          <w:b/>
          <w:bCs/>
          <w:i/>
          <w:color w:val="000000"/>
          <w:u w:color="000000"/>
          <w:lang w:val="ru-RU" w:eastAsia="uk-UA"/>
          <w14:textOutline w14:w="12700" w14:cap="flat" w14:cmpd="sng" w14:algn="ctr">
            <w14:noFill/>
            <w14:prstDash w14:val="solid"/>
            <w14:miter w14:lim="100000"/>
          </w14:textOutline>
        </w:rPr>
        <w:t>Європейського</w:t>
      </w:r>
      <w:proofErr w:type="spellEnd"/>
      <w:r w:rsidRPr="00076DE7">
        <w:rPr>
          <w:rFonts w:eastAsia="Arial Unicode MS" w:cs="Arial Unicode MS"/>
          <w:b/>
          <w:bCs/>
          <w:i/>
          <w:color w:val="000000"/>
          <w:u w:color="000000"/>
          <w:lang w:val="ru-RU" w:eastAsia="uk-UA"/>
          <w14:textOutline w14:w="12700" w14:cap="flat" w14:cmpd="sng" w14:algn="ctr">
            <w14:noFill/>
            <w14:prstDash w14:val="solid"/>
            <w14:miter w14:lim="100000"/>
          </w14:textOutline>
        </w:rPr>
        <w:t xml:space="preserve"> </w:t>
      </w:r>
      <w:bookmarkStart w:id="0" w:name="_GoBack"/>
      <w:r w:rsidRPr="00076DE7">
        <w:rPr>
          <w:rFonts w:eastAsia="Arial Unicode MS" w:cs="Arial Unicode MS"/>
          <w:b/>
          <w:bCs/>
          <w:i/>
          <w:color w:val="000000"/>
          <w:u w:color="000000"/>
          <w:lang w:val="ru-RU" w:eastAsia="uk-UA"/>
          <w14:textOutline w14:w="12700" w14:cap="flat" w14:cmpd="sng" w14:algn="ctr">
            <w14:noFill/>
            <w14:prstDash w14:val="solid"/>
            <w14:miter w14:lim="100000"/>
          </w14:textOutline>
        </w:rPr>
        <w:t xml:space="preserve">Союзу. </w:t>
      </w:r>
      <w:bookmarkEnd w:id="0"/>
    </w:p>
    <w:p w:rsidR="00076DE7" w:rsidRPr="00076DE7" w:rsidRDefault="00076DE7" w:rsidP="00076DE7">
      <w:pPr>
        <w:ind w:left="397" w:firstLine="397"/>
        <w:jc w:val="both"/>
        <w:rPr>
          <w:lang w:val="uk-UA"/>
        </w:rPr>
      </w:pPr>
    </w:p>
    <w:p w:rsidR="00076DE7" w:rsidRPr="00076DE7" w:rsidRDefault="00076DE7" w:rsidP="00076DE7">
      <w:pPr>
        <w:ind w:left="397" w:firstLine="397"/>
        <w:jc w:val="both"/>
        <w:rPr>
          <w:b/>
          <w:color w:val="000000"/>
          <w:lang w:val="uk-UA"/>
        </w:rPr>
      </w:pPr>
      <w:r w:rsidRPr="00076DE7">
        <w:rPr>
          <w:lang w:val="uk-UA"/>
        </w:rPr>
        <w:t xml:space="preserve">Виходячи з вищезазначеного, положення </w:t>
      </w:r>
      <w:proofErr w:type="spellStart"/>
      <w:r w:rsidRPr="00076DE7">
        <w:rPr>
          <w:lang w:val="uk-UA"/>
        </w:rPr>
        <w:t>проєкту</w:t>
      </w:r>
      <w:proofErr w:type="spellEnd"/>
      <w:r w:rsidRPr="00076DE7">
        <w:rPr>
          <w:lang w:val="uk-UA"/>
        </w:rPr>
        <w:t xml:space="preserve"> закону щодо звільнення зазначених у законопроекті операцій від оподаткування податком на додану вартість</w:t>
      </w:r>
      <w:r w:rsidRPr="00076DE7">
        <w:rPr>
          <w:b/>
          <w:lang w:val="uk-UA"/>
        </w:rPr>
        <w:t xml:space="preserve"> </w:t>
      </w:r>
      <w:proofErr w:type="spellStart"/>
      <w:r w:rsidRPr="00076DE7">
        <w:rPr>
          <w:b/>
          <w:lang w:val="ru-RU"/>
        </w:rPr>
        <w:t>суперечать</w:t>
      </w:r>
      <w:proofErr w:type="spellEnd"/>
      <w:r w:rsidRPr="00076DE7">
        <w:rPr>
          <w:b/>
          <w:lang w:val="uk-UA"/>
        </w:rPr>
        <w:t xml:space="preserve"> </w:t>
      </w:r>
      <w:proofErr w:type="spellStart"/>
      <w:r w:rsidRPr="00076DE7">
        <w:rPr>
          <w:lang w:val="uk-UA"/>
        </w:rPr>
        <w:t>acquis</w:t>
      </w:r>
      <w:proofErr w:type="spellEnd"/>
      <w:r w:rsidRPr="00076DE7">
        <w:rPr>
          <w:lang w:val="uk-UA"/>
        </w:rPr>
        <w:t xml:space="preserve"> ЄС, а також </w:t>
      </w:r>
      <w:r w:rsidRPr="00076DE7">
        <w:rPr>
          <w:b/>
          <w:lang w:val="uk-UA"/>
        </w:rPr>
        <w:t>потребують висновку</w:t>
      </w:r>
      <w:r w:rsidRPr="00076DE7">
        <w:rPr>
          <w:lang w:val="uk-UA"/>
        </w:rPr>
        <w:t xml:space="preserve"> Антимонопольного комітету України щодо впливу на конкурентне середовище.</w:t>
      </w:r>
    </w:p>
    <w:p w:rsidR="008009B8" w:rsidRPr="002915C6" w:rsidRDefault="008009B8" w:rsidP="002915C6">
      <w:pPr>
        <w:pStyle w:val="a7"/>
        <w:spacing w:after="0"/>
        <w:ind w:left="397" w:firstLine="397"/>
        <w:jc w:val="both"/>
        <w:rPr>
          <w:b/>
          <w:color w:val="000000" w:themeColor="text1"/>
          <w:lang w:val="uk-UA"/>
        </w:rPr>
      </w:pPr>
    </w:p>
    <w:p w:rsidR="003B04A8" w:rsidRPr="002915C6" w:rsidRDefault="00CB7ED0" w:rsidP="002915C6">
      <w:pPr>
        <w:rPr>
          <w:b/>
          <w:lang w:val="uk-UA"/>
        </w:rPr>
      </w:pPr>
    </w:p>
    <w:sectPr w:rsidR="003B04A8" w:rsidRPr="002915C6" w:rsidSect="00D74655">
      <w:footerReference w:type="default" r:id="rId8"/>
      <w:pgSz w:w="11906" w:h="16838"/>
      <w:pgMar w:top="720" w:right="851" w:bottom="1276"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7ED0" w:rsidRDefault="00CB7ED0">
      <w:r>
        <w:separator/>
      </w:r>
    </w:p>
  </w:endnote>
  <w:endnote w:type="continuationSeparator" w:id="0">
    <w:p w:rsidR="00CB7ED0" w:rsidRDefault="00CB7E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DFC" w:rsidRDefault="00CB7ED0" w:rsidP="00D67DFC">
    <w:pPr>
      <w:pStyle w:val="a5"/>
    </w:pPr>
  </w:p>
  <w:p w:rsidR="00D67DFC" w:rsidRPr="00D67DFC" w:rsidRDefault="00CB7ED0" w:rsidP="00D67DF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7ED0" w:rsidRDefault="00CB7ED0">
      <w:r>
        <w:separator/>
      </w:r>
    </w:p>
  </w:footnote>
  <w:footnote w:type="continuationSeparator" w:id="0">
    <w:p w:rsidR="00CB7ED0" w:rsidRDefault="00CB7ED0">
      <w:r>
        <w:continuationSeparator/>
      </w:r>
    </w:p>
  </w:footnote>
  <w:footnote w:id="1">
    <w:p w:rsidR="00076DE7" w:rsidRPr="003D427B" w:rsidRDefault="00076DE7" w:rsidP="00076DE7">
      <w:pPr>
        <w:pStyle w:val="a9"/>
      </w:pPr>
      <w:r>
        <w:rPr>
          <w:rStyle w:val="ab"/>
        </w:rPr>
        <w:footnoteRef/>
      </w:r>
      <w:r w:rsidRPr="003D427B">
        <w:t xml:space="preserve"> </w:t>
      </w:r>
      <w:hyperlink r:id="rId1" w:history="1">
        <w:r w:rsidRPr="00554EE0">
          <w:rPr>
            <w:rStyle w:val="ac"/>
          </w:rPr>
          <w:t>https://eur-lex.europa.eu/legal-content/EN/ALL/?uri=celex%3A32009L0047</w:t>
        </w:r>
      </w:hyperlink>
    </w:p>
  </w:footnote>
  <w:footnote w:id="2">
    <w:p w:rsidR="00076DE7" w:rsidRPr="00F625D3" w:rsidRDefault="00076DE7" w:rsidP="00076DE7">
      <w:pPr>
        <w:pStyle w:val="a9"/>
      </w:pPr>
      <w:r>
        <w:rPr>
          <w:rStyle w:val="ab"/>
        </w:rPr>
        <w:footnoteRef/>
      </w:r>
      <w:r w:rsidRPr="00F625D3">
        <w:t xml:space="preserve"> </w:t>
      </w:r>
      <w:hyperlink r:id="rId2" w:history="1">
        <w:r w:rsidRPr="00554EE0">
          <w:rPr>
            <w:rStyle w:val="ac"/>
          </w:rPr>
          <w:t>https://eur-lex.europa.eu/legal-content/EN/TXT/?uri=celex%3A32018L1713</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A082E"/>
    <w:multiLevelType w:val="hybridMultilevel"/>
    <w:tmpl w:val="885CD330"/>
    <w:lvl w:ilvl="0" w:tplc="900A5680">
      <w:start w:val="1"/>
      <w:numFmt w:val="decimal"/>
      <w:lvlText w:val="%1."/>
      <w:lvlJc w:val="left"/>
      <w:pPr>
        <w:tabs>
          <w:tab w:val="num" w:pos="360"/>
        </w:tabs>
        <w:ind w:left="360" w:hanging="360"/>
      </w:pPr>
      <w:rPr>
        <w:rFonts w:hint="default"/>
        <w:b/>
        <w:i/>
      </w:rPr>
    </w:lvl>
    <w:lvl w:ilvl="1" w:tplc="04190001">
      <w:start w:val="1"/>
      <w:numFmt w:val="bullet"/>
      <w:lvlText w:val=""/>
      <w:lvlJc w:val="left"/>
      <w:pPr>
        <w:tabs>
          <w:tab w:val="num" w:pos="1080"/>
        </w:tabs>
        <w:ind w:left="1080" w:hanging="360"/>
      </w:pPr>
      <w:rPr>
        <w:rFonts w:ascii="Symbol" w:hAnsi="Symbol" w:hint="default"/>
        <w:b/>
        <w:i/>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 w15:restartNumberingAfterBreak="0">
    <w:nsid w:val="55392963"/>
    <w:multiLevelType w:val="hybridMultilevel"/>
    <w:tmpl w:val="42DA31FE"/>
    <w:lvl w:ilvl="0" w:tplc="900A5680">
      <w:start w:val="1"/>
      <w:numFmt w:val="decimal"/>
      <w:lvlText w:val="%1."/>
      <w:lvlJc w:val="left"/>
      <w:pPr>
        <w:tabs>
          <w:tab w:val="num" w:pos="360"/>
        </w:tabs>
        <w:ind w:left="360" w:hanging="360"/>
      </w:pPr>
      <w:rPr>
        <w:rFonts w:hint="default"/>
        <w:b/>
        <w:i/>
      </w:rPr>
    </w:lvl>
    <w:lvl w:ilvl="1" w:tplc="04190001">
      <w:start w:val="1"/>
      <w:numFmt w:val="bullet"/>
      <w:lvlText w:val=""/>
      <w:lvlJc w:val="left"/>
      <w:pPr>
        <w:tabs>
          <w:tab w:val="num" w:pos="1080"/>
        </w:tabs>
        <w:ind w:left="1080" w:hanging="360"/>
      </w:pPr>
      <w:rPr>
        <w:rFonts w:ascii="Symbol" w:hAnsi="Symbol" w:hint="default"/>
        <w:b/>
        <w:i/>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09B8"/>
    <w:rsid w:val="00030295"/>
    <w:rsid w:val="00055A6D"/>
    <w:rsid w:val="00076DE7"/>
    <w:rsid w:val="000E75EA"/>
    <w:rsid w:val="00172647"/>
    <w:rsid w:val="00217105"/>
    <w:rsid w:val="0029028E"/>
    <w:rsid w:val="002915C6"/>
    <w:rsid w:val="003036AC"/>
    <w:rsid w:val="0036425B"/>
    <w:rsid w:val="003A0A49"/>
    <w:rsid w:val="003B3BB3"/>
    <w:rsid w:val="003D427B"/>
    <w:rsid w:val="003E4169"/>
    <w:rsid w:val="004151D4"/>
    <w:rsid w:val="0048670C"/>
    <w:rsid w:val="004C39C9"/>
    <w:rsid w:val="005451AC"/>
    <w:rsid w:val="00571721"/>
    <w:rsid w:val="005975DD"/>
    <w:rsid w:val="005C36BD"/>
    <w:rsid w:val="00604041"/>
    <w:rsid w:val="006636EB"/>
    <w:rsid w:val="006F1896"/>
    <w:rsid w:val="007356C9"/>
    <w:rsid w:val="007374EF"/>
    <w:rsid w:val="007529FB"/>
    <w:rsid w:val="00764EFE"/>
    <w:rsid w:val="007875C2"/>
    <w:rsid w:val="007E04DF"/>
    <w:rsid w:val="007E2CA5"/>
    <w:rsid w:val="008009B8"/>
    <w:rsid w:val="008B5A19"/>
    <w:rsid w:val="008F5947"/>
    <w:rsid w:val="009D4396"/>
    <w:rsid w:val="009D4404"/>
    <w:rsid w:val="00B20EFE"/>
    <w:rsid w:val="00B57FF3"/>
    <w:rsid w:val="00BA0D01"/>
    <w:rsid w:val="00BE052F"/>
    <w:rsid w:val="00C16231"/>
    <w:rsid w:val="00C270C1"/>
    <w:rsid w:val="00C41FC2"/>
    <w:rsid w:val="00C8349F"/>
    <w:rsid w:val="00C9622F"/>
    <w:rsid w:val="00CB7ED0"/>
    <w:rsid w:val="00CE3C70"/>
    <w:rsid w:val="00E05376"/>
    <w:rsid w:val="00EB7229"/>
    <w:rsid w:val="00F625D3"/>
    <w:rsid w:val="00FF79C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688D5"/>
  <w15:chartTrackingRefBased/>
  <w15:docId w15:val="{9F6EA824-04E4-43D7-8F33-B9245E90E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09B8"/>
    <w:pPr>
      <w:spacing w:after="0" w:line="240" w:lineRule="auto"/>
    </w:pPr>
    <w:rPr>
      <w:rFonts w:ascii="Times New Roman" w:eastAsia="Times New Roman" w:hAnsi="Times New Roman" w:cs="Times New Roman"/>
      <w:sz w:val="28"/>
      <w:szCs w:val="28"/>
      <w:lang w:val="en-US" w:eastAsia="ru-RU"/>
    </w:rPr>
  </w:style>
  <w:style w:type="paragraph" w:styleId="3">
    <w:name w:val="heading 3"/>
    <w:basedOn w:val="a"/>
    <w:link w:val="30"/>
    <w:qFormat/>
    <w:rsid w:val="008009B8"/>
    <w:pPr>
      <w:spacing w:before="100" w:beforeAutospacing="1" w:after="100" w:afterAutospacing="1"/>
      <w:outlineLvl w:val="2"/>
    </w:pPr>
    <w:rPr>
      <w:rFonts w:eastAsia="MS Mincho"/>
      <w:b/>
      <w:bCs/>
      <w:sz w:val="27"/>
      <w:szCs w:val="27"/>
      <w:lang w:val="ru-RU"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8009B8"/>
    <w:rPr>
      <w:rFonts w:ascii="Times New Roman" w:eastAsia="MS Mincho" w:hAnsi="Times New Roman" w:cs="Times New Roman"/>
      <w:b/>
      <w:bCs/>
      <w:sz w:val="27"/>
      <w:szCs w:val="27"/>
      <w:lang w:val="ru-RU" w:eastAsia="ja-JP"/>
    </w:rPr>
  </w:style>
  <w:style w:type="paragraph" w:styleId="a3">
    <w:name w:val="header"/>
    <w:basedOn w:val="a"/>
    <w:link w:val="a4"/>
    <w:uiPriority w:val="99"/>
    <w:rsid w:val="008009B8"/>
    <w:pPr>
      <w:tabs>
        <w:tab w:val="center" w:pos="4677"/>
        <w:tab w:val="right" w:pos="9355"/>
      </w:tabs>
    </w:pPr>
  </w:style>
  <w:style w:type="character" w:customStyle="1" w:styleId="a4">
    <w:name w:val="Верхній колонтитул Знак"/>
    <w:basedOn w:val="a0"/>
    <w:link w:val="a3"/>
    <w:uiPriority w:val="99"/>
    <w:rsid w:val="008009B8"/>
    <w:rPr>
      <w:rFonts w:ascii="Times New Roman" w:eastAsia="Times New Roman" w:hAnsi="Times New Roman" w:cs="Times New Roman"/>
      <w:sz w:val="28"/>
      <w:szCs w:val="28"/>
      <w:lang w:val="en-US" w:eastAsia="ru-RU"/>
    </w:rPr>
  </w:style>
  <w:style w:type="paragraph" w:styleId="a5">
    <w:name w:val="footer"/>
    <w:basedOn w:val="a"/>
    <w:link w:val="a6"/>
    <w:uiPriority w:val="99"/>
    <w:rsid w:val="008009B8"/>
    <w:pPr>
      <w:tabs>
        <w:tab w:val="center" w:pos="4677"/>
        <w:tab w:val="right" w:pos="9355"/>
      </w:tabs>
    </w:pPr>
  </w:style>
  <w:style w:type="character" w:customStyle="1" w:styleId="a6">
    <w:name w:val="Нижній колонтитул Знак"/>
    <w:basedOn w:val="a0"/>
    <w:link w:val="a5"/>
    <w:uiPriority w:val="99"/>
    <w:rsid w:val="008009B8"/>
    <w:rPr>
      <w:rFonts w:ascii="Times New Roman" w:eastAsia="Times New Roman" w:hAnsi="Times New Roman" w:cs="Times New Roman"/>
      <w:sz w:val="28"/>
      <w:szCs w:val="28"/>
      <w:lang w:val="en-US" w:eastAsia="ru-RU"/>
    </w:rPr>
  </w:style>
  <w:style w:type="paragraph" w:styleId="a7">
    <w:name w:val="Body Text"/>
    <w:basedOn w:val="a"/>
    <w:link w:val="a8"/>
    <w:rsid w:val="008009B8"/>
    <w:pPr>
      <w:spacing w:after="120"/>
    </w:pPr>
  </w:style>
  <w:style w:type="character" w:customStyle="1" w:styleId="a8">
    <w:name w:val="Основний текст Знак"/>
    <w:basedOn w:val="a0"/>
    <w:link w:val="a7"/>
    <w:rsid w:val="008009B8"/>
    <w:rPr>
      <w:rFonts w:ascii="Times New Roman" w:eastAsia="Times New Roman" w:hAnsi="Times New Roman" w:cs="Times New Roman"/>
      <w:sz w:val="28"/>
      <w:szCs w:val="28"/>
      <w:lang w:val="en-US" w:eastAsia="ru-RU"/>
    </w:rPr>
  </w:style>
  <w:style w:type="paragraph" w:styleId="a9">
    <w:name w:val="footnote text"/>
    <w:basedOn w:val="a"/>
    <w:link w:val="aa"/>
    <w:uiPriority w:val="99"/>
    <w:semiHidden/>
    <w:unhideWhenUsed/>
    <w:rsid w:val="00571721"/>
    <w:rPr>
      <w:sz w:val="20"/>
      <w:szCs w:val="20"/>
    </w:rPr>
  </w:style>
  <w:style w:type="character" w:customStyle="1" w:styleId="aa">
    <w:name w:val="Текст виноски Знак"/>
    <w:basedOn w:val="a0"/>
    <w:link w:val="a9"/>
    <w:uiPriority w:val="99"/>
    <w:semiHidden/>
    <w:rsid w:val="00571721"/>
    <w:rPr>
      <w:rFonts w:ascii="Times New Roman" w:eastAsia="Times New Roman" w:hAnsi="Times New Roman" w:cs="Times New Roman"/>
      <w:sz w:val="20"/>
      <w:szCs w:val="20"/>
      <w:lang w:val="en-US" w:eastAsia="ru-RU"/>
    </w:rPr>
  </w:style>
  <w:style w:type="character" w:styleId="ab">
    <w:name w:val="footnote reference"/>
    <w:basedOn w:val="a0"/>
    <w:unhideWhenUsed/>
    <w:rsid w:val="00571721"/>
    <w:rPr>
      <w:vertAlign w:val="superscript"/>
    </w:rPr>
  </w:style>
  <w:style w:type="character" w:styleId="ac">
    <w:name w:val="Hyperlink"/>
    <w:basedOn w:val="a0"/>
    <w:uiPriority w:val="99"/>
    <w:unhideWhenUsed/>
    <w:rsid w:val="003D427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0056139">
      <w:bodyDiv w:val="1"/>
      <w:marLeft w:val="0"/>
      <w:marRight w:val="0"/>
      <w:marTop w:val="0"/>
      <w:marBottom w:val="0"/>
      <w:divBdr>
        <w:top w:val="none" w:sz="0" w:space="0" w:color="auto"/>
        <w:left w:val="none" w:sz="0" w:space="0" w:color="auto"/>
        <w:bottom w:val="none" w:sz="0" w:space="0" w:color="auto"/>
        <w:right w:val="none" w:sz="0" w:space="0" w:color="auto"/>
      </w:divBdr>
    </w:div>
    <w:div w:id="499588017">
      <w:bodyDiv w:val="1"/>
      <w:marLeft w:val="0"/>
      <w:marRight w:val="0"/>
      <w:marTop w:val="0"/>
      <w:marBottom w:val="0"/>
      <w:divBdr>
        <w:top w:val="none" w:sz="0" w:space="0" w:color="auto"/>
        <w:left w:val="none" w:sz="0" w:space="0" w:color="auto"/>
        <w:bottom w:val="none" w:sz="0" w:space="0" w:color="auto"/>
        <w:right w:val="none" w:sz="0" w:space="0" w:color="auto"/>
      </w:divBdr>
    </w:div>
    <w:div w:id="956182154">
      <w:bodyDiv w:val="1"/>
      <w:marLeft w:val="0"/>
      <w:marRight w:val="0"/>
      <w:marTop w:val="0"/>
      <w:marBottom w:val="0"/>
      <w:divBdr>
        <w:top w:val="none" w:sz="0" w:space="0" w:color="auto"/>
        <w:left w:val="none" w:sz="0" w:space="0" w:color="auto"/>
        <w:bottom w:val="none" w:sz="0" w:space="0" w:color="auto"/>
        <w:right w:val="none" w:sz="0" w:space="0" w:color="auto"/>
      </w:divBdr>
    </w:div>
    <w:div w:id="972835622">
      <w:bodyDiv w:val="1"/>
      <w:marLeft w:val="0"/>
      <w:marRight w:val="0"/>
      <w:marTop w:val="0"/>
      <w:marBottom w:val="0"/>
      <w:divBdr>
        <w:top w:val="none" w:sz="0" w:space="0" w:color="auto"/>
        <w:left w:val="none" w:sz="0" w:space="0" w:color="auto"/>
        <w:bottom w:val="none" w:sz="0" w:space="0" w:color="auto"/>
        <w:right w:val="none" w:sz="0" w:space="0" w:color="auto"/>
      </w:divBdr>
    </w:div>
    <w:div w:id="1801340698">
      <w:bodyDiv w:val="1"/>
      <w:marLeft w:val="0"/>
      <w:marRight w:val="0"/>
      <w:marTop w:val="0"/>
      <w:marBottom w:val="0"/>
      <w:divBdr>
        <w:top w:val="none" w:sz="0" w:space="0" w:color="auto"/>
        <w:left w:val="none" w:sz="0" w:space="0" w:color="auto"/>
        <w:bottom w:val="none" w:sz="0" w:space="0" w:color="auto"/>
        <w:right w:val="none" w:sz="0" w:space="0" w:color="auto"/>
      </w:divBdr>
    </w:div>
    <w:div w:id="1904101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eur-lex.europa.eu/legal-content/EN/TXT/?uri=celex%3A32018L1713" TargetMode="External"/><Relationship Id="rId1" Type="http://schemas.openxmlformats.org/officeDocument/2006/relationships/hyperlink" Target="https://eur-lex.europa.eu/legal-content/EN/ALL/?uri=celex%3A32009L0047"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977</TotalTime>
  <Pages>3</Pages>
  <Words>4834</Words>
  <Characters>2756</Characters>
  <Application>Microsoft Office Word</Application>
  <DocSecurity>0</DocSecurity>
  <Lines>22</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Фостик Богдан Володимирович</dc:creator>
  <cp:keywords/>
  <dc:description/>
  <cp:lastModifiedBy>Фостик Богдан Володимирович</cp:lastModifiedBy>
  <cp:revision>10</cp:revision>
  <dcterms:created xsi:type="dcterms:W3CDTF">2021-11-17T12:06:00Z</dcterms:created>
  <dcterms:modified xsi:type="dcterms:W3CDTF">2021-12-15T12:33:00Z</dcterms:modified>
</cp:coreProperties>
</file>