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</w:p>
    <w:p w:rsidR="003E43BF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3E43BF" w:rsidRPr="006409B0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1B1941" w:rsidRDefault="003E43BF" w:rsidP="008408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:rsidR="00C31B04" w:rsidRPr="001B1941" w:rsidRDefault="003E43BF" w:rsidP="008408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>на проект Закону України</w:t>
      </w:r>
    </w:p>
    <w:p w:rsidR="003E43BF" w:rsidRPr="00B00753" w:rsidRDefault="003E43BF" w:rsidP="008408E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>«Про</w:t>
      </w:r>
      <w:r w:rsidR="00B00753">
        <w:rPr>
          <w:rFonts w:ascii="Times New Roman" w:hAnsi="Times New Roman" w:cs="Times New Roman"/>
          <w:b/>
          <w:lang w:val="ru-RU"/>
        </w:rPr>
        <w:t xml:space="preserve"> </w:t>
      </w:r>
      <w:r w:rsidR="00B00753" w:rsidRPr="00B00753">
        <w:rPr>
          <w:rFonts w:ascii="Times New Roman" w:hAnsi="Times New Roman" w:cs="Times New Roman"/>
          <w:b/>
        </w:rPr>
        <w:t>внесення змін до Кримінального процесуального кодексу України щодо врегулювання окремих питань застосування запобіжних заходів в кримінальному провадженні</w:t>
      </w:r>
      <w:r w:rsidRPr="00B00753">
        <w:rPr>
          <w:rFonts w:ascii="Times New Roman" w:hAnsi="Times New Roman" w:cs="Times New Roman"/>
          <w:b/>
          <w:bCs/>
        </w:rPr>
        <w:t>»</w:t>
      </w:r>
    </w:p>
    <w:p w:rsidR="003E43BF" w:rsidRPr="00B00753" w:rsidRDefault="003E43BF" w:rsidP="00ED027E">
      <w:pPr>
        <w:pStyle w:val="a3"/>
        <w:ind w:firstLine="0"/>
        <w:rPr>
          <w:rFonts w:ascii="Times New Roman" w:hAnsi="Times New Roman" w:cs="Times New Roman"/>
        </w:rPr>
      </w:pPr>
    </w:p>
    <w:p w:rsidR="00B00753" w:rsidRDefault="003E43BF" w:rsidP="005B76BB">
      <w:pPr>
        <w:pStyle w:val="a3"/>
        <w:ind w:firstLine="709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Поданий законопроект розроблено</w:t>
      </w:r>
      <w:r w:rsidR="007033D8" w:rsidRPr="001B1941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1B1941">
        <w:rPr>
          <w:rFonts w:ascii="Times New Roman" w:hAnsi="Times New Roman" w:cs="Times New Roman"/>
        </w:rPr>
        <w:t xml:space="preserve"> з метою </w:t>
      </w:r>
      <w:r w:rsidR="00492B5E" w:rsidRPr="00492B5E">
        <w:rPr>
          <w:rFonts w:ascii="Times New Roman" w:hAnsi="Times New Roman" w:cs="Times New Roman"/>
        </w:rPr>
        <w:t>удосконалення положень Кримінального процесуального кодексу України</w:t>
      </w:r>
      <w:r w:rsidR="00492B5E">
        <w:rPr>
          <w:rFonts w:ascii="Times New Roman" w:hAnsi="Times New Roman" w:cs="Times New Roman"/>
        </w:rPr>
        <w:t xml:space="preserve"> (далі – КПК)</w:t>
      </w:r>
      <w:r w:rsidR="00492B5E" w:rsidRPr="00492B5E">
        <w:rPr>
          <w:rFonts w:ascii="Times New Roman" w:hAnsi="Times New Roman" w:cs="Times New Roman"/>
        </w:rPr>
        <w:t xml:space="preserve"> щодо визначення розмірів застави задля унеможливлення зловживання чинними нормами права та захисту законних інтересів осіб, які постраждали внаслідок вчинення кримінальних правопорушень.</w:t>
      </w:r>
    </w:p>
    <w:p w:rsidR="00D27406" w:rsidRDefault="003E43BF" w:rsidP="00D27406">
      <w:pPr>
        <w:spacing w:after="0" w:line="240" w:lineRule="auto"/>
        <w:ind w:firstLine="709"/>
        <w:jc w:val="both"/>
        <w:rPr>
          <w:szCs w:val="28"/>
        </w:rPr>
      </w:pPr>
      <w:r w:rsidRPr="001B1941">
        <w:lastRenderedPageBreak/>
        <w:t xml:space="preserve">Для </w:t>
      </w:r>
      <w:r w:rsidRPr="003008B9">
        <w:t>досягнення вказаної мети у законопроекті пропонується</w:t>
      </w:r>
      <w:r w:rsidR="00DA73F9" w:rsidRPr="003008B9">
        <w:t xml:space="preserve">: </w:t>
      </w:r>
      <w:r w:rsidR="00B52965" w:rsidRPr="003008B9">
        <w:br/>
      </w:r>
      <w:r w:rsidR="00DA73F9" w:rsidRPr="003008B9">
        <w:t>1)</w:t>
      </w:r>
      <w:r w:rsidR="00AE7828" w:rsidRPr="00AE7828">
        <w:t xml:space="preserve"> </w:t>
      </w:r>
      <w:r w:rsidR="00D27406">
        <w:rPr>
          <w:szCs w:val="28"/>
        </w:rPr>
        <w:t>ч. 5 ст.</w:t>
      </w:r>
      <w:r w:rsidR="00E518B4">
        <w:rPr>
          <w:szCs w:val="28"/>
        </w:rPr>
        <w:t xml:space="preserve"> </w:t>
      </w:r>
      <w:r w:rsidR="00D27406">
        <w:rPr>
          <w:szCs w:val="28"/>
        </w:rPr>
        <w:t>182 КПК</w:t>
      </w:r>
      <w:r w:rsidR="00D27406" w:rsidRPr="00D27406">
        <w:rPr>
          <w:szCs w:val="28"/>
        </w:rPr>
        <w:t xml:space="preserve"> доповнити абзацом такого змісту:</w:t>
      </w:r>
      <w:r w:rsidR="00D27406">
        <w:rPr>
          <w:szCs w:val="28"/>
        </w:rPr>
        <w:t xml:space="preserve"> «</w:t>
      </w:r>
      <w:r w:rsidR="00D27406" w:rsidRPr="00D27406">
        <w:rPr>
          <w:szCs w:val="28"/>
        </w:rPr>
        <w:t xml:space="preserve">У разі якщо розмір заподіяної шкоди або завданих збитків від вчиненого тяжкого або особливо тяжкого злочину перевищують максимальний розмір застави, передбачений </w:t>
      </w:r>
      <w:r w:rsidR="00E04393">
        <w:rPr>
          <w:szCs w:val="28"/>
        </w:rPr>
        <w:br/>
      </w:r>
      <w:r w:rsidR="00D27406">
        <w:rPr>
          <w:szCs w:val="28"/>
        </w:rPr>
        <w:t>п. п. 2, 3</w:t>
      </w:r>
      <w:r w:rsidR="00D27406" w:rsidRPr="00D27406">
        <w:rPr>
          <w:szCs w:val="28"/>
        </w:rPr>
        <w:t xml:space="preserve"> </w:t>
      </w:r>
      <w:r w:rsidR="00D27406">
        <w:rPr>
          <w:szCs w:val="28"/>
        </w:rPr>
        <w:t>ч. 5</w:t>
      </w:r>
      <w:r w:rsidR="00D27406" w:rsidRPr="00D27406">
        <w:rPr>
          <w:szCs w:val="28"/>
        </w:rPr>
        <w:t xml:space="preserve"> цієї статті відповідно, то розмір застави не може бути меншим ніж розмір заподіяної шкоди або завданих збитків від вчиненого тяжкого або особливо тяжкого злочину, в якому підозрюється, обвинувачується особа»;</w:t>
      </w:r>
      <w:r w:rsidR="00D27406">
        <w:rPr>
          <w:szCs w:val="28"/>
        </w:rPr>
        <w:t xml:space="preserve"> </w:t>
      </w:r>
      <w:r w:rsidR="00D27406" w:rsidRPr="00D27406">
        <w:rPr>
          <w:szCs w:val="28"/>
        </w:rPr>
        <w:t xml:space="preserve">2) у </w:t>
      </w:r>
      <w:r w:rsidR="00D27406">
        <w:rPr>
          <w:szCs w:val="28"/>
        </w:rPr>
        <w:t>ч. 6</w:t>
      </w:r>
      <w:r w:rsidR="00D27406" w:rsidRPr="00D27406">
        <w:rPr>
          <w:szCs w:val="28"/>
        </w:rPr>
        <w:t xml:space="preserve"> статті </w:t>
      </w:r>
      <w:r w:rsidR="00D27406">
        <w:rPr>
          <w:szCs w:val="28"/>
        </w:rPr>
        <w:t>182 КПК строк, протягом якого п</w:t>
      </w:r>
      <w:r w:rsidR="00D27406" w:rsidRPr="00D27406">
        <w:rPr>
          <w:szCs w:val="28"/>
        </w:rPr>
        <w:t xml:space="preserve">ідозрюваний, обвинувачений, який не тримається під вартою, зобов’язаний внести кошти на відповідний рахунок або забезпечити їх внесення </w:t>
      </w:r>
      <w:proofErr w:type="spellStart"/>
      <w:r w:rsidR="00D27406" w:rsidRPr="00D27406">
        <w:rPr>
          <w:szCs w:val="28"/>
        </w:rPr>
        <w:t>заставодавцем</w:t>
      </w:r>
      <w:proofErr w:type="spellEnd"/>
      <w:r w:rsidR="00D27406" w:rsidRPr="00D27406">
        <w:rPr>
          <w:szCs w:val="28"/>
        </w:rPr>
        <w:t xml:space="preserve"> та надати документ, що це підтверджує, слідчому, прокурору, суду</w:t>
      </w:r>
      <w:r w:rsidR="00E518B4">
        <w:rPr>
          <w:szCs w:val="28"/>
        </w:rPr>
        <w:t>,</w:t>
      </w:r>
      <w:r w:rsidR="00D27406">
        <w:rPr>
          <w:szCs w:val="28"/>
        </w:rPr>
        <w:t xml:space="preserve"> зменш</w:t>
      </w:r>
      <w:r w:rsidR="00E518B4">
        <w:rPr>
          <w:szCs w:val="28"/>
        </w:rPr>
        <w:t>ити</w:t>
      </w:r>
      <w:r w:rsidR="00D27406">
        <w:rPr>
          <w:szCs w:val="28"/>
        </w:rPr>
        <w:t xml:space="preserve"> з </w:t>
      </w:r>
      <w:r w:rsidR="00E04393">
        <w:rPr>
          <w:szCs w:val="28"/>
        </w:rPr>
        <w:t>п’яти</w:t>
      </w:r>
      <w:r w:rsidR="00D27406" w:rsidRPr="00D27406">
        <w:rPr>
          <w:szCs w:val="28"/>
        </w:rPr>
        <w:t xml:space="preserve"> </w:t>
      </w:r>
      <w:r w:rsidR="00D27406">
        <w:rPr>
          <w:szCs w:val="28"/>
        </w:rPr>
        <w:t>до</w:t>
      </w:r>
      <w:r w:rsidR="00D27406" w:rsidRPr="00D27406">
        <w:rPr>
          <w:szCs w:val="28"/>
        </w:rPr>
        <w:t xml:space="preserve"> </w:t>
      </w:r>
      <w:r w:rsidR="00E04393">
        <w:rPr>
          <w:szCs w:val="28"/>
        </w:rPr>
        <w:t>трьох</w:t>
      </w:r>
      <w:r w:rsidR="00D27406">
        <w:rPr>
          <w:szCs w:val="28"/>
        </w:rPr>
        <w:t xml:space="preserve"> днів</w:t>
      </w:r>
      <w:r w:rsidR="00D27406" w:rsidRPr="00D27406">
        <w:rPr>
          <w:szCs w:val="28"/>
        </w:rPr>
        <w:t xml:space="preserve"> з дня обрання запобіжного заходу у вигляді застави;</w:t>
      </w:r>
      <w:r w:rsidR="00D27406">
        <w:rPr>
          <w:szCs w:val="28"/>
        </w:rPr>
        <w:t xml:space="preserve"> </w:t>
      </w:r>
      <w:r w:rsidR="00D27406" w:rsidRPr="00D27406">
        <w:rPr>
          <w:szCs w:val="28"/>
        </w:rPr>
        <w:t>3) ч</w:t>
      </w:r>
      <w:r w:rsidR="00D27406">
        <w:rPr>
          <w:szCs w:val="28"/>
        </w:rPr>
        <w:t>.</w:t>
      </w:r>
      <w:r w:rsidR="00D27406" w:rsidRPr="00D27406">
        <w:rPr>
          <w:szCs w:val="28"/>
        </w:rPr>
        <w:t xml:space="preserve"> 11 </w:t>
      </w:r>
      <w:r w:rsidR="00D27406">
        <w:rPr>
          <w:szCs w:val="28"/>
        </w:rPr>
        <w:t xml:space="preserve">ст. 182 КПК </w:t>
      </w:r>
      <w:r w:rsidR="00D27406" w:rsidRPr="00D27406">
        <w:rPr>
          <w:szCs w:val="28"/>
        </w:rPr>
        <w:t>викласти у такій редакції:</w:t>
      </w:r>
      <w:r w:rsidR="00D27406">
        <w:rPr>
          <w:szCs w:val="28"/>
        </w:rPr>
        <w:t xml:space="preserve"> «</w:t>
      </w:r>
      <w:r w:rsidR="00D27406" w:rsidRPr="00D27406">
        <w:rPr>
          <w:szCs w:val="28"/>
        </w:rPr>
        <w:t xml:space="preserve">Застава, що не була звернена в дохід держави, повертається підозрюваному, обвинуваченому, </w:t>
      </w:r>
      <w:proofErr w:type="spellStart"/>
      <w:r w:rsidR="00D27406" w:rsidRPr="00D27406">
        <w:rPr>
          <w:szCs w:val="28"/>
        </w:rPr>
        <w:t>заставодавцю</w:t>
      </w:r>
      <w:proofErr w:type="spellEnd"/>
      <w:r w:rsidR="00D27406" w:rsidRPr="00D27406">
        <w:rPr>
          <w:szCs w:val="28"/>
        </w:rPr>
        <w:t xml:space="preserve"> після припинення дії цього запобіжного заходу. При цьому застава, внесена підозрюваним, обвинуваченим, може бути повністю або частково звернена судом на виконання вироку в частині майнових стягнень у порядку, визначеному </w:t>
      </w:r>
      <w:proofErr w:type="spellStart"/>
      <w:r w:rsidR="00D27406" w:rsidRPr="00D27406">
        <w:rPr>
          <w:szCs w:val="28"/>
        </w:rPr>
        <w:t>гл</w:t>
      </w:r>
      <w:proofErr w:type="spellEnd"/>
      <w:r w:rsidR="00D27406">
        <w:rPr>
          <w:szCs w:val="28"/>
        </w:rPr>
        <w:t>.</w:t>
      </w:r>
      <w:r w:rsidR="00D27406" w:rsidRPr="00D27406">
        <w:rPr>
          <w:szCs w:val="28"/>
        </w:rPr>
        <w:t xml:space="preserve"> 9 цього Кодексу».</w:t>
      </w:r>
    </w:p>
    <w:p w:rsidR="008D603B" w:rsidRPr="008408E9" w:rsidRDefault="008D603B" w:rsidP="008D603B">
      <w:pPr>
        <w:pStyle w:val="a3"/>
        <w:ind w:firstLine="709"/>
        <w:rPr>
          <w:rFonts w:ascii="Times New Roman" w:hAnsi="Times New Roman" w:cs="Times New Roman"/>
        </w:rPr>
      </w:pPr>
      <w:r w:rsidRPr="00F42244">
        <w:rPr>
          <w:rFonts w:ascii="Times New Roman" w:hAnsi="Times New Roman" w:cs="Times New Roman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5C5EBF">
        <w:rPr>
          <w:rFonts w:ascii="Times New Roman" w:hAnsi="Times New Roman" w:cs="Times New Roman"/>
        </w:rPr>
        <w:br/>
      </w:r>
      <w:r w:rsidRPr="008408E9">
        <w:rPr>
          <w:rFonts w:ascii="Times New Roman" w:hAnsi="Times New Roman" w:cs="Times New Roman"/>
        </w:rPr>
        <w:t xml:space="preserve">2021 рік, затвердженого постановою Верховної Ради України від 02.02.2021 </w:t>
      </w:r>
      <w:r w:rsidRPr="008408E9">
        <w:rPr>
          <w:rFonts w:ascii="Times New Roman" w:hAnsi="Times New Roman" w:cs="Times New Roman"/>
        </w:rPr>
        <w:br/>
        <w:t>№ 1165-ІХ.</w:t>
      </w:r>
    </w:p>
    <w:p w:rsidR="00EE7DA4" w:rsidRPr="008408E9" w:rsidRDefault="00336873" w:rsidP="005B76BB">
      <w:pPr>
        <w:spacing w:after="0" w:line="240" w:lineRule="auto"/>
        <w:ind w:firstLine="709"/>
        <w:jc w:val="both"/>
        <w:rPr>
          <w:szCs w:val="28"/>
        </w:rPr>
      </w:pPr>
      <w:r w:rsidRPr="008408E9">
        <w:rPr>
          <w:szCs w:val="28"/>
        </w:rPr>
        <w:lastRenderedPageBreak/>
        <w:t>Головне управління, розглянувши поданий проект, вважає за доцільне</w:t>
      </w:r>
      <w:r w:rsidR="005B2526" w:rsidRPr="008408E9">
        <w:rPr>
          <w:szCs w:val="28"/>
        </w:rPr>
        <w:t xml:space="preserve"> зазначити наступне</w:t>
      </w:r>
      <w:r w:rsidRPr="008408E9">
        <w:rPr>
          <w:szCs w:val="28"/>
        </w:rPr>
        <w:t>.</w:t>
      </w:r>
    </w:p>
    <w:p w:rsidR="00D3440C" w:rsidRDefault="007A6A7B" w:rsidP="00C825CE">
      <w:pPr>
        <w:spacing w:after="0" w:line="240" w:lineRule="auto"/>
        <w:ind w:firstLine="709"/>
        <w:jc w:val="both"/>
        <w:rPr>
          <w:szCs w:val="28"/>
        </w:rPr>
      </w:pPr>
      <w:r w:rsidRPr="008408E9">
        <w:rPr>
          <w:b/>
          <w:bCs/>
          <w:szCs w:val="28"/>
        </w:rPr>
        <w:t>1.</w:t>
      </w:r>
      <w:r w:rsidRPr="008408E9">
        <w:rPr>
          <w:szCs w:val="28"/>
        </w:rPr>
        <w:t xml:space="preserve"> </w:t>
      </w:r>
      <w:r w:rsidR="00E04393" w:rsidRPr="008408E9">
        <w:rPr>
          <w:szCs w:val="28"/>
        </w:rPr>
        <w:t>У законопроекті</w:t>
      </w:r>
      <w:r w:rsidRPr="008408E9">
        <w:rPr>
          <w:szCs w:val="28"/>
        </w:rPr>
        <w:t xml:space="preserve"> пропонується</w:t>
      </w:r>
      <w:r w:rsidR="00C825CE" w:rsidRPr="008408E9">
        <w:rPr>
          <w:szCs w:val="28"/>
        </w:rPr>
        <w:t xml:space="preserve"> </w:t>
      </w:r>
      <w:r w:rsidR="00E04393" w:rsidRPr="008408E9">
        <w:rPr>
          <w:szCs w:val="28"/>
        </w:rPr>
        <w:t xml:space="preserve">доповнити </w:t>
      </w:r>
      <w:r w:rsidR="00C825CE" w:rsidRPr="008408E9">
        <w:rPr>
          <w:szCs w:val="28"/>
        </w:rPr>
        <w:t>ч. 5 ст.</w:t>
      </w:r>
      <w:r w:rsidR="005C5EBF" w:rsidRPr="008408E9">
        <w:rPr>
          <w:szCs w:val="28"/>
        </w:rPr>
        <w:t xml:space="preserve"> </w:t>
      </w:r>
      <w:r w:rsidR="00C825CE" w:rsidRPr="008408E9">
        <w:rPr>
          <w:szCs w:val="28"/>
        </w:rPr>
        <w:t xml:space="preserve">182 </w:t>
      </w:r>
      <w:r w:rsidR="00E518B4" w:rsidRPr="008408E9">
        <w:rPr>
          <w:szCs w:val="28"/>
        </w:rPr>
        <w:t xml:space="preserve">КПК </w:t>
      </w:r>
      <w:r w:rsidR="00E04393" w:rsidRPr="008408E9">
        <w:rPr>
          <w:szCs w:val="28"/>
        </w:rPr>
        <w:t xml:space="preserve">«Застава» новим </w:t>
      </w:r>
      <w:r w:rsidR="00C825CE" w:rsidRPr="008408E9">
        <w:rPr>
          <w:szCs w:val="28"/>
        </w:rPr>
        <w:t xml:space="preserve">абзацом </w:t>
      </w:r>
      <w:r w:rsidR="00E04393" w:rsidRPr="008408E9">
        <w:rPr>
          <w:szCs w:val="28"/>
        </w:rPr>
        <w:t xml:space="preserve">6, </w:t>
      </w:r>
      <w:r w:rsidR="00E518B4" w:rsidRPr="008408E9">
        <w:rPr>
          <w:szCs w:val="28"/>
        </w:rPr>
        <w:t>відповідно до</w:t>
      </w:r>
      <w:r w:rsidR="00E04393" w:rsidRPr="008408E9">
        <w:rPr>
          <w:szCs w:val="28"/>
        </w:rPr>
        <w:t xml:space="preserve"> яко</w:t>
      </w:r>
      <w:r w:rsidR="00E518B4" w:rsidRPr="008408E9">
        <w:rPr>
          <w:szCs w:val="28"/>
        </w:rPr>
        <w:t>го</w:t>
      </w:r>
      <w:r w:rsidR="00E04393" w:rsidRPr="008408E9">
        <w:rPr>
          <w:szCs w:val="28"/>
        </w:rPr>
        <w:t xml:space="preserve"> «у</w:t>
      </w:r>
      <w:r w:rsidR="00C825CE" w:rsidRPr="008408E9">
        <w:rPr>
          <w:szCs w:val="28"/>
        </w:rPr>
        <w:t xml:space="preserve"> разі якщо розмір заподіяної шкоди або завданих збитків від вчиненого тяжкого або</w:t>
      </w:r>
      <w:r w:rsidR="00C825CE" w:rsidRPr="00D27406">
        <w:rPr>
          <w:szCs w:val="28"/>
        </w:rPr>
        <w:t xml:space="preserve"> особливо тяжкого злочину перевищують максимальний розмір застави, передбачений </w:t>
      </w:r>
      <w:r w:rsidR="00C825CE">
        <w:rPr>
          <w:szCs w:val="28"/>
        </w:rPr>
        <w:t>п. п. 2, 3</w:t>
      </w:r>
      <w:r w:rsidR="00C825CE" w:rsidRPr="00D27406">
        <w:rPr>
          <w:szCs w:val="28"/>
        </w:rPr>
        <w:t xml:space="preserve"> </w:t>
      </w:r>
      <w:r w:rsidR="00C825CE">
        <w:rPr>
          <w:szCs w:val="28"/>
        </w:rPr>
        <w:t>ч. 5</w:t>
      </w:r>
      <w:r w:rsidR="00C825CE" w:rsidRPr="00D27406">
        <w:rPr>
          <w:szCs w:val="28"/>
        </w:rPr>
        <w:t xml:space="preserve"> цієї статті відповідно, то розмір застави не може бути меншим ніж розмір заподіяної шкоди або завданих збитків від вчиненого тяжкого або особливо тяжкого злочину, в якому підозрюється, обвинувачується особа»</w:t>
      </w:r>
      <w:r w:rsidR="00C825CE">
        <w:rPr>
          <w:szCs w:val="28"/>
        </w:rPr>
        <w:t>.</w:t>
      </w:r>
    </w:p>
    <w:p w:rsidR="00C825CE" w:rsidRDefault="00E04393" w:rsidP="00C825CE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t>У даному контексті звертаємо увагу, що з</w:t>
      </w:r>
      <w:r w:rsidR="00C825CE">
        <w:rPr>
          <w:bCs/>
        </w:rPr>
        <w:t>астава – менш суворий, ніж тримання під вартою чи домашній арешт, запобіжний захід, який застосовується на підставі ухвали слідчого судді чи суду за мотивованим клопотанням прокурора, слідчого, погодженого з прокурором, і полягає у внесенні грошей на депозит органу досудового розслідування чи суду фізичними або юридичними особами як гарантії належної поведінки та прибуття за викликом особи, стосовно якої обрано такий запобіжний захід</w:t>
      </w:r>
      <w:r w:rsidR="00C825CE">
        <w:rPr>
          <w:rStyle w:val="af3"/>
          <w:bCs/>
        </w:rPr>
        <w:footnoteReference w:id="1"/>
      </w:r>
      <w:r w:rsidR="00C825CE">
        <w:rPr>
          <w:bCs/>
        </w:rPr>
        <w:t>.</w:t>
      </w:r>
    </w:p>
    <w:p w:rsidR="00246A1A" w:rsidRDefault="00AA584A" w:rsidP="00C825CE">
      <w:pPr>
        <w:spacing w:after="0" w:line="240" w:lineRule="auto"/>
        <w:ind w:firstLine="709"/>
        <w:jc w:val="both"/>
        <w:rPr>
          <w:szCs w:val="28"/>
        </w:rPr>
      </w:pPr>
      <w:r>
        <w:rPr>
          <w:bCs/>
        </w:rPr>
        <w:t xml:space="preserve">Розмір застави визначається залежно від тяжкості </w:t>
      </w:r>
      <w:r w:rsidR="007023CB">
        <w:rPr>
          <w:bCs/>
        </w:rPr>
        <w:t>вчиненого злочину та із застосуванням коефіцієнта кратності відносно</w:t>
      </w:r>
      <w:r w:rsidR="00B47500">
        <w:rPr>
          <w:bCs/>
        </w:rPr>
        <w:t xml:space="preserve"> </w:t>
      </w:r>
      <w:r w:rsidR="00B47500" w:rsidRPr="00B47500">
        <w:rPr>
          <w:bCs/>
        </w:rPr>
        <w:t>прожиткового мінімуму для працездатних осіб</w:t>
      </w:r>
      <w:r w:rsidR="007023CB">
        <w:rPr>
          <w:bCs/>
        </w:rPr>
        <w:t xml:space="preserve">. Межі розміру застави визначаються в </w:t>
      </w:r>
      <w:r w:rsidR="00B47500">
        <w:rPr>
          <w:bCs/>
        </w:rPr>
        <w:t xml:space="preserve">п. п. 1 – 3 </w:t>
      </w:r>
      <w:r w:rsidR="007023CB">
        <w:rPr>
          <w:bCs/>
        </w:rPr>
        <w:t xml:space="preserve">ч. 5 </w:t>
      </w:r>
      <w:r w:rsidR="00E04393">
        <w:rPr>
          <w:bCs/>
        </w:rPr>
        <w:t>ст. 182 КПК. У</w:t>
      </w:r>
      <w:r w:rsidR="00B47500">
        <w:rPr>
          <w:bCs/>
        </w:rPr>
        <w:t xml:space="preserve"> той же час, </w:t>
      </w:r>
      <w:proofErr w:type="spellStart"/>
      <w:r w:rsidR="00E04393">
        <w:rPr>
          <w:bCs/>
        </w:rPr>
        <w:t>абз</w:t>
      </w:r>
      <w:proofErr w:type="spellEnd"/>
      <w:r w:rsidR="00E04393">
        <w:rPr>
          <w:bCs/>
        </w:rPr>
        <w:t>. 5</w:t>
      </w:r>
      <w:r w:rsidR="007023CB">
        <w:rPr>
          <w:bCs/>
        </w:rPr>
        <w:t xml:space="preserve"> ч. 5 ст. 182 </w:t>
      </w:r>
      <w:r w:rsidR="007023CB">
        <w:rPr>
          <w:bCs/>
        </w:rPr>
        <w:lastRenderedPageBreak/>
        <w:t xml:space="preserve">КПК </w:t>
      </w:r>
      <w:r w:rsidR="00DD01FD">
        <w:rPr>
          <w:bCs/>
        </w:rPr>
        <w:t>передбачає можливість</w:t>
      </w:r>
      <w:r w:rsidR="007023CB">
        <w:rPr>
          <w:bCs/>
        </w:rPr>
        <w:t xml:space="preserve"> у</w:t>
      </w:r>
      <w:r w:rsidR="007023CB" w:rsidRPr="007023CB">
        <w:rPr>
          <w:bCs/>
        </w:rPr>
        <w:t xml:space="preserve"> виключних випадках, якщо слідчий суддя, суд встановить, що застава у зазначених межах не здатна забезпечити виконання особою, що підозрюється, обвинувачується у вчиненні тяжкого або особливо тяжкого злочину, покладених на неї обов’язків, </w:t>
      </w:r>
      <w:r w:rsidR="00DD01FD">
        <w:rPr>
          <w:bCs/>
        </w:rPr>
        <w:t xml:space="preserve">призначити </w:t>
      </w:r>
      <w:r w:rsidR="007023CB" w:rsidRPr="007023CB">
        <w:rPr>
          <w:bCs/>
        </w:rPr>
        <w:t>застав</w:t>
      </w:r>
      <w:r w:rsidR="00DD01FD">
        <w:rPr>
          <w:bCs/>
        </w:rPr>
        <w:t>у</w:t>
      </w:r>
      <w:r w:rsidR="007023CB" w:rsidRPr="007023CB">
        <w:rPr>
          <w:bCs/>
        </w:rPr>
        <w:t xml:space="preserve"> </w:t>
      </w:r>
      <w:r w:rsidR="007023CB" w:rsidRPr="00DD01FD">
        <w:rPr>
          <w:bCs/>
          <w:i/>
          <w:iCs/>
        </w:rPr>
        <w:t>у розмірі, який перевищує</w:t>
      </w:r>
      <w:r w:rsidR="007023CB" w:rsidRPr="007023CB">
        <w:rPr>
          <w:bCs/>
        </w:rPr>
        <w:t xml:space="preserve"> вісімдесят чи триста розмірів прожиткового мінімуму для працездатних осіб відповідн</w:t>
      </w:r>
      <w:r w:rsidR="00DD01FD">
        <w:rPr>
          <w:bCs/>
        </w:rPr>
        <w:t>о. Такі випадки визначаються з урахуванням обставин кримінального правопорушення, майнового та сімейного стану підозрюваного, обвинуваченого, інших даних про його особу та можливості настання наслідків, пов’язаних із перешкоджанням здійсненню кримінального провадження у будь-яких формах, завдан</w:t>
      </w:r>
      <w:r w:rsidR="00E518B4">
        <w:rPr>
          <w:bCs/>
        </w:rPr>
        <w:t>ої</w:t>
      </w:r>
      <w:r w:rsidR="00DD01FD">
        <w:rPr>
          <w:bCs/>
        </w:rPr>
        <w:t xml:space="preserve"> кримінальним правопорушенням</w:t>
      </w:r>
      <w:r w:rsidR="00E518B4">
        <w:rPr>
          <w:bCs/>
        </w:rPr>
        <w:t xml:space="preserve"> матеріальної шкоди</w:t>
      </w:r>
      <w:r w:rsidR="00DD01FD">
        <w:rPr>
          <w:rStyle w:val="af3"/>
          <w:bCs/>
        </w:rPr>
        <w:footnoteReference w:id="2"/>
      </w:r>
      <w:r w:rsidR="00DD01FD" w:rsidRPr="007023CB">
        <w:rPr>
          <w:bCs/>
        </w:rPr>
        <w:t>.</w:t>
      </w:r>
      <w:r w:rsidR="00DD01FD">
        <w:rPr>
          <w:bCs/>
        </w:rPr>
        <w:t xml:space="preserve"> Разом з тим, норми чинного КПК </w:t>
      </w:r>
      <w:r w:rsidR="00E518B4">
        <w:rPr>
          <w:bCs/>
        </w:rPr>
        <w:t>у даному разі</w:t>
      </w:r>
      <w:r w:rsidR="00DD01FD">
        <w:rPr>
          <w:bCs/>
        </w:rPr>
        <w:t xml:space="preserve"> </w:t>
      </w:r>
      <w:r w:rsidR="00E518B4">
        <w:rPr>
          <w:bCs/>
        </w:rPr>
        <w:t>передбачають</w:t>
      </w:r>
      <w:r w:rsidR="00666275">
        <w:rPr>
          <w:bCs/>
        </w:rPr>
        <w:t xml:space="preserve">, що визначений судом розмір застави </w:t>
      </w:r>
      <w:r w:rsidR="00E518B4">
        <w:rPr>
          <w:bCs/>
        </w:rPr>
        <w:t>має бути не</w:t>
      </w:r>
      <w:r w:rsidR="00347BB7">
        <w:rPr>
          <w:bCs/>
        </w:rPr>
        <w:t xml:space="preserve"> меншим, ніж </w:t>
      </w:r>
      <w:r w:rsidR="00347BB7" w:rsidRPr="00D27406">
        <w:rPr>
          <w:szCs w:val="28"/>
        </w:rPr>
        <w:t>розмір заподіяної шкоди або завданих збитків від вчиненого тяжкого або особливо тяжкого злочину, в якому підозрюється, обвинувачується особа</w:t>
      </w:r>
      <w:r w:rsidR="00347BB7">
        <w:rPr>
          <w:szCs w:val="28"/>
        </w:rPr>
        <w:t>.</w:t>
      </w:r>
    </w:p>
    <w:p w:rsidR="004F3E4E" w:rsidRDefault="004F3E4E" w:rsidP="004F3E4E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На відміну від чинного КПК, в КПК 1960 р. передбачалося, що у</w:t>
      </w:r>
      <w:r w:rsidRPr="004F3E4E">
        <w:rPr>
          <w:szCs w:val="28"/>
        </w:rPr>
        <w:t xml:space="preserve"> всіх випадках розмір застави не може бути меншим від розміру цивільного позову, розміру майнової шкоди, завданої злочином, або розміру отриманого внаслідок вчинення злочину доходу, обґрунтованих достатніми доказами</w:t>
      </w:r>
      <w:r>
        <w:rPr>
          <w:szCs w:val="28"/>
        </w:rPr>
        <w:t xml:space="preserve"> (ч. 5 ст. 154-1 КПК 1960 р.). Це гарантувало </w:t>
      </w:r>
      <w:r>
        <w:rPr>
          <w:szCs w:val="28"/>
        </w:rPr>
        <w:lastRenderedPageBreak/>
        <w:t xml:space="preserve">за будь-яких обставин можливість відшкодування шкоди, завданої </w:t>
      </w:r>
      <w:r w:rsidR="005B4BCC">
        <w:rPr>
          <w:szCs w:val="28"/>
        </w:rPr>
        <w:t xml:space="preserve">внаслідок </w:t>
      </w:r>
      <w:r w:rsidR="006972D1">
        <w:rPr>
          <w:szCs w:val="28"/>
        </w:rPr>
        <w:t>вчинення</w:t>
      </w:r>
      <w:r w:rsidR="005B4BCC">
        <w:rPr>
          <w:szCs w:val="28"/>
        </w:rPr>
        <w:t xml:space="preserve"> злочину.</w:t>
      </w:r>
    </w:p>
    <w:p w:rsidR="00246A1A" w:rsidRDefault="005B4BCC" w:rsidP="00C825CE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наш погляд, </w:t>
      </w:r>
      <w:r w:rsidR="00F35000">
        <w:rPr>
          <w:szCs w:val="28"/>
        </w:rPr>
        <w:t>запропоновані проектом зміни до ч. 5 ст. 182 КПК спрямовані на досягнення цієї ж мети, а відтак їх внесення матиме позитивні наслідки враховуючи те, що з</w:t>
      </w:r>
      <w:r w:rsidR="00F35000" w:rsidRPr="00F35000">
        <w:rPr>
          <w:szCs w:val="28"/>
        </w:rPr>
        <w:t>авданнями кримінального провадження є захист особи, суспільства та держави від кримінальних правопорушень, охорона прав, свобод та законних інтересів учасників кримінального провадження</w:t>
      </w:r>
      <w:r w:rsidR="00F35000">
        <w:rPr>
          <w:szCs w:val="28"/>
        </w:rPr>
        <w:t xml:space="preserve"> (див. ч. 1 </w:t>
      </w:r>
      <w:r w:rsidR="005B2526">
        <w:rPr>
          <w:szCs w:val="28"/>
        </w:rPr>
        <w:br/>
      </w:r>
      <w:r w:rsidR="00F35000">
        <w:rPr>
          <w:szCs w:val="28"/>
        </w:rPr>
        <w:t>ст. 2 КПК).</w:t>
      </w:r>
    </w:p>
    <w:p w:rsidR="00246A1A" w:rsidRDefault="00F35000" w:rsidP="00C825CE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</w:rPr>
        <w:t>Крім того, стаття 41 Конституції України встановлює принцип непорушності права приватної власності. У ситуації, коли обрано запобіжний захід у вигляді застави і встановлено</w:t>
      </w:r>
      <w:r w:rsidR="00E518B4">
        <w:rPr>
          <w:bCs/>
        </w:rPr>
        <w:t xml:space="preserve"> заподіяння</w:t>
      </w:r>
      <w:r>
        <w:rPr>
          <w:bCs/>
        </w:rPr>
        <w:t xml:space="preserve"> матеріальни</w:t>
      </w:r>
      <w:r w:rsidR="00E518B4">
        <w:rPr>
          <w:bCs/>
        </w:rPr>
        <w:t>х</w:t>
      </w:r>
      <w:r>
        <w:rPr>
          <w:bCs/>
        </w:rPr>
        <w:t xml:space="preserve"> збитк</w:t>
      </w:r>
      <w:r w:rsidR="00E518B4">
        <w:rPr>
          <w:bCs/>
        </w:rPr>
        <w:t>ів</w:t>
      </w:r>
      <w:r>
        <w:rPr>
          <w:bCs/>
        </w:rPr>
        <w:t xml:space="preserve"> громадянину, який постраждав від злочину, та є його позовна вимога про відшкодування збитк</w:t>
      </w:r>
      <w:r w:rsidR="00E518B4">
        <w:rPr>
          <w:bCs/>
        </w:rPr>
        <w:t>ів</w:t>
      </w:r>
      <w:r>
        <w:rPr>
          <w:bCs/>
        </w:rPr>
        <w:t>, сума застави насамперед має звертатись на задоволення позов</w:t>
      </w:r>
      <w:r w:rsidR="00E518B4">
        <w:rPr>
          <w:bCs/>
        </w:rPr>
        <w:t>у</w:t>
      </w:r>
      <w:r>
        <w:rPr>
          <w:bCs/>
        </w:rPr>
        <w:t xml:space="preserve"> потерпілого. </w:t>
      </w:r>
      <w:r w:rsidRPr="00F35000">
        <w:rPr>
          <w:bCs/>
          <w:i/>
          <w:iCs/>
        </w:rPr>
        <w:t>Застава має бути достатньою для того, щоб у разі, якщо обвинувачений сховався від слідства і суду, можна було відшкодувати збитк</w:t>
      </w:r>
      <w:r w:rsidR="00E518B4">
        <w:rPr>
          <w:bCs/>
          <w:i/>
          <w:iCs/>
        </w:rPr>
        <w:t>и</w:t>
      </w:r>
      <w:r w:rsidRPr="00F35000">
        <w:rPr>
          <w:bCs/>
          <w:i/>
          <w:iCs/>
        </w:rPr>
        <w:t xml:space="preserve"> потерпіло</w:t>
      </w:r>
      <w:r w:rsidR="00E518B4">
        <w:rPr>
          <w:bCs/>
          <w:i/>
          <w:iCs/>
        </w:rPr>
        <w:t>му</w:t>
      </w:r>
      <w:r>
        <w:rPr>
          <w:rStyle w:val="af3"/>
          <w:bCs/>
        </w:rPr>
        <w:footnoteReference w:id="3"/>
      </w:r>
      <w:r>
        <w:rPr>
          <w:bCs/>
          <w:lang w:val="ru-RU"/>
        </w:rPr>
        <w:t>.</w:t>
      </w:r>
    </w:p>
    <w:p w:rsidR="0048752B" w:rsidRPr="008408E9" w:rsidRDefault="0048752B" w:rsidP="0048752B">
      <w:pPr>
        <w:spacing w:after="0" w:line="240" w:lineRule="auto"/>
        <w:ind w:firstLine="709"/>
        <w:jc w:val="both"/>
        <w:rPr>
          <w:bCs/>
        </w:rPr>
      </w:pPr>
      <w:r w:rsidRPr="005555AC">
        <w:rPr>
          <w:b/>
          <w:lang w:val="ru-RU"/>
        </w:rPr>
        <w:t>2.</w:t>
      </w:r>
      <w:r>
        <w:rPr>
          <w:bCs/>
          <w:lang w:val="ru-RU"/>
        </w:rPr>
        <w:t xml:space="preserve"> </w:t>
      </w:r>
      <w:r>
        <w:rPr>
          <w:bCs/>
        </w:rPr>
        <w:t>С</w:t>
      </w:r>
      <w:r w:rsidRPr="0048752B">
        <w:rPr>
          <w:bCs/>
        </w:rPr>
        <w:t xml:space="preserve">трок, протягом якого підозрюваний, обвинувачений, який не тримається під вартою, зобов’язаний внести кошти на відповідний рахунок або забезпечити їх внесення </w:t>
      </w:r>
      <w:proofErr w:type="spellStart"/>
      <w:r w:rsidRPr="0048752B">
        <w:rPr>
          <w:bCs/>
        </w:rPr>
        <w:t>заставодавцем</w:t>
      </w:r>
      <w:proofErr w:type="spellEnd"/>
      <w:r w:rsidRPr="0048752B">
        <w:rPr>
          <w:bCs/>
        </w:rPr>
        <w:t xml:space="preserve"> та надати документ, що це підтверджує, слідчому, прокурору, суду </w:t>
      </w:r>
      <w:bookmarkStart w:id="0" w:name="_GoBack"/>
      <w:bookmarkEnd w:id="0"/>
      <w:r w:rsidR="00E518B4">
        <w:rPr>
          <w:bCs/>
        </w:rPr>
        <w:t>(</w:t>
      </w:r>
      <w:r w:rsidRPr="0048752B">
        <w:rPr>
          <w:bCs/>
        </w:rPr>
        <w:t>ч. 6 ст</w:t>
      </w:r>
      <w:r w:rsidR="00E518B4">
        <w:rPr>
          <w:bCs/>
        </w:rPr>
        <w:t>.</w:t>
      </w:r>
      <w:r w:rsidRPr="0048752B">
        <w:rPr>
          <w:bCs/>
        </w:rPr>
        <w:t xml:space="preserve"> 182 КПК</w:t>
      </w:r>
      <w:r w:rsidR="00E518B4">
        <w:rPr>
          <w:bCs/>
        </w:rPr>
        <w:t>)</w:t>
      </w:r>
      <w:r w:rsidR="00504623">
        <w:rPr>
          <w:bCs/>
        </w:rPr>
        <w:t>,</w:t>
      </w:r>
      <w:r w:rsidRPr="0048752B">
        <w:rPr>
          <w:bCs/>
        </w:rPr>
        <w:t xml:space="preserve"> </w:t>
      </w:r>
      <w:r w:rsidR="005B2526">
        <w:rPr>
          <w:bCs/>
        </w:rPr>
        <w:t xml:space="preserve">законопроектом зменшується з </w:t>
      </w:r>
      <w:r w:rsidRPr="0048752B">
        <w:rPr>
          <w:bCs/>
        </w:rPr>
        <w:t>п’яти</w:t>
      </w:r>
      <w:r w:rsidR="005B2526">
        <w:rPr>
          <w:bCs/>
        </w:rPr>
        <w:t xml:space="preserve"> до трьох</w:t>
      </w:r>
      <w:r w:rsidRPr="0048752B">
        <w:rPr>
          <w:bCs/>
        </w:rPr>
        <w:t xml:space="preserve"> днів з дня обрання запобіжного заходу у вигляді застави</w:t>
      </w:r>
      <w:r>
        <w:rPr>
          <w:bCs/>
        </w:rPr>
        <w:t xml:space="preserve">. Слід нагадати, що цей </w:t>
      </w:r>
      <w:r>
        <w:rPr>
          <w:bCs/>
        </w:rPr>
        <w:lastRenderedPageBreak/>
        <w:t>строк залиша</w:t>
      </w:r>
      <w:r w:rsidR="00E518B4">
        <w:rPr>
          <w:bCs/>
        </w:rPr>
        <w:t>єтьс</w:t>
      </w:r>
      <w:r>
        <w:rPr>
          <w:bCs/>
        </w:rPr>
        <w:t>я незмінним протягом тривалого часу. Таким він був і в КПК 1960 р. (див. ч. 6 ст. 154-1), і в чинному КПК</w:t>
      </w:r>
      <w:r w:rsidR="00193F54">
        <w:rPr>
          <w:bCs/>
        </w:rPr>
        <w:t xml:space="preserve"> з дати набрання ним чинності (див. ч. 6 ст. 182). На порушення вимог п. 1 ч. 1 ст. 91 Регламенту Верховної Ради України в пояснювальній записці до проекту відсутні обґрунтування необхідності прийняття цього положення, а також переконливі доводи на </w:t>
      </w:r>
      <w:r w:rsidR="005B2526">
        <w:rPr>
          <w:bCs/>
        </w:rPr>
        <w:t>користь</w:t>
      </w:r>
      <w:r w:rsidR="00193F54">
        <w:rPr>
          <w:bCs/>
        </w:rPr>
        <w:t xml:space="preserve"> того, що трьох днів цілком достатньо для внесення застави та надання слідчому, </w:t>
      </w:r>
      <w:r w:rsidR="00193F54" w:rsidRPr="008408E9">
        <w:rPr>
          <w:bCs/>
        </w:rPr>
        <w:t>прокурору, суду документів, що це підтверджу</w:t>
      </w:r>
      <w:r w:rsidR="00E518B4" w:rsidRPr="008408E9">
        <w:rPr>
          <w:bCs/>
        </w:rPr>
        <w:t>ють</w:t>
      </w:r>
      <w:r w:rsidR="00193F54" w:rsidRPr="008408E9">
        <w:rPr>
          <w:bCs/>
        </w:rPr>
        <w:t>.</w:t>
      </w:r>
    </w:p>
    <w:p w:rsidR="00B1574C" w:rsidRPr="008408E9" w:rsidRDefault="0048752B" w:rsidP="00C825CE">
      <w:pPr>
        <w:spacing w:after="0" w:line="240" w:lineRule="auto"/>
        <w:ind w:firstLine="709"/>
        <w:jc w:val="both"/>
        <w:rPr>
          <w:bCs/>
        </w:rPr>
      </w:pPr>
      <w:r w:rsidRPr="008408E9">
        <w:rPr>
          <w:b/>
        </w:rPr>
        <w:t>3</w:t>
      </w:r>
      <w:r w:rsidR="00F02006" w:rsidRPr="008408E9">
        <w:rPr>
          <w:b/>
        </w:rPr>
        <w:t>.</w:t>
      </w:r>
      <w:r w:rsidR="005B2526" w:rsidRPr="008408E9">
        <w:rPr>
          <w:bCs/>
        </w:rPr>
        <w:t xml:space="preserve"> У</w:t>
      </w:r>
      <w:r w:rsidR="00F02006" w:rsidRPr="008408E9">
        <w:rPr>
          <w:bCs/>
        </w:rPr>
        <w:t xml:space="preserve"> ч. 11 ст. 182 КПК наразі передбачено, що застава, що не була звернена в дохід держави, повертається підозрюваному, обвинуваченому, </w:t>
      </w:r>
      <w:proofErr w:type="spellStart"/>
      <w:r w:rsidR="00F02006" w:rsidRPr="008408E9">
        <w:rPr>
          <w:bCs/>
        </w:rPr>
        <w:t>заставодавцю</w:t>
      </w:r>
      <w:proofErr w:type="spellEnd"/>
      <w:r w:rsidR="00F02006" w:rsidRPr="008408E9">
        <w:rPr>
          <w:bCs/>
        </w:rPr>
        <w:t xml:space="preserve"> після припинення дії цього запобіжного заходу. При цьому</w:t>
      </w:r>
      <w:r w:rsidR="005C5EBF" w:rsidRPr="008408E9">
        <w:rPr>
          <w:bCs/>
        </w:rPr>
        <w:t>,</w:t>
      </w:r>
      <w:r w:rsidR="00F02006" w:rsidRPr="008408E9">
        <w:rPr>
          <w:bCs/>
        </w:rPr>
        <w:t xml:space="preserve"> застава, внесена підозрюваним, обвинуваченим, може бути повністю або частково звернена судом на виконання вироку в частині майнових стягнень. </w:t>
      </w:r>
      <w:r w:rsidR="00F02006" w:rsidRPr="008408E9">
        <w:rPr>
          <w:bCs/>
          <w:i/>
          <w:iCs/>
        </w:rPr>
        <w:t xml:space="preserve">Застава, внесена </w:t>
      </w:r>
      <w:proofErr w:type="spellStart"/>
      <w:r w:rsidR="00F02006" w:rsidRPr="008408E9">
        <w:rPr>
          <w:bCs/>
          <w:i/>
          <w:iCs/>
        </w:rPr>
        <w:t>заставодавцем</w:t>
      </w:r>
      <w:proofErr w:type="spellEnd"/>
      <w:r w:rsidR="00F02006" w:rsidRPr="008408E9">
        <w:rPr>
          <w:bCs/>
          <w:i/>
          <w:iCs/>
        </w:rPr>
        <w:t>, може бути звернена судом на виконання вироку в частині майнових стягнень тільки за його згодою</w:t>
      </w:r>
      <w:r w:rsidR="00F02006" w:rsidRPr="008408E9">
        <w:rPr>
          <w:bCs/>
        </w:rPr>
        <w:t>.</w:t>
      </w:r>
      <w:r w:rsidR="00B1574C" w:rsidRPr="008408E9">
        <w:rPr>
          <w:bCs/>
        </w:rPr>
        <w:t xml:space="preserve"> Тобто</w:t>
      </w:r>
      <w:r w:rsidR="005C5EBF" w:rsidRPr="008408E9">
        <w:rPr>
          <w:bCs/>
        </w:rPr>
        <w:t>,</w:t>
      </w:r>
      <w:r w:rsidR="00B1574C" w:rsidRPr="008408E9">
        <w:rPr>
          <w:bCs/>
        </w:rPr>
        <w:t xml:space="preserve"> законодавцем розмежовано долю застави залежно від суб’єкта, який її вніс.</w:t>
      </w:r>
    </w:p>
    <w:p w:rsidR="00504623" w:rsidRDefault="005B2526" w:rsidP="00C825CE">
      <w:pPr>
        <w:spacing w:after="0" w:line="240" w:lineRule="auto"/>
        <w:ind w:firstLine="709"/>
        <w:jc w:val="both"/>
        <w:rPr>
          <w:bCs/>
        </w:rPr>
      </w:pPr>
      <w:r w:rsidRPr="008408E9">
        <w:rPr>
          <w:bCs/>
        </w:rPr>
        <w:t>У</w:t>
      </w:r>
      <w:r w:rsidR="00F02006" w:rsidRPr="008408E9">
        <w:rPr>
          <w:bCs/>
        </w:rPr>
        <w:t xml:space="preserve"> законопроекті пропонується </w:t>
      </w:r>
      <w:r w:rsidR="00B1574C" w:rsidRPr="008408E9">
        <w:rPr>
          <w:bCs/>
        </w:rPr>
        <w:t xml:space="preserve">виключити з ч. 11 ст. 182 КПК останнє речення. На наш погляд, запропоновані в цій частині зміни </w:t>
      </w:r>
      <w:r w:rsidR="00504623" w:rsidRPr="008408E9">
        <w:rPr>
          <w:bCs/>
        </w:rPr>
        <w:t>справлять</w:t>
      </w:r>
      <w:r w:rsidR="00B1574C" w:rsidRPr="008408E9">
        <w:rPr>
          <w:bCs/>
        </w:rPr>
        <w:t xml:space="preserve"> негативний вплив </w:t>
      </w:r>
      <w:r w:rsidR="00504623" w:rsidRPr="008408E9">
        <w:rPr>
          <w:bCs/>
        </w:rPr>
        <w:t>на</w:t>
      </w:r>
      <w:r w:rsidR="00CE2C95" w:rsidRPr="008408E9">
        <w:rPr>
          <w:bCs/>
        </w:rPr>
        <w:t xml:space="preserve"> </w:t>
      </w:r>
      <w:r w:rsidR="00504623" w:rsidRPr="008408E9">
        <w:rPr>
          <w:bCs/>
        </w:rPr>
        <w:t xml:space="preserve">можливості </w:t>
      </w:r>
      <w:r w:rsidR="00CE2C95" w:rsidRPr="008408E9">
        <w:rPr>
          <w:bCs/>
        </w:rPr>
        <w:t>відшкодування шкоди, завданої вчиненням злочину</w:t>
      </w:r>
      <w:r w:rsidR="00122ABD" w:rsidRPr="008408E9">
        <w:rPr>
          <w:bCs/>
        </w:rPr>
        <w:t xml:space="preserve">. </w:t>
      </w:r>
      <w:r w:rsidR="00CE2C95" w:rsidRPr="008408E9">
        <w:rPr>
          <w:bCs/>
        </w:rPr>
        <w:t xml:space="preserve">Адже </w:t>
      </w:r>
      <w:r w:rsidR="00504623" w:rsidRPr="008408E9">
        <w:rPr>
          <w:bCs/>
        </w:rPr>
        <w:t xml:space="preserve">ними виключається можливість звернення наданої </w:t>
      </w:r>
      <w:proofErr w:type="spellStart"/>
      <w:r w:rsidR="00504623" w:rsidRPr="008408E9">
        <w:rPr>
          <w:bCs/>
        </w:rPr>
        <w:t>заставодавцем</w:t>
      </w:r>
      <w:proofErr w:type="spellEnd"/>
      <w:r w:rsidR="00504623">
        <w:rPr>
          <w:bCs/>
        </w:rPr>
        <w:t xml:space="preserve"> (який не є підозрюваним чи обвинуваченим)</w:t>
      </w:r>
      <w:r w:rsidR="00504623" w:rsidRPr="00AE1AD2">
        <w:rPr>
          <w:bCs/>
        </w:rPr>
        <w:t xml:space="preserve"> застави на виконання вироку в частині майнових стягнень</w:t>
      </w:r>
      <w:r w:rsidR="00504623">
        <w:rPr>
          <w:bCs/>
        </w:rPr>
        <w:t xml:space="preserve"> навіть тоді, коли </w:t>
      </w:r>
      <w:proofErr w:type="spellStart"/>
      <w:r w:rsidR="00504623">
        <w:rPr>
          <w:bCs/>
        </w:rPr>
        <w:t>заставодавець</w:t>
      </w:r>
      <w:proofErr w:type="spellEnd"/>
      <w:r w:rsidR="00504623">
        <w:rPr>
          <w:bCs/>
        </w:rPr>
        <w:t xml:space="preserve"> надав на це згоду.</w:t>
      </w:r>
    </w:p>
    <w:p w:rsidR="00246A1A" w:rsidRPr="00AE1AD2" w:rsidRDefault="00025610" w:rsidP="00C825CE">
      <w:pPr>
        <w:spacing w:after="0" w:line="240" w:lineRule="auto"/>
        <w:ind w:firstLine="709"/>
        <w:jc w:val="both"/>
        <w:rPr>
          <w:bCs/>
        </w:rPr>
      </w:pPr>
      <w:r w:rsidRPr="008408E9">
        <w:rPr>
          <w:bCs/>
        </w:rPr>
        <w:t>Відтак,</w:t>
      </w:r>
      <w:r w:rsidR="008408E9" w:rsidRPr="008408E9">
        <w:rPr>
          <w:bCs/>
        </w:rPr>
        <w:t xml:space="preserve"> на нашу думку,</w:t>
      </w:r>
      <w:r w:rsidRPr="008408E9">
        <w:rPr>
          <w:bCs/>
        </w:rPr>
        <w:t xml:space="preserve"> в даному випадку доцільно залишити ч. 11 ст. 182 КПК </w:t>
      </w:r>
      <w:r w:rsidR="005C5EBF" w:rsidRPr="008408E9">
        <w:rPr>
          <w:bCs/>
        </w:rPr>
        <w:t>у</w:t>
      </w:r>
      <w:r w:rsidRPr="008408E9">
        <w:rPr>
          <w:bCs/>
        </w:rPr>
        <w:t xml:space="preserve"> чинній редакції.</w:t>
      </w:r>
    </w:p>
    <w:p w:rsidR="00C825CE" w:rsidRDefault="00C825CE" w:rsidP="00C825CE">
      <w:pPr>
        <w:spacing w:after="0" w:line="240" w:lineRule="auto"/>
        <w:ind w:firstLine="709"/>
        <w:jc w:val="both"/>
        <w:rPr>
          <w:bCs/>
        </w:rPr>
      </w:pPr>
    </w:p>
    <w:p w:rsidR="00025610" w:rsidRPr="001B1941" w:rsidRDefault="00025610" w:rsidP="00C825CE">
      <w:pPr>
        <w:spacing w:after="0" w:line="240" w:lineRule="auto"/>
        <w:ind w:firstLine="709"/>
        <w:jc w:val="both"/>
        <w:rPr>
          <w:bCs/>
        </w:rPr>
      </w:pPr>
    </w:p>
    <w:p w:rsidR="003E43BF" w:rsidRPr="00952990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B194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1B194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1B194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3E43BF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D333DB" w:rsidRPr="00952990" w:rsidRDefault="00D333DB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3E43BF" w:rsidRPr="00667C80" w:rsidRDefault="00614E83" w:rsidP="005B76BB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BD290E">
        <w:rPr>
          <w:color w:val="000000" w:themeColor="text1"/>
          <w:sz w:val="20"/>
          <w:szCs w:val="20"/>
        </w:rPr>
        <w:t>Вик</w:t>
      </w:r>
      <w:proofErr w:type="spellEnd"/>
      <w:r w:rsidRPr="00BD290E">
        <w:rPr>
          <w:color w:val="000000" w:themeColor="text1"/>
          <w:sz w:val="20"/>
          <w:szCs w:val="20"/>
        </w:rPr>
        <w:t>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B00753">
        <w:rPr>
          <w:color w:val="000000" w:themeColor="text1"/>
          <w:sz w:val="20"/>
          <w:szCs w:val="20"/>
        </w:rPr>
        <w:t>І</w:t>
      </w:r>
      <w:r w:rsidRPr="00BD290E">
        <w:rPr>
          <w:color w:val="000000" w:themeColor="text1"/>
          <w:sz w:val="20"/>
          <w:szCs w:val="20"/>
        </w:rPr>
        <w:t>. К</w:t>
      </w:r>
      <w:r w:rsidR="00B00753">
        <w:rPr>
          <w:color w:val="000000" w:themeColor="text1"/>
          <w:sz w:val="20"/>
          <w:szCs w:val="20"/>
        </w:rPr>
        <w:t>унець</w:t>
      </w:r>
    </w:p>
    <w:p w:rsidR="003A2A4C" w:rsidRDefault="003A2A4C" w:rsidP="005B76BB">
      <w:pPr>
        <w:spacing w:after="0" w:line="240" w:lineRule="auto"/>
        <w:ind w:firstLine="709"/>
      </w:pPr>
    </w:p>
    <w:sectPr w:rsidR="003A2A4C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913" w:rsidRDefault="00375913" w:rsidP="003E43BF">
      <w:pPr>
        <w:spacing w:after="0" w:line="240" w:lineRule="auto"/>
      </w:pPr>
      <w:r>
        <w:separator/>
      </w:r>
    </w:p>
  </w:endnote>
  <w:endnote w:type="continuationSeparator" w:id="0">
    <w:p w:rsidR="00375913" w:rsidRDefault="00375913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F24998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913" w:rsidRDefault="00375913" w:rsidP="003E43BF">
      <w:pPr>
        <w:spacing w:after="0" w:line="240" w:lineRule="auto"/>
      </w:pPr>
      <w:r>
        <w:separator/>
      </w:r>
    </w:p>
  </w:footnote>
  <w:footnote w:type="continuationSeparator" w:id="0">
    <w:p w:rsidR="00375913" w:rsidRDefault="00375913" w:rsidP="003E43BF">
      <w:pPr>
        <w:spacing w:after="0" w:line="240" w:lineRule="auto"/>
      </w:pPr>
      <w:r>
        <w:continuationSeparator/>
      </w:r>
    </w:p>
  </w:footnote>
  <w:footnote w:id="1">
    <w:p w:rsidR="00C825CE" w:rsidRDefault="00C825CE">
      <w:pPr>
        <w:pStyle w:val="af1"/>
      </w:pPr>
      <w:r>
        <w:rPr>
          <w:rStyle w:val="af3"/>
        </w:rPr>
        <w:footnoteRef/>
      </w:r>
      <w:r>
        <w:t xml:space="preserve"> </w:t>
      </w:r>
      <w:proofErr w:type="spellStart"/>
      <w:r>
        <w:t>Тертишник</w:t>
      </w:r>
      <w:proofErr w:type="spellEnd"/>
      <w:r>
        <w:t xml:space="preserve"> В. М. Науково-практичний комент</w:t>
      </w:r>
      <w:r w:rsidR="00B1574C">
        <w:t>а</w:t>
      </w:r>
      <w:r>
        <w:t xml:space="preserve">р Кримінального процесуального кодексу </w:t>
      </w:r>
      <w:proofErr w:type="spellStart"/>
      <w:r>
        <w:t>україни</w:t>
      </w:r>
      <w:proofErr w:type="spellEnd"/>
      <w:r>
        <w:t xml:space="preserve">. Вид. 15-те, </w:t>
      </w:r>
      <w:proofErr w:type="spellStart"/>
      <w:r>
        <w:t>доповн</w:t>
      </w:r>
      <w:proofErr w:type="spellEnd"/>
      <w:r>
        <w:t>. і перероб. – К.: Правова Єдність, 2018. - С. 286.</w:t>
      </w:r>
    </w:p>
  </w:footnote>
  <w:footnote w:id="2">
    <w:p w:rsidR="00DD01FD" w:rsidRDefault="00DD01FD">
      <w:pPr>
        <w:pStyle w:val="af1"/>
      </w:pPr>
      <w:r>
        <w:rPr>
          <w:rStyle w:val="af3"/>
        </w:rPr>
        <w:footnoteRef/>
      </w:r>
      <w:r>
        <w:t xml:space="preserve"> Кримінальний процесуальний кодекс України. Науково-практичний коментар: у 2 т. Т. 1 / О. М. Бандурка, Є. М. </w:t>
      </w:r>
      <w:proofErr w:type="spellStart"/>
      <w:r>
        <w:t>Блажівський</w:t>
      </w:r>
      <w:proofErr w:type="spellEnd"/>
      <w:r>
        <w:t xml:space="preserve">, Є. П. </w:t>
      </w:r>
      <w:proofErr w:type="spellStart"/>
      <w:r>
        <w:t>Бурдоль</w:t>
      </w:r>
      <w:proofErr w:type="spellEnd"/>
      <w:r>
        <w:t xml:space="preserve"> та ін. ; за </w:t>
      </w:r>
      <w:proofErr w:type="spellStart"/>
      <w:r>
        <w:t>заг</w:t>
      </w:r>
      <w:proofErr w:type="spellEnd"/>
      <w:r>
        <w:t xml:space="preserve">. ред. В. Я. </w:t>
      </w:r>
      <w:proofErr w:type="spellStart"/>
      <w:r>
        <w:t>Тація</w:t>
      </w:r>
      <w:proofErr w:type="spellEnd"/>
      <w:r>
        <w:t xml:space="preserve">, В. П. </w:t>
      </w:r>
      <w:proofErr w:type="spellStart"/>
      <w:r>
        <w:t>Пшонки</w:t>
      </w:r>
      <w:proofErr w:type="spellEnd"/>
      <w:r>
        <w:t xml:space="preserve">, А. В. </w:t>
      </w:r>
      <w:proofErr w:type="spellStart"/>
      <w:r>
        <w:t>Портнова</w:t>
      </w:r>
      <w:proofErr w:type="spellEnd"/>
      <w:r>
        <w:t>. – Х.: Право, 2012. -С. 467</w:t>
      </w:r>
    </w:p>
  </w:footnote>
  <w:footnote w:id="3">
    <w:p w:rsidR="00F35000" w:rsidRDefault="00F35000" w:rsidP="00F35000">
      <w:pPr>
        <w:pStyle w:val="af1"/>
      </w:pPr>
      <w:r>
        <w:rPr>
          <w:rStyle w:val="af3"/>
        </w:rPr>
        <w:footnoteRef/>
      </w:r>
      <w:r>
        <w:t xml:space="preserve"> </w:t>
      </w:r>
      <w:proofErr w:type="spellStart"/>
      <w:r>
        <w:t>Тертишник</w:t>
      </w:r>
      <w:proofErr w:type="spellEnd"/>
      <w:r>
        <w:t xml:space="preserve"> В. М. Науково-практичний </w:t>
      </w:r>
      <w:proofErr w:type="spellStart"/>
      <w:r>
        <w:t>коментр</w:t>
      </w:r>
      <w:proofErr w:type="spellEnd"/>
      <w:r>
        <w:t xml:space="preserve"> Кримінального процесуального кодексу </w:t>
      </w:r>
      <w:proofErr w:type="spellStart"/>
      <w:r>
        <w:t>україни</w:t>
      </w:r>
      <w:proofErr w:type="spellEnd"/>
      <w:r>
        <w:t xml:space="preserve">. Вид. 15-те, </w:t>
      </w:r>
      <w:proofErr w:type="spellStart"/>
      <w:r>
        <w:t>доповн</w:t>
      </w:r>
      <w:proofErr w:type="spellEnd"/>
      <w:r>
        <w:t>. і перероб. – К.: Правова Єдність, 2018. - С. 287.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24998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Pr="00B00753" w:rsidRDefault="00C874D3" w:rsidP="0034099D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485E49">
      <w:rPr>
        <w:sz w:val="20"/>
        <w:szCs w:val="20"/>
        <w:lang w:val="ru-RU"/>
      </w:rPr>
      <w:t>5892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B00753">
      <w:rPr>
        <w:sz w:val="20"/>
        <w:szCs w:val="20"/>
        <w:lang w:val="ru-RU"/>
      </w:rPr>
      <w:t>06</w:t>
    </w:r>
    <w:r w:rsidR="003E43BF" w:rsidRPr="003E43BF">
      <w:rPr>
        <w:sz w:val="20"/>
        <w:szCs w:val="20"/>
      </w:rPr>
      <w:t>.</w:t>
    </w:r>
    <w:r w:rsidR="00B00753">
      <w:rPr>
        <w:sz w:val="20"/>
        <w:szCs w:val="20"/>
        <w:lang w:val="ru-RU"/>
      </w:rPr>
      <w:t>09</w:t>
    </w:r>
    <w:r w:rsidR="003E43BF" w:rsidRPr="003E43BF">
      <w:rPr>
        <w:sz w:val="20"/>
        <w:szCs w:val="20"/>
      </w:rPr>
      <w:t>.202</w:t>
    </w:r>
    <w:r w:rsidR="00B00753">
      <w:rPr>
        <w:sz w:val="20"/>
        <w:szCs w:val="20"/>
        <w:lang w:val="ru-RU"/>
      </w:rPr>
      <w:t>1</w:t>
    </w:r>
  </w:p>
  <w:p w:rsidR="004B2593" w:rsidRDefault="00C874D3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4B2593" w:rsidRPr="008B2099" w:rsidRDefault="00B00753" w:rsidP="003E43BF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В</w:t>
    </w:r>
    <w:r w:rsidR="003E43BF">
      <w:rPr>
        <w:sz w:val="20"/>
        <w:szCs w:val="20"/>
      </w:rPr>
      <w:t xml:space="preserve">. </w:t>
    </w:r>
    <w:r>
      <w:rPr>
        <w:sz w:val="20"/>
        <w:szCs w:val="20"/>
        <w:lang w:val="ru-RU"/>
      </w:rPr>
      <w:t>Неклюдов</w:t>
    </w:r>
    <w:r w:rsidR="003E43BF" w:rsidRPr="003E43BF">
      <w:rPr>
        <w:sz w:val="20"/>
        <w:szCs w:val="20"/>
      </w:rPr>
      <w:t xml:space="preserve"> </w:t>
    </w:r>
    <w:r w:rsidR="00C874D3">
      <w:rPr>
        <w:sz w:val="20"/>
        <w:szCs w:val="20"/>
      </w:rPr>
      <w:t>та інші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0F38"/>
    <w:rsid w:val="00006DB0"/>
    <w:rsid w:val="00012FE7"/>
    <w:rsid w:val="00014598"/>
    <w:rsid w:val="00025610"/>
    <w:rsid w:val="00030C30"/>
    <w:rsid w:val="00037321"/>
    <w:rsid w:val="000474D8"/>
    <w:rsid w:val="000A762C"/>
    <w:rsid w:val="000B1135"/>
    <w:rsid w:val="000B69E1"/>
    <w:rsid w:val="000E56E0"/>
    <w:rsid w:val="00107017"/>
    <w:rsid w:val="00112C2E"/>
    <w:rsid w:val="001149CB"/>
    <w:rsid w:val="001204DD"/>
    <w:rsid w:val="00122ABD"/>
    <w:rsid w:val="001633E6"/>
    <w:rsid w:val="00177ACD"/>
    <w:rsid w:val="0019159A"/>
    <w:rsid w:val="00193F54"/>
    <w:rsid w:val="001B1941"/>
    <w:rsid w:val="001C15AC"/>
    <w:rsid w:val="00202612"/>
    <w:rsid w:val="002235C6"/>
    <w:rsid w:val="00236363"/>
    <w:rsid w:val="002404E0"/>
    <w:rsid w:val="00246A1A"/>
    <w:rsid w:val="00291CD6"/>
    <w:rsid w:val="002B2A16"/>
    <w:rsid w:val="002B7766"/>
    <w:rsid w:val="002D2A89"/>
    <w:rsid w:val="002D6E78"/>
    <w:rsid w:val="003008B9"/>
    <w:rsid w:val="003171B4"/>
    <w:rsid w:val="00336873"/>
    <w:rsid w:val="00340D2A"/>
    <w:rsid w:val="00347BB7"/>
    <w:rsid w:val="0035165F"/>
    <w:rsid w:val="00353556"/>
    <w:rsid w:val="00360183"/>
    <w:rsid w:val="00375913"/>
    <w:rsid w:val="00383103"/>
    <w:rsid w:val="003A07EC"/>
    <w:rsid w:val="003A2A4C"/>
    <w:rsid w:val="003A52E4"/>
    <w:rsid w:val="003E43BF"/>
    <w:rsid w:val="003F007E"/>
    <w:rsid w:val="00400359"/>
    <w:rsid w:val="0040559B"/>
    <w:rsid w:val="0041747C"/>
    <w:rsid w:val="00422373"/>
    <w:rsid w:val="00445E88"/>
    <w:rsid w:val="0046418C"/>
    <w:rsid w:val="00485E49"/>
    <w:rsid w:val="0048752B"/>
    <w:rsid w:val="00492B5E"/>
    <w:rsid w:val="004F3BCB"/>
    <w:rsid w:val="004F3E4E"/>
    <w:rsid w:val="00504623"/>
    <w:rsid w:val="00537135"/>
    <w:rsid w:val="005555AC"/>
    <w:rsid w:val="00560D69"/>
    <w:rsid w:val="00572288"/>
    <w:rsid w:val="0059471C"/>
    <w:rsid w:val="005B2526"/>
    <w:rsid w:val="005B448B"/>
    <w:rsid w:val="005B4BCC"/>
    <w:rsid w:val="005B76BB"/>
    <w:rsid w:val="005C5EBF"/>
    <w:rsid w:val="005D5D25"/>
    <w:rsid w:val="005F1E89"/>
    <w:rsid w:val="00611FFD"/>
    <w:rsid w:val="00612D5B"/>
    <w:rsid w:val="00614E83"/>
    <w:rsid w:val="00626F31"/>
    <w:rsid w:val="00641AE7"/>
    <w:rsid w:val="00666275"/>
    <w:rsid w:val="00690A9A"/>
    <w:rsid w:val="006917BF"/>
    <w:rsid w:val="006972D1"/>
    <w:rsid w:val="006A0FA2"/>
    <w:rsid w:val="006A215B"/>
    <w:rsid w:val="006C777A"/>
    <w:rsid w:val="006E2CBD"/>
    <w:rsid w:val="007023CB"/>
    <w:rsid w:val="007033D8"/>
    <w:rsid w:val="007341F4"/>
    <w:rsid w:val="00752191"/>
    <w:rsid w:val="00763C2F"/>
    <w:rsid w:val="007731CF"/>
    <w:rsid w:val="00797A05"/>
    <w:rsid w:val="007A6A7B"/>
    <w:rsid w:val="007B4893"/>
    <w:rsid w:val="007D4B27"/>
    <w:rsid w:val="00821D70"/>
    <w:rsid w:val="0083421D"/>
    <w:rsid w:val="00834507"/>
    <w:rsid w:val="00835E52"/>
    <w:rsid w:val="0084039D"/>
    <w:rsid w:val="008408E9"/>
    <w:rsid w:val="00872F83"/>
    <w:rsid w:val="008D2C7E"/>
    <w:rsid w:val="008D603B"/>
    <w:rsid w:val="008E5F60"/>
    <w:rsid w:val="008F5EF0"/>
    <w:rsid w:val="00944CC0"/>
    <w:rsid w:val="0096462E"/>
    <w:rsid w:val="00981199"/>
    <w:rsid w:val="0099012A"/>
    <w:rsid w:val="00994086"/>
    <w:rsid w:val="009B0687"/>
    <w:rsid w:val="009B33A5"/>
    <w:rsid w:val="009C205E"/>
    <w:rsid w:val="00A06D30"/>
    <w:rsid w:val="00A312AB"/>
    <w:rsid w:val="00A31D4E"/>
    <w:rsid w:val="00A366D7"/>
    <w:rsid w:val="00A7089A"/>
    <w:rsid w:val="00A9496E"/>
    <w:rsid w:val="00AA584A"/>
    <w:rsid w:val="00AC4182"/>
    <w:rsid w:val="00AC696C"/>
    <w:rsid w:val="00AE1AD2"/>
    <w:rsid w:val="00AE7828"/>
    <w:rsid w:val="00AF2751"/>
    <w:rsid w:val="00B00753"/>
    <w:rsid w:val="00B1574C"/>
    <w:rsid w:val="00B41DD7"/>
    <w:rsid w:val="00B45BF4"/>
    <w:rsid w:val="00B47500"/>
    <w:rsid w:val="00B52965"/>
    <w:rsid w:val="00BA2DD3"/>
    <w:rsid w:val="00BD4D58"/>
    <w:rsid w:val="00BF2202"/>
    <w:rsid w:val="00C13299"/>
    <w:rsid w:val="00C31B04"/>
    <w:rsid w:val="00C52E4E"/>
    <w:rsid w:val="00C56EE1"/>
    <w:rsid w:val="00C62DA7"/>
    <w:rsid w:val="00C80AD5"/>
    <w:rsid w:val="00C825CE"/>
    <w:rsid w:val="00C874D3"/>
    <w:rsid w:val="00CA4BEA"/>
    <w:rsid w:val="00CE2C95"/>
    <w:rsid w:val="00CE420F"/>
    <w:rsid w:val="00D23B23"/>
    <w:rsid w:val="00D267B0"/>
    <w:rsid w:val="00D27406"/>
    <w:rsid w:val="00D333DB"/>
    <w:rsid w:val="00D3440C"/>
    <w:rsid w:val="00D46788"/>
    <w:rsid w:val="00D51ADD"/>
    <w:rsid w:val="00D52E2F"/>
    <w:rsid w:val="00D735CE"/>
    <w:rsid w:val="00D74942"/>
    <w:rsid w:val="00D8060E"/>
    <w:rsid w:val="00D83E58"/>
    <w:rsid w:val="00D93F29"/>
    <w:rsid w:val="00D943C9"/>
    <w:rsid w:val="00DA73F9"/>
    <w:rsid w:val="00DC4F30"/>
    <w:rsid w:val="00DC7203"/>
    <w:rsid w:val="00DD01FD"/>
    <w:rsid w:val="00DF02AC"/>
    <w:rsid w:val="00DF4880"/>
    <w:rsid w:val="00E04393"/>
    <w:rsid w:val="00E05B67"/>
    <w:rsid w:val="00E13025"/>
    <w:rsid w:val="00E518B4"/>
    <w:rsid w:val="00E6048D"/>
    <w:rsid w:val="00E7288C"/>
    <w:rsid w:val="00E7605C"/>
    <w:rsid w:val="00E83F17"/>
    <w:rsid w:val="00E86906"/>
    <w:rsid w:val="00E9623B"/>
    <w:rsid w:val="00EC49E4"/>
    <w:rsid w:val="00ED027E"/>
    <w:rsid w:val="00EE7DA4"/>
    <w:rsid w:val="00F02006"/>
    <w:rsid w:val="00F23B96"/>
    <w:rsid w:val="00F24998"/>
    <w:rsid w:val="00F35000"/>
    <w:rsid w:val="00F632E7"/>
    <w:rsid w:val="00F83389"/>
    <w:rsid w:val="00F8434F"/>
    <w:rsid w:val="00FB1E9E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C825CE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C825CE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C825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F427B-3B5D-4C50-B0A5-2EA7C048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4942</Words>
  <Characters>2817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2021-10-18T11:36:00Z</dcterms:created>
  <dcterms:modified xsi:type="dcterms:W3CDTF">2021-10-18T11:37:00Z</dcterms:modified>
</cp:coreProperties>
</file>