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03D9C" w:rsidRPr="00EC07FA" w:rsidRDefault="00F03D9C" w:rsidP="00CF3178">
      <w:pPr>
        <w:widowControl w:val="0"/>
        <w:autoSpaceDE w:val="0"/>
        <w:autoSpaceDN w:val="0"/>
        <w:adjustRightInd w:val="0"/>
        <w:spacing w:before="100" w:beforeAutospacing="1" w:after="100" w:afterAutospacing="1" w:line="240" w:lineRule="auto"/>
        <w:jc w:val="center"/>
        <w:rPr>
          <w:rFonts w:ascii="TimesNewRomanPSMT Cyr" w:hAnsi="TimesNewRomanPSMT Cyr" w:cs="TimesNewRomanPSMT Cyr"/>
          <w:b/>
          <w:bCs/>
          <w:sz w:val="28"/>
          <w:szCs w:val="28"/>
          <w:lang w:val="ru-RU"/>
        </w:rPr>
      </w:pPr>
      <w:bookmarkStart w:id="0" w:name="_GoBack"/>
      <w:bookmarkEnd w:id="0"/>
      <w:r w:rsidRPr="00EC07FA">
        <w:rPr>
          <w:rFonts w:ascii="TimesNewRomanPSMT Cyr" w:hAnsi="TimesNewRomanPSMT Cyr" w:cs="TimesNewRomanPSMT Cyr"/>
          <w:b/>
          <w:bCs/>
          <w:sz w:val="28"/>
          <w:szCs w:val="28"/>
          <w:lang w:val="ru-RU"/>
        </w:rPr>
        <w:t>ПОРІВНЯЛЬНА</w:t>
      </w:r>
      <w:r w:rsidRPr="00EC07FA">
        <w:rPr>
          <w:rFonts w:ascii="Times New Roman" w:hAnsi="Times New Roman"/>
          <w:b/>
          <w:bCs/>
          <w:sz w:val="28"/>
          <w:szCs w:val="28"/>
          <w:lang w:val="ru-RU"/>
        </w:rPr>
        <w:t xml:space="preserve"> </w:t>
      </w:r>
      <w:r w:rsidRPr="00EC07FA">
        <w:rPr>
          <w:rFonts w:ascii="TimesNewRomanPSMT Cyr" w:hAnsi="TimesNewRomanPSMT Cyr" w:cs="TimesNewRomanPSMT Cyr"/>
          <w:b/>
          <w:bCs/>
          <w:sz w:val="28"/>
          <w:szCs w:val="28"/>
          <w:lang w:val="ru-RU"/>
        </w:rPr>
        <w:t>ТАБЛИЦЯ</w:t>
      </w:r>
    </w:p>
    <w:p w:rsidR="00F03D9C" w:rsidRPr="00EC07FA" w:rsidRDefault="00F03D9C" w:rsidP="00CF3178">
      <w:pPr>
        <w:spacing w:before="100" w:beforeAutospacing="1" w:after="100" w:afterAutospacing="1" w:line="240" w:lineRule="auto"/>
        <w:jc w:val="center"/>
        <w:rPr>
          <w:rFonts w:ascii="TimesNewRomanPSMT Cyr" w:hAnsi="TimesNewRomanPSMT Cyr" w:cs="TimesNewRomanPSMT Cyr"/>
          <w:b/>
          <w:bCs/>
          <w:sz w:val="28"/>
          <w:szCs w:val="28"/>
          <w:lang w:val="ru-RU"/>
        </w:rPr>
      </w:pPr>
      <w:r w:rsidRPr="00EC07FA">
        <w:rPr>
          <w:rFonts w:ascii="TimesNewRomanPSMT Cyr" w:hAnsi="TimesNewRomanPSMT Cyr" w:cs="TimesNewRomanPSMT Cyr"/>
          <w:b/>
          <w:bCs/>
          <w:sz w:val="28"/>
          <w:szCs w:val="28"/>
          <w:lang w:val="ru-RU"/>
        </w:rPr>
        <w:t>до проекту Закону України</w:t>
      </w:r>
      <w:r w:rsidR="00831D0F" w:rsidRPr="00EC07FA">
        <w:rPr>
          <w:rFonts w:ascii="TimesNewRomanPSMT Cyr" w:hAnsi="TimesNewRomanPSMT Cyr" w:cs="TimesNewRomanPSMT Cyr"/>
          <w:b/>
          <w:bCs/>
          <w:sz w:val="28"/>
          <w:szCs w:val="28"/>
          <w:lang w:val="ru-RU"/>
        </w:rPr>
        <w:t xml:space="preserve"> </w:t>
      </w:r>
      <w:r w:rsidR="001119BA" w:rsidRPr="00EC07FA">
        <w:rPr>
          <w:rFonts w:ascii="TimesNewRomanPSMT Cyr" w:hAnsi="TimesNewRomanPSMT Cyr" w:cs="TimesNewRomanPSMT Cyr"/>
          <w:b/>
          <w:bCs/>
          <w:sz w:val="28"/>
          <w:szCs w:val="28"/>
          <w:lang w:val="ru-RU"/>
        </w:rPr>
        <w:t>п</w:t>
      </w:r>
      <w:r w:rsidRPr="00EC07FA">
        <w:rPr>
          <w:rFonts w:ascii="TimesNewRomanPSMT Cyr" w:hAnsi="TimesNewRomanPSMT Cyr" w:cs="TimesNewRomanPSMT Cyr"/>
          <w:b/>
          <w:bCs/>
          <w:sz w:val="28"/>
          <w:szCs w:val="28"/>
          <w:lang w:val="ru-RU"/>
        </w:rPr>
        <w:t xml:space="preserve">ро внесення </w:t>
      </w:r>
      <w:bookmarkStart w:id="1" w:name="_Hlk30404995"/>
      <w:bookmarkStart w:id="2" w:name="_Hlk30403616"/>
      <w:r w:rsidR="00681F81" w:rsidRPr="00EC07FA">
        <w:rPr>
          <w:rFonts w:ascii="TimesNewRomanPSMT Cyr" w:hAnsi="TimesNewRomanPSMT Cyr" w:cs="TimesNewRomanPSMT Cyr"/>
          <w:b/>
          <w:bCs/>
          <w:sz w:val="28"/>
          <w:szCs w:val="28"/>
          <w:lang w:val="ru-RU"/>
        </w:rPr>
        <w:t>змін</w:t>
      </w:r>
      <w:r w:rsidRPr="00EC07FA">
        <w:rPr>
          <w:rFonts w:ascii="TimesNewRomanPSMT Cyr" w:hAnsi="TimesNewRomanPSMT Cyr" w:cs="TimesNewRomanPSMT Cyr"/>
          <w:b/>
          <w:bCs/>
          <w:sz w:val="28"/>
          <w:szCs w:val="28"/>
          <w:lang w:val="ru-RU"/>
        </w:rPr>
        <w:t xml:space="preserve"> до</w:t>
      </w:r>
      <w:r w:rsidR="0032614A" w:rsidRPr="00EC07FA">
        <w:rPr>
          <w:rFonts w:ascii="TimesNewRomanPSMT Cyr" w:hAnsi="TimesNewRomanPSMT Cyr" w:cs="TimesNewRomanPSMT Cyr"/>
          <w:b/>
          <w:bCs/>
          <w:sz w:val="28"/>
          <w:szCs w:val="28"/>
          <w:lang w:val="ru-RU"/>
        </w:rPr>
        <w:t xml:space="preserve"> </w:t>
      </w:r>
      <w:hyperlink r:id="rId10" w:anchor="n8012" w:tgtFrame="_blank" w:history="1">
        <w:r w:rsidR="0032614A" w:rsidRPr="00EC07FA">
          <w:rPr>
            <w:rFonts w:ascii="TimesNewRomanPSMT Cyr" w:hAnsi="TimesNewRomanPSMT Cyr" w:cs="TimesNewRomanPSMT Cyr"/>
            <w:b/>
            <w:bCs/>
            <w:sz w:val="28"/>
            <w:szCs w:val="28"/>
            <w:lang w:val="ru-RU"/>
          </w:rPr>
          <w:t>розділу XX</w:t>
        </w:r>
      </w:hyperlink>
      <w:r w:rsidR="0032614A" w:rsidRPr="00EC07FA">
        <w:rPr>
          <w:rFonts w:ascii="TimesNewRomanPSMT Cyr" w:hAnsi="TimesNewRomanPSMT Cyr" w:cs="TimesNewRomanPSMT Cyr"/>
          <w:b/>
          <w:bCs/>
          <w:sz w:val="28"/>
          <w:szCs w:val="28"/>
          <w:lang w:val="ru-RU"/>
        </w:rPr>
        <w:t> «Перехідні положення»</w:t>
      </w:r>
      <w:r w:rsidRPr="00EC07FA">
        <w:rPr>
          <w:rFonts w:ascii="TimesNewRomanPSMT Cyr" w:hAnsi="TimesNewRomanPSMT Cyr" w:cs="TimesNewRomanPSMT Cyr"/>
          <w:b/>
          <w:bCs/>
          <w:sz w:val="28"/>
          <w:szCs w:val="28"/>
          <w:lang w:val="ru-RU"/>
        </w:rPr>
        <w:t xml:space="preserve"> </w:t>
      </w:r>
      <w:bookmarkEnd w:id="1"/>
      <w:r w:rsidR="00E8659C" w:rsidRPr="00EC07FA">
        <w:rPr>
          <w:rFonts w:ascii="TimesNewRomanPSMT Cyr" w:hAnsi="TimesNewRomanPSMT Cyr" w:cs="TimesNewRomanPSMT Cyr"/>
          <w:b/>
          <w:bCs/>
          <w:sz w:val="28"/>
          <w:szCs w:val="28"/>
          <w:lang w:val="ru-RU"/>
        </w:rPr>
        <w:t xml:space="preserve">Податкового кодексу України щодо </w:t>
      </w:r>
      <w:r w:rsidR="00EA40EE" w:rsidRPr="00EC07FA">
        <w:rPr>
          <w:rFonts w:ascii="TimesNewRomanPSMT Cyr" w:hAnsi="TimesNewRomanPSMT Cyr" w:cs="TimesNewRomanPSMT Cyr"/>
          <w:b/>
          <w:bCs/>
          <w:sz w:val="28"/>
          <w:szCs w:val="28"/>
          <w:lang w:val="ru-RU"/>
        </w:rPr>
        <w:t>уточнення деяких норм  про справляння податків і зборів, інших обов’язкових платежів, об’єктом оподаткування якими є транспортні засоби</w:t>
      </w:r>
    </w:p>
    <w:tbl>
      <w:tblPr>
        <w:tblW w:w="15593" w:type="dxa"/>
        <w:tblInd w:w="-34" w:type="dxa"/>
        <w:tblBorders>
          <w:top w:val="single" w:sz="4" w:space="0" w:color="BFBFBF"/>
          <w:left w:val="single" w:sz="4" w:space="0" w:color="BFBFBF"/>
          <w:right w:val="single" w:sz="4" w:space="0" w:color="BFBFBF"/>
        </w:tblBorders>
        <w:tblLayout w:type="fixed"/>
        <w:tblLook w:val="04A0" w:firstRow="1" w:lastRow="0" w:firstColumn="1" w:lastColumn="0" w:noHBand="0" w:noVBand="1"/>
      </w:tblPr>
      <w:tblGrid>
        <w:gridCol w:w="7797"/>
        <w:gridCol w:w="7796"/>
      </w:tblGrid>
      <w:tr w:rsidR="00EC07FA" w:rsidRPr="00EC07FA" w:rsidTr="00CF3178">
        <w:tc>
          <w:tcPr>
            <w:tcW w:w="7797" w:type="dxa"/>
            <w:tcBorders>
              <w:top w:val="single" w:sz="4" w:space="0" w:color="BFBFBF"/>
              <w:bottom w:val="single" w:sz="4" w:space="0" w:color="BFBFBF"/>
              <w:right w:val="single" w:sz="4" w:space="0" w:color="BFBFBF"/>
            </w:tcBorders>
            <w:hideMark/>
          </w:tcPr>
          <w:bookmarkEnd w:id="2"/>
          <w:p w:rsidR="003E3730" w:rsidRPr="00EC07FA" w:rsidRDefault="003E3730" w:rsidP="00CF3178">
            <w:pPr>
              <w:widowControl w:val="0"/>
              <w:autoSpaceDE w:val="0"/>
              <w:autoSpaceDN w:val="0"/>
              <w:adjustRightInd w:val="0"/>
              <w:spacing w:before="100" w:beforeAutospacing="1" w:after="100" w:afterAutospacing="1" w:line="240" w:lineRule="auto"/>
              <w:ind w:firstLine="567"/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lang w:val="ru-RU"/>
              </w:rPr>
            </w:pPr>
            <w:r w:rsidRPr="00EC07FA">
              <w:rPr>
                <w:rFonts w:ascii="TimesNewRomanPSMT Cyr" w:hAnsi="TimesNewRomanPSMT Cyr" w:cs="TimesNewRomanPSMT Cyr"/>
                <w:b/>
                <w:bCs/>
                <w:sz w:val="28"/>
                <w:szCs w:val="28"/>
                <w:lang w:val="ru-RU"/>
              </w:rPr>
              <w:t>Зміст</w:t>
            </w:r>
            <w:r w:rsidRPr="00EC07FA">
              <w:rPr>
                <w:rFonts w:ascii="Times New Roman" w:hAnsi="Times New Roman"/>
                <w:b/>
                <w:bCs/>
                <w:sz w:val="28"/>
                <w:szCs w:val="28"/>
                <w:lang w:val="ru-RU"/>
              </w:rPr>
              <w:t xml:space="preserve"> </w:t>
            </w:r>
            <w:r w:rsidRPr="00EC07FA">
              <w:rPr>
                <w:rFonts w:ascii="TimesNewRomanPSMT Cyr" w:hAnsi="TimesNewRomanPSMT Cyr" w:cs="TimesNewRomanPSMT Cyr"/>
                <w:b/>
                <w:bCs/>
                <w:sz w:val="28"/>
                <w:szCs w:val="28"/>
                <w:lang w:val="ru-RU"/>
              </w:rPr>
              <w:t>положення</w:t>
            </w:r>
            <w:r w:rsidRPr="00EC07FA">
              <w:rPr>
                <w:rFonts w:ascii="Times New Roman" w:hAnsi="Times New Roman"/>
                <w:b/>
                <w:bCs/>
                <w:sz w:val="28"/>
                <w:szCs w:val="28"/>
                <w:lang w:val="ru-RU"/>
              </w:rPr>
              <w:t xml:space="preserve"> (</w:t>
            </w:r>
            <w:r w:rsidRPr="00EC07FA">
              <w:rPr>
                <w:rFonts w:ascii="TimesNewRomanPSMT Cyr" w:hAnsi="TimesNewRomanPSMT Cyr" w:cs="TimesNewRomanPSMT Cyr"/>
                <w:b/>
                <w:bCs/>
                <w:sz w:val="28"/>
                <w:szCs w:val="28"/>
                <w:lang w:val="ru-RU"/>
              </w:rPr>
              <w:t>норми</w:t>
            </w:r>
            <w:r w:rsidRPr="00EC07FA">
              <w:rPr>
                <w:rFonts w:ascii="Times New Roman" w:hAnsi="Times New Roman"/>
                <w:b/>
                <w:bCs/>
                <w:sz w:val="28"/>
                <w:szCs w:val="28"/>
                <w:lang w:val="ru-RU"/>
              </w:rPr>
              <w:t xml:space="preserve">) </w:t>
            </w:r>
            <w:r w:rsidRPr="00EC07FA">
              <w:rPr>
                <w:rFonts w:ascii="TimesNewRomanPSMT Cyr" w:hAnsi="TimesNewRomanPSMT Cyr" w:cs="TimesNewRomanPSMT Cyr"/>
                <w:b/>
                <w:bCs/>
                <w:sz w:val="28"/>
                <w:szCs w:val="28"/>
                <w:lang w:val="ru-RU"/>
              </w:rPr>
              <w:t>чинного</w:t>
            </w:r>
            <w:r w:rsidRPr="00EC07FA">
              <w:rPr>
                <w:rFonts w:ascii="Times New Roman" w:hAnsi="Times New Roman"/>
                <w:b/>
                <w:bCs/>
                <w:sz w:val="28"/>
                <w:szCs w:val="28"/>
                <w:lang w:val="ru-RU"/>
              </w:rPr>
              <w:t xml:space="preserve"> </w:t>
            </w:r>
            <w:r w:rsidRPr="00EC07FA">
              <w:rPr>
                <w:rFonts w:ascii="TimesNewRomanPSMT Cyr" w:hAnsi="TimesNewRomanPSMT Cyr" w:cs="TimesNewRomanPSMT Cyr"/>
                <w:b/>
                <w:bCs/>
                <w:sz w:val="28"/>
                <w:szCs w:val="28"/>
                <w:lang w:val="ru-RU"/>
              </w:rPr>
              <w:t>законодавства</w:t>
            </w:r>
          </w:p>
        </w:tc>
        <w:tc>
          <w:tcPr>
            <w:tcW w:w="779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</w:tcBorders>
            <w:hideMark/>
          </w:tcPr>
          <w:p w:rsidR="003E3730" w:rsidRPr="00EC07FA" w:rsidRDefault="003E3730" w:rsidP="00CF3178">
            <w:pPr>
              <w:widowControl w:val="0"/>
              <w:autoSpaceDE w:val="0"/>
              <w:autoSpaceDN w:val="0"/>
              <w:adjustRightInd w:val="0"/>
              <w:spacing w:before="100" w:beforeAutospacing="1" w:after="100" w:afterAutospacing="1" w:line="240" w:lineRule="auto"/>
              <w:ind w:firstLine="567"/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lang w:val="ru-RU"/>
              </w:rPr>
            </w:pPr>
            <w:r w:rsidRPr="00EC07FA">
              <w:rPr>
                <w:rFonts w:ascii="TimesNewRomanPSMT Cyr" w:hAnsi="TimesNewRomanPSMT Cyr" w:cs="TimesNewRomanPSMT Cyr"/>
                <w:b/>
                <w:bCs/>
                <w:sz w:val="28"/>
                <w:szCs w:val="28"/>
                <w:lang w:val="ru-RU"/>
              </w:rPr>
              <w:t>Зміст</w:t>
            </w:r>
            <w:r w:rsidRPr="00EC07FA">
              <w:rPr>
                <w:rFonts w:ascii="Times New Roman" w:hAnsi="Times New Roman"/>
                <w:b/>
                <w:bCs/>
                <w:sz w:val="28"/>
                <w:szCs w:val="28"/>
                <w:lang w:val="ru-RU"/>
              </w:rPr>
              <w:t xml:space="preserve"> </w:t>
            </w:r>
            <w:r w:rsidRPr="00EC07FA">
              <w:rPr>
                <w:rFonts w:ascii="TimesNewRomanPSMT Cyr" w:hAnsi="TimesNewRomanPSMT Cyr" w:cs="TimesNewRomanPSMT Cyr"/>
                <w:b/>
                <w:bCs/>
                <w:sz w:val="28"/>
                <w:szCs w:val="28"/>
                <w:lang w:val="ru-RU"/>
              </w:rPr>
              <w:t>відповідного</w:t>
            </w:r>
            <w:r w:rsidRPr="00EC07FA">
              <w:rPr>
                <w:rFonts w:ascii="Times New Roman" w:hAnsi="Times New Roman"/>
                <w:b/>
                <w:bCs/>
                <w:sz w:val="28"/>
                <w:szCs w:val="28"/>
                <w:lang w:val="ru-RU"/>
              </w:rPr>
              <w:t xml:space="preserve"> </w:t>
            </w:r>
            <w:r w:rsidRPr="00EC07FA">
              <w:rPr>
                <w:rFonts w:ascii="TimesNewRomanPSMT Cyr" w:hAnsi="TimesNewRomanPSMT Cyr" w:cs="TimesNewRomanPSMT Cyr"/>
                <w:b/>
                <w:bCs/>
                <w:sz w:val="28"/>
                <w:szCs w:val="28"/>
                <w:lang w:val="ru-RU"/>
              </w:rPr>
              <w:t>положення</w:t>
            </w:r>
            <w:r w:rsidRPr="00EC07FA">
              <w:rPr>
                <w:rFonts w:ascii="Times New Roman" w:hAnsi="Times New Roman"/>
                <w:b/>
                <w:bCs/>
                <w:sz w:val="28"/>
                <w:szCs w:val="28"/>
                <w:lang w:val="ru-RU"/>
              </w:rPr>
              <w:t xml:space="preserve"> (</w:t>
            </w:r>
            <w:r w:rsidRPr="00EC07FA">
              <w:rPr>
                <w:rFonts w:ascii="TimesNewRomanPSMT Cyr" w:hAnsi="TimesNewRomanPSMT Cyr" w:cs="TimesNewRomanPSMT Cyr"/>
                <w:b/>
                <w:bCs/>
                <w:sz w:val="28"/>
                <w:szCs w:val="28"/>
                <w:lang w:val="ru-RU"/>
              </w:rPr>
              <w:t>норми</w:t>
            </w:r>
            <w:r w:rsidRPr="00EC07FA">
              <w:rPr>
                <w:rFonts w:ascii="Times New Roman" w:hAnsi="Times New Roman"/>
                <w:b/>
                <w:bCs/>
                <w:sz w:val="28"/>
                <w:szCs w:val="28"/>
                <w:lang w:val="ru-RU"/>
              </w:rPr>
              <w:t xml:space="preserve">) </w:t>
            </w:r>
            <w:r w:rsidRPr="00EC07FA">
              <w:rPr>
                <w:rFonts w:ascii="TimesNewRomanPSMT Cyr" w:hAnsi="TimesNewRomanPSMT Cyr" w:cs="TimesNewRomanPSMT Cyr"/>
                <w:b/>
                <w:bCs/>
                <w:sz w:val="28"/>
                <w:szCs w:val="28"/>
                <w:lang w:val="ru-RU"/>
              </w:rPr>
              <w:t>проекту</w:t>
            </w:r>
            <w:r w:rsidRPr="00EC07FA">
              <w:rPr>
                <w:rFonts w:ascii="Times New Roman" w:hAnsi="Times New Roman"/>
                <w:b/>
                <w:bCs/>
                <w:sz w:val="28"/>
                <w:szCs w:val="28"/>
                <w:lang w:val="ru-RU"/>
              </w:rPr>
              <w:t xml:space="preserve"> </w:t>
            </w:r>
            <w:r w:rsidRPr="00EC07FA">
              <w:rPr>
                <w:rFonts w:ascii="TimesNewRomanPSMT Cyr" w:hAnsi="TimesNewRomanPSMT Cyr" w:cs="TimesNewRomanPSMT Cyr"/>
                <w:b/>
                <w:bCs/>
                <w:sz w:val="28"/>
                <w:szCs w:val="28"/>
                <w:lang w:val="ru-RU"/>
              </w:rPr>
              <w:t>акта</w:t>
            </w:r>
          </w:p>
        </w:tc>
      </w:tr>
      <w:tr w:rsidR="00EC07FA" w:rsidRPr="00EC07FA" w:rsidTr="008D0C4A">
        <w:tc>
          <w:tcPr>
            <w:tcW w:w="15593" w:type="dxa"/>
            <w:gridSpan w:val="2"/>
            <w:tcBorders>
              <w:top w:val="single" w:sz="4" w:space="0" w:color="BFBFBF"/>
              <w:bottom w:val="single" w:sz="4" w:space="0" w:color="BFBFBF"/>
            </w:tcBorders>
          </w:tcPr>
          <w:p w:rsidR="000B3D78" w:rsidRPr="00EC07FA" w:rsidRDefault="0032614A" w:rsidP="00EA40EE">
            <w:pPr>
              <w:widowControl w:val="0"/>
              <w:tabs>
                <w:tab w:val="left" w:pos="916"/>
                <w:tab w:val="left" w:pos="1832"/>
                <w:tab w:val="left" w:pos="3664"/>
                <w:tab w:val="left" w:pos="4580"/>
                <w:tab w:val="left" w:pos="4962"/>
                <w:tab w:val="left" w:pos="5496"/>
                <w:tab w:val="left" w:pos="6412"/>
                <w:tab w:val="left" w:pos="7328"/>
                <w:tab w:val="left" w:pos="8244"/>
                <w:tab w:val="left" w:pos="8647"/>
                <w:tab w:val="left" w:pos="9160"/>
                <w:tab w:val="left" w:pos="10992"/>
                <w:tab w:val="left" w:pos="11908"/>
                <w:tab w:val="left" w:pos="12824"/>
                <w:tab w:val="left" w:pos="13740"/>
              </w:tabs>
              <w:autoSpaceDE w:val="0"/>
              <w:autoSpaceDN w:val="0"/>
              <w:adjustRightInd w:val="0"/>
              <w:spacing w:before="100" w:beforeAutospacing="1" w:after="100" w:afterAutospacing="1" w:line="240" w:lineRule="auto"/>
              <w:jc w:val="center"/>
              <w:rPr>
                <w:rFonts w:ascii="TimesNewRomanPSMT Cyr" w:hAnsi="TimesNewRomanPSMT Cyr" w:cs="TimesNewRomanPSMT Cyr"/>
                <w:b/>
                <w:bCs/>
                <w:sz w:val="28"/>
                <w:szCs w:val="28"/>
                <w:lang w:val="ru-RU"/>
              </w:rPr>
            </w:pPr>
            <w:r w:rsidRPr="00EC07FA">
              <w:rPr>
                <w:rFonts w:ascii="TimesNewRomanPSMT Cyr" w:hAnsi="TimesNewRomanPSMT Cyr" w:cs="TimesNewRomanPSMT Cyr"/>
                <w:b/>
                <w:bCs/>
                <w:sz w:val="28"/>
                <w:szCs w:val="28"/>
                <w:lang w:val="ru-RU"/>
              </w:rPr>
              <w:t xml:space="preserve">               </w:t>
            </w:r>
            <w:r w:rsidR="00E8659C" w:rsidRPr="00EC07FA">
              <w:rPr>
                <w:rFonts w:ascii="TimesNewRomanPSMT Cyr" w:hAnsi="TimesNewRomanPSMT Cyr" w:cs="TimesNewRomanPSMT Cyr"/>
                <w:b/>
                <w:bCs/>
                <w:sz w:val="28"/>
                <w:szCs w:val="28"/>
                <w:lang w:val="ru-RU"/>
              </w:rPr>
              <w:t>Податковий кодекс України</w:t>
            </w:r>
          </w:p>
        </w:tc>
      </w:tr>
      <w:tr w:rsidR="00EC07FA" w:rsidRPr="00EC07FA" w:rsidTr="008D0C4A">
        <w:tc>
          <w:tcPr>
            <w:tcW w:w="15593" w:type="dxa"/>
            <w:gridSpan w:val="2"/>
            <w:tcBorders>
              <w:top w:val="single" w:sz="4" w:space="0" w:color="BFBFBF"/>
              <w:bottom w:val="single" w:sz="4" w:space="0" w:color="BFBFBF"/>
            </w:tcBorders>
          </w:tcPr>
          <w:p w:rsidR="0032614A" w:rsidRPr="00EC07FA" w:rsidRDefault="0032614A" w:rsidP="00C52593">
            <w:pPr>
              <w:widowControl w:val="0"/>
              <w:tabs>
                <w:tab w:val="left" w:pos="916"/>
                <w:tab w:val="left" w:pos="1832"/>
                <w:tab w:val="left" w:pos="3664"/>
                <w:tab w:val="left" w:pos="4580"/>
                <w:tab w:val="left" w:pos="4962"/>
                <w:tab w:val="left" w:pos="5496"/>
                <w:tab w:val="left" w:pos="6412"/>
                <w:tab w:val="left" w:pos="7328"/>
                <w:tab w:val="left" w:pos="8244"/>
                <w:tab w:val="left" w:pos="8647"/>
                <w:tab w:val="left" w:pos="9160"/>
                <w:tab w:val="left" w:pos="10992"/>
                <w:tab w:val="left" w:pos="11908"/>
                <w:tab w:val="left" w:pos="12824"/>
                <w:tab w:val="left" w:pos="13740"/>
              </w:tabs>
              <w:autoSpaceDE w:val="0"/>
              <w:autoSpaceDN w:val="0"/>
              <w:adjustRightInd w:val="0"/>
              <w:spacing w:before="100" w:beforeAutospacing="1" w:after="100" w:afterAutospacing="1" w:line="240" w:lineRule="auto"/>
              <w:jc w:val="center"/>
              <w:rPr>
                <w:rFonts w:ascii="TimesNewRomanPSMT Cyr" w:hAnsi="TimesNewRomanPSMT Cyr" w:cs="TimesNewRomanPSMT Cyr"/>
                <w:b/>
                <w:bCs/>
                <w:sz w:val="28"/>
                <w:szCs w:val="28"/>
                <w:lang w:val="ru-RU"/>
              </w:rPr>
            </w:pPr>
            <w:r w:rsidRPr="00EC07FA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                     </w:t>
            </w:r>
            <w:hyperlink r:id="rId11" w:anchor="n8012" w:tgtFrame="_blank" w:history="1">
              <w:r w:rsidRPr="00EC07FA">
                <w:rPr>
                  <w:rFonts w:ascii="TimesNewRomanPSMT Cyr" w:hAnsi="TimesNewRomanPSMT Cyr" w:cs="TimesNewRomanPSMT Cyr"/>
                  <w:b/>
                  <w:bCs/>
                  <w:sz w:val="28"/>
                  <w:szCs w:val="28"/>
                  <w:lang w:val="ru-RU"/>
                </w:rPr>
                <w:t>Розділ</w:t>
              </w:r>
            </w:hyperlink>
            <w:r w:rsidRPr="00EC07FA">
              <w:rPr>
                <w:rFonts w:ascii="TimesNewRomanPSMT Cyr" w:hAnsi="TimesNewRomanPSMT Cyr" w:cs="TimesNewRomanPSMT Cyr"/>
                <w:b/>
                <w:bCs/>
                <w:sz w:val="28"/>
                <w:szCs w:val="28"/>
                <w:lang w:val="ru-RU"/>
              </w:rPr>
              <w:t xml:space="preserve"> ХХ  </w:t>
            </w:r>
            <w:r w:rsidR="00CF3178" w:rsidRPr="00EC07FA">
              <w:rPr>
                <w:rFonts w:ascii="TimesNewRomanPSMT Cyr" w:hAnsi="TimesNewRomanPSMT Cyr" w:cs="TimesNewRomanPSMT Cyr"/>
                <w:b/>
                <w:bCs/>
                <w:sz w:val="28"/>
                <w:szCs w:val="28"/>
                <w:lang w:val="ru-RU"/>
              </w:rPr>
              <w:t>«</w:t>
            </w:r>
            <w:r w:rsidRPr="00EC07FA">
              <w:rPr>
                <w:rFonts w:ascii="TimesNewRomanPSMT Cyr" w:hAnsi="TimesNewRomanPSMT Cyr" w:cs="TimesNewRomanPSMT Cyr"/>
                <w:b/>
                <w:bCs/>
                <w:sz w:val="28"/>
                <w:szCs w:val="28"/>
                <w:lang w:val="ru-RU"/>
              </w:rPr>
              <w:t>Перехідні положення</w:t>
            </w:r>
            <w:r w:rsidR="00CF3178" w:rsidRPr="00EC07FA">
              <w:rPr>
                <w:rFonts w:ascii="TimesNewRomanPSMT Cyr" w:hAnsi="TimesNewRomanPSMT Cyr" w:cs="TimesNewRomanPSMT Cyr"/>
                <w:b/>
                <w:bCs/>
                <w:sz w:val="28"/>
                <w:szCs w:val="28"/>
                <w:lang w:val="ru-RU"/>
              </w:rPr>
              <w:t>»</w:t>
            </w:r>
          </w:p>
        </w:tc>
      </w:tr>
      <w:tr w:rsidR="00EC07FA" w:rsidRPr="00EC07FA" w:rsidTr="00CF3178">
        <w:tc>
          <w:tcPr>
            <w:tcW w:w="7797" w:type="dxa"/>
            <w:tcBorders>
              <w:top w:val="single" w:sz="4" w:space="0" w:color="BFBFBF"/>
              <w:bottom w:val="single" w:sz="4" w:space="0" w:color="BFBFBF"/>
              <w:right w:val="single" w:sz="4" w:space="0" w:color="BFBFBF"/>
            </w:tcBorders>
          </w:tcPr>
          <w:p w:rsidR="0032614A" w:rsidRPr="00EC07FA" w:rsidRDefault="00CF3178" w:rsidP="00CF3178">
            <w:pPr>
              <w:pStyle w:val="rvps2"/>
              <w:shd w:val="clear" w:color="auto" w:fill="FFFFFF"/>
              <w:ind w:firstLine="176"/>
              <w:jc w:val="both"/>
              <w:rPr>
                <w:sz w:val="28"/>
                <w:szCs w:val="28"/>
              </w:rPr>
            </w:pPr>
            <w:r w:rsidRPr="00EC07FA">
              <w:rPr>
                <w:rFonts w:ascii="TimesNewRomanPSMT Cyr" w:hAnsi="TimesNewRomanPSMT Cyr" w:cs="TimesNewRomanPSMT Cyr"/>
                <w:b/>
                <w:bCs/>
                <w:sz w:val="28"/>
                <w:szCs w:val="28"/>
                <w:lang w:val="ru-RU"/>
              </w:rPr>
              <w:t>Підрозділ 2. Особливості справляння податку на додану вартість</w:t>
            </w:r>
          </w:p>
        </w:tc>
        <w:tc>
          <w:tcPr>
            <w:tcW w:w="7796" w:type="dxa"/>
            <w:tcBorders>
              <w:top w:val="single" w:sz="4" w:space="0" w:color="BFBFBF"/>
              <w:left w:val="nil"/>
              <w:bottom w:val="single" w:sz="4" w:space="0" w:color="BFBFBF"/>
            </w:tcBorders>
          </w:tcPr>
          <w:p w:rsidR="0032614A" w:rsidRPr="00EC07FA" w:rsidRDefault="00CF3178" w:rsidP="00CF3178">
            <w:pPr>
              <w:pStyle w:val="rvps2"/>
              <w:shd w:val="clear" w:color="auto" w:fill="FFFFFF"/>
              <w:ind w:firstLine="33"/>
              <w:jc w:val="both"/>
              <w:rPr>
                <w:sz w:val="28"/>
                <w:szCs w:val="28"/>
              </w:rPr>
            </w:pPr>
            <w:r w:rsidRPr="00EC07FA">
              <w:rPr>
                <w:rFonts w:ascii="TimesNewRomanPSMT Cyr" w:hAnsi="TimesNewRomanPSMT Cyr" w:cs="TimesNewRomanPSMT Cyr"/>
                <w:b/>
                <w:bCs/>
                <w:sz w:val="28"/>
                <w:szCs w:val="28"/>
                <w:lang w:val="ru-RU"/>
              </w:rPr>
              <w:t>Підрозділ 2. Особливості справляння податку на додану вартість</w:t>
            </w:r>
          </w:p>
        </w:tc>
      </w:tr>
      <w:tr w:rsidR="00EC07FA" w:rsidRPr="00EC07FA" w:rsidTr="00CF3178">
        <w:tc>
          <w:tcPr>
            <w:tcW w:w="7797" w:type="dxa"/>
            <w:tcBorders>
              <w:top w:val="single" w:sz="4" w:space="0" w:color="BFBFBF"/>
              <w:bottom w:val="single" w:sz="4" w:space="0" w:color="BFBFBF"/>
              <w:right w:val="single" w:sz="4" w:space="0" w:color="BFBFBF"/>
            </w:tcBorders>
          </w:tcPr>
          <w:p w:rsidR="0032614A" w:rsidRPr="00EC07FA" w:rsidRDefault="0032614A" w:rsidP="00CF3178">
            <w:pPr>
              <w:pStyle w:val="rvps2"/>
              <w:shd w:val="clear" w:color="auto" w:fill="FFFFFF"/>
              <w:ind w:firstLine="176"/>
              <w:jc w:val="both"/>
              <w:rPr>
                <w:sz w:val="28"/>
                <w:szCs w:val="28"/>
                <w:lang w:val="uk-UA"/>
              </w:rPr>
            </w:pPr>
            <w:r w:rsidRPr="00EC07FA">
              <w:rPr>
                <w:b/>
                <w:sz w:val="28"/>
                <w:szCs w:val="28"/>
              </w:rPr>
              <w:t>77</w:t>
            </w:r>
            <w:r w:rsidRPr="00EC07FA">
              <w:rPr>
                <w:sz w:val="28"/>
                <w:szCs w:val="28"/>
              </w:rPr>
              <w:t xml:space="preserve">. Тимчасово, протягом </w:t>
            </w:r>
            <w:r w:rsidRPr="00EC07FA">
              <w:rPr>
                <w:b/>
                <w:bCs/>
                <w:sz w:val="28"/>
                <w:szCs w:val="28"/>
              </w:rPr>
              <w:t>180</w:t>
            </w:r>
            <w:r w:rsidRPr="00EC07FA">
              <w:rPr>
                <w:sz w:val="28"/>
                <w:szCs w:val="28"/>
              </w:rPr>
              <w:t xml:space="preserve"> днів з дня набрання чинності Законом України "Про внесення змін до Податкового кодексу України щодо справляння податків і зборів, інших обов’язкових платежів, об’єктом оподаткування якими є транспортні засоби", за умови дотримання положень, передбачених пунктом 9</w:t>
            </w:r>
            <w:r w:rsidRPr="00EC07FA">
              <w:rPr>
                <w:rStyle w:val="rvts37"/>
                <w:b/>
                <w:bCs/>
                <w:sz w:val="28"/>
                <w:szCs w:val="28"/>
                <w:vertAlign w:val="superscript"/>
              </w:rPr>
              <w:t>-7</w:t>
            </w:r>
            <w:r w:rsidRPr="00EC07FA">
              <w:rPr>
                <w:sz w:val="28"/>
                <w:szCs w:val="28"/>
              </w:rPr>
              <w:t xml:space="preserve"> розділу XXI "Прикінцеві та перехідні положення" Митного кодексу України, базою оподаткування податком операцій із ввезення на митну територію України транспортних засобів особистого користування, що були у використанні та з року випуску яких минуло більше п’яти років, які класифікуються за товарними позиціями 8703, 8704 (загальною масою до </w:t>
            </w:r>
            <w:r w:rsidRPr="00EC07FA">
              <w:rPr>
                <w:b/>
                <w:bCs/>
                <w:sz w:val="28"/>
                <w:szCs w:val="28"/>
              </w:rPr>
              <w:t>3,5 тонни</w:t>
            </w:r>
            <w:r w:rsidRPr="00EC07FA">
              <w:rPr>
                <w:sz w:val="28"/>
                <w:szCs w:val="28"/>
              </w:rPr>
              <w:t>) згідно з </w:t>
            </w:r>
            <w:hyperlink r:id="rId12" w:anchor="n1045" w:tgtFrame="_blank" w:history="1">
              <w:r w:rsidRPr="00EC07FA">
                <w:rPr>
                  <w:rStyle w:val="a9"/>
                  <w:color w:val="auto"/>
                  <w:sz w:val="28"/>
                  <w:szCs w:val="28"/>
                </w:rPr>
                <w:t>УКТ ЗЕД</w:t>
              </w:r>
            </w:hyperlink>
            <w:r w:rsidRPr="00EC07FA">
              <w:rPr>
                <w:sz w:val="28"/>
                <w:szCs w:val="28"/>
              </w:rPr>
              <w:t xml:space="preserve"> та станом </w:t>
            </w:r>
            <w:r w:rsidRPr="00EC07FA">
              <w:rPr>
                <w:b/>
                <w:bCs/>
                <w:sz w:val="28"/>
                <w:szCs w:val="28"/>
              </w:rPr>
              <w:t>на 31 грудня 2020 року</w:t>
            </w:r>
            <w:r w:rsidRPr="00EC07FA">
              <w:rPr>
                <w:sz w:val="28"/>
                <w:szCs w:val="28"/>
              </w:rPr>
              <w:t xml:space="preserve"> перебували </w:t>
            </w:r>
            <w:bookmarkStart w:id="3" w:name="_Hlk81809148"/>
            <w:r w:rsidRPr="00EC07FA">
              <w:rPr>
                <w:sz w:val="28"/>
                <w:szCs w:val="28"/>
              </w:rPr>
              <w:t>у митному режимі тимчасового ввезення або транзиту</w:t>
            </w:r>
            <w:bookmarkEnd w:id="3"/>
            <w:r w:rsidRPr="00EC07FA">
              <w:rPr>
                <w:sz w:val="28"/>
                <w:szCs w:val="28"/>
              </w:rPr>
              <w:t xml:space="preserve">, є сума акцизного податку, </w:t>
            </w:r>
            <w:r w:rsidRPr="00EC07FA">
              <w:rPr>
                <w:sz w:val="28"/>
                <w:szCs w:val="28"/>
              </w:rPr>
              <w:lastRenderedPageBreak/>
              <w:t>нарахованого відповідно до пункту 36 підрозділу 5 цього розділу.</w:t>
            </w:r>
          </w:p>
          <w:p w:rsidR="00EA40EE" w:rsidRPr="00EC07FA" w:rsidRDefault="00EA40EE" w:rsidP="00CF3178">
            <w:pPr>
              <w:pStyle w:val="rvps2"/>
              <w:shd w:val="clear" w:color="auto" w:fill="FFFFFF"/>
              <w:ind w:firstLine="176"/>
              <w:jc w:val="both"/>
              <w:rPr>
                <w:bCs/>
                <w:sz w:val="28"/>
                <w:szCs w:val="28"/>
                <w:lang w:val="uk-UA"/>
              </w:rPr>
            </w:pPr>
            <w:bookmarkStart w:id="4" w:name="n8"/>
            <w:bookmarkEnd w:id="4"/>
          </w:p>
          <w:p w:rsidR="00EA40EE" w:rsidRPr="00EC07FA" w:rsidRDefault="00EA40EE" w:rsidP="00CF3178">
            <w:pPr>
              <w:pStyle w:val="rvps2"/>
              <w:shd w:val="clear" w:color="auto" w:fill="FFFFFF"/>
              <w:ind w:firstLine="176"/>
              <w:jc w:val="both"/>
              <w:rPr>
                <w:bCs/>
                <w:sz w:val="28"/>
                <w:szCs w:val="28"/>
                <w:lang w:val="uk-UA"/>
              </w:rPr>
            </w:pPr>
          </w:p>
          <w:p w:rsidR="00C03697" w:rsidRPr="00EC07FA" w:rsidRDefault="00C03697" w:rsidP="00CF3178">
            <w:pPr>
              <w:pStyle w:val="rvps2"/>
              <w:shd w:val="clear" w:color="auto" w:fill="FFFFFF"/>
              <w:ind w:firstLine="176"/>
              <w:jc w:val="both"/>
              <w:rPr>
                <w:bCs/>
                <w:sz w:val="28"/>
                <w:szCs w:val="28"/>
                <w:lang w:val="uk-UA"/>
              </w:rPr>
            </w:pPr>
          </w:p>
          <w:p w:rsidR="0032614A" w:rsidRPr="00EC07FA" w:rsidRDefault="0032614A" w:rsidP="00CF3178">
            <w:pPr>
              <w:pStyle w:val="rvps2"/>
              <w:shd w:val="clear" w:color="auto" w:fill="FFFFFF"/>
              <w:ind w:firstLine="176"/>
              <w:jc w:val="both"/>
              <w:rPr>
                <w:sz w:val="28"/>
                <w:szCs w:val="28"/>
              </w:rPr>
            </w:pPr>
            <w:r w:rsidRPr="00EC07FA">
              <w:rPr>
                <w:sz w:val="28"/>
                <w:szCs w:val="28"/>
              </w:rPr>
              <w:t>Строк, передбачений абзацом першим цього пункту, для учасників бойових дій, зазначених у </w:t>
            </w:r>
            <w:hyperlink r:id="rId13" w:anchor="n73" w:tgtFrame="_blank" w:history="1">
              <w:r w:rsidRPr="00EC07FA">
                <w:rPr>
                  <w:rStyle w:val="a9"/>
                  <w:color w:val="auto"/>
                  <w:sz w:val="28"/>
                  <w:szCs w:val="28"/>
                </w:rPr>
                <w:t>пунктах 19</w:t>
              </w:r>
            </w:hyperlink>
            <w:r w:rsidRPr="00EC07FA">
              <w:rPr>
                <w:sz w:val="28"/>
                <w:szCs w:val="28"/>
              </w:rPr>
              <w:t> і </w:t>
            </w:r>
            <w:hyperlink r:id="rId14" w:anchor="n77" w:tgtFrame="_blank" w:history="1">
              <w:r w:rsidRPr="00EC07FA">
                <w:rPr>
                  <w:rStyle w:val="a9"/>
                  <w:color w:val="auto"/>
                  <w:sz w:val="28"/>
                  <w:szCs w:val="28"/>
                </w:rPr>
                <w:t>20</w:t>
              </w:r>
            </w:hyperlink>
            <w:r w:rsidRPr="00EC07FA">
              <w:rPr>
                <w:sz w:val="28"/>
                <w:szCs w:val="28"/>
              </w:rPr>
              <w:t xml:space="preserve"> частини першої статті 6 Закону України "Про статус ветеранів війни, гарантії їх соціального захисту", за умови документального підтвердження їх перебування більш як 90 днів з дня набрання чинності Законом України "Про внесення змін до Податкового кодексу України щодо справляння податків і зборів, інших обов’язкових платежів, об’єктом оподаткування якими є транспортні засоби" безпосередньо на території проведення операції Об’єднаних сил (ООС), становить </w:t>
            </w:r>
            <w:r w:rsidRPr="00EC07FA">
              <w:rPr>
                <w:b/>
                <w:bCs/>
                <w:sz w:val="28"/>
                <w:szCs w:val="28"/>
              </w:rPr>
              <w:t>270</w:t>
            </w:r>
            <w:r w:rsidRPr="00EC07FA">
              <w:rPr>
                <w:sz w:val="28"/>
                <w:szCs w:val="28"/>
              </w:rPr>
              <w:t xml:space="preserve"> днів.</w:t>
            </w:r>
          </w:p>
        </w:tc>
        <w:tc>
          <w:tcPr>
            <w:tcW w:w="7796" w:type="dxa"/>
            <w:tcBorders>
              <w:top w:val="single" w:sz="4" w:space="0" w:color="BFBFBF"/>
              <w:left w:val="nil"/>
              <w:bottom w:val="single" w:sz="4" w:space="0" w:color="BFBFBF"/>
            </w:tcBorders>
          </w:tcPr>
          <w:p w:rsidR="0032614A" w:rsidRPr="00EC07FA" w:rsidRDefault="0032614A" w:rsidP="00EA40EE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C07FA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77. Тимчасово, протягом </w:t>
            </w:r>
            <w:r w:rsidRPr="00EC07FA">
              <w:rPr>
                <w:rFonts w:ascii="Times New Roman" w:hAnsi="Times New Roman"/>
                <w:b/>
                <w:sz w:val="28"/>
                <w:szCs w:val="28"/>
              </w:rPr>
              <w:t>270</w:t>
            </w:r>
            <w:r w:rsidRPr="00EC07FA">
              <w:rPr>
                <w:rFonts w:ascii="Times New Roman" w:hAnsi="Times New Roman"/>
                <w:sz w:val="28"/>
                <w:szCs w:val="28"/>
              </w:rPr>
              <w:t xml:space="preserve"> днів з дня </w:t>
            </w:r>
            <w:bookmarkStart w:id="5" w:name="_Hlk81808447"/>
            <w:r w:rsidRPr="00EC07FA">
              <w:rPr>
                <w:rFonts w:ascii="Times New Roman" w:hAnsi="Times New Roman"/>
                <w:sz w:val="28"/>
                <w:szCs w:val="28"/>
              </w:rPr>
              <w:t>набрання чинності Законом України "Про внесення змін до Податкового кодексу України щодо справляння податків і зборів, інших обов’язкових платежів, об’єктом оподаткування якими є транспортні засоби"</w:t>
            </w:r>
            <w:bookmarkEnd w:id="5"/>
            <w:r w:rsidRPr="00EC07FA">
              <w:rPr>
                <w:rFonts w:ascii="Times New Roman" w:hAnsi="Times New Roman"/>
                <w:sz w:val="28"/>
                <w:szCs w:val="28"/>
              </w:rPr>
              <w:t xml:space="preserve">, за умови дотримання положень, передбачених пунктом 9-7 розділу XXI "Прикінцеві та перехідні положення" Митного кодексу України, базою оподаткування податком операцій із ввезення на митну територію України транспортних засобів особистого користування, що були у використанні та з року випуску яких минуло більше п’яти років, які класифікуються за товарними позиціями 8703, 8704 (загальною масою до </w:t>
            </w:r>
            <w:r w:rsidR="00C03697" w:rsidRPr="00EC07FA">
              <w:rPr>
                <w:rFonts w:ascii="Times New Roman" w:hAnsi="Times New Roman"/>
                <w:b/>
                <w:bCs/>
                <w:sz w:val="28"/>
                <w:szCs w:val="28"/>
                <w:lang w:val="uk-UA"/>
              </w:rPr>
              <w:t>3,5 тон</w:t>
            </w:r>
            <w:r w:rsidR="00A61BDE" w:rsidRPr="00EC07FA">
              <w:rPr>
                <w:rFonts w:ascii="Times New Roman" w:hAnsi="Times New Roman"/>
                <w:b/>
                <w:bCs/>
                <w:sz w:val="28"/>
                <w:szCs w:val="28"/>
                <w:lang w:val="uk-UA"/>
              </w:rPr>
              <w:t>н</w:t>
            </w:r>
            <w:r w:rsidR="00C03697" w:rsidRPr="00EC07FA">
              <w:rPr>
                <w:rFonts w:ascii="Times New Roman" w:hAnsi="Times New Roman"/>
                <w:b/>
                <w:bCs/>
                <w:sz w:val="28"/>
                <w:szCs w:val="28"/>
                <w:lang w:val="uk-UA"/>
              </w:rPr>
              <w:t>и включно</w:t>
            </w:r>
            <w:r w:rsidRPr="00EC07FA">
              <w:rPr>
                <w:rFonts w:ascii="Times New Roman" w:hAnsi="Times New Roman"/>
                <w:sz w:val="28"/>
                <w:szCs w:val="28"/>
              </w:rPr>
              <w:t>) згідно з </w:t>
            </w:r>
            <w:hyperlink r:id="rId15" w:anchor="n1045" w:tgtFrame="_blank" w:history="1">
              <w:r w:rsidRPr="00EC07FA">
                <w:rPr>
                  <w:rFonts w:ascii="Times New Roman" w:hAnsi="Times New Roman"/>
                  <w:sz w:val="28"/>
                  <w:szCs w:val="28"/>
                </w:rPr>
                <w:t>УКТ ЗЕД</w:t>
              </w:r>
            </w:hyperlink>
            <w:r w:rsidRPr="00EC07FA">
              <w:rPr>
                <w:rFonts w:ascii="Times New Roman" w:hAnsi="Times New Roman"/>
                <w:sz w:val="28"/>
                <w:szCs w:val="28"/>
              </w:rPr>
              <w:t xml:space="preserve"> та станом </w:t>
            </w:r>
            <w:r w:rsidRPr="00EC07FA">
              <w:rPr>
                <w:rFonts w:ascii="Times New Roman" w:hAnsi="Times New Roman"/>
                <w:b/>
                <w:sz w:val="28"/>
                <w:szCs w:val="28"/>
              </w:rPr>
              <w:t>на дату прийняття Закону</w:t>
            </w:r>
            <w:r w:rsidR="00EA40EE" w:rsidRPr="00EC07FA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 xml:space="preserve"> України</w:t>
            </w:r>
            <w:r w:rsidR="00C52593" w:rsidRPr="00EC07FA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 xml:space="preserve"> </w:t>
            </w:r>
            <w:r w:rsidR="0064190C" w:rsidRPr="00EC07FA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«</w:t>
            </w:r>
            <w:r w:rsidR="00C52593" w:rsidRPr="00EC07FA">
              <w:rPr>
                <w:rFonts w:ascii="Times New Roman" w:hAnsi="Times New Roman"/>
                <w:b/>
                <w:sz w:val="28"/>
                <w:szCs w:val="28"/>
              </w:rPr>
              <w:t xml:space="preserve">Про внесення змін до Податкового </w:t>
            </w:r>
            <w:r w:rsidR="00C52593" w:rsidRPr="00EC07FA"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>кодексу України щодо справляння податків і зборів, інших обов’язкових платежів, об’єктом оподаткування якими є транспортні засоби</w:t>
            </w:r>
            <w:r w:rsidR="0064190C" w:rsidRPr="00EC07FA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»</w:t>
            </w:r>
            <w:r w:rsidR="00EA40EE" w:rsidRPr="00EC07FA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 xml:space="preserve"> </w:t>
            </w:r>
            <w:r w:rsidRPr="00EC07FA">
              <w:rPr>
                <w:rFonts w:ascii="Times New Roman" w:hAnsi="Times New Roman"/>
                <w:sz w:val="28"/>
                <w:szCs w:val="28"/>
              </w:rPr>
              <w:t>перебували у митному режимі тимчасового ввезення або транзиту, є сума акцизного податку, нарахованого відповідно до пункту 36 підрозділу 5 цього розділу.</w:t>
            </w:r>
          </w:p>
          <w:p w:rsidR="0032614A" w:rsidRPr="00EC07FA" w:rsidRDefault="00C03697" w:rsidP="00C03697">
            <w:pPr>
              <w:pStyle w:val="rvps2"/>
              <w:shd w:val="clear" w:color="auto" w:fill="FFFFFF"/>
              <w:ind w:firstLine="175"/>
              <w:jc w:val="both"/>
              <w:rPr>
                <w:sz w:val="28"/>
                <w:szCs w:val="28"/>
              </w:rPr>
            </w:pPr>
            <w:r w:rsidRPr="00EC07FA">
              <w:rPr>
                <w:sz w:val="28"/>
                <w:szCs w:val="28"/>
              </w:rPr>
              <w:t>Строк, передбачений абзацом першим цього пункту, для учасників бойових дій, зазначених у </w:t>
            </w:r>
            <w:hyperlink r:id="rId16" w:anchor="n73" w:tgtFrame="_blank" w:history="1">
              <w:r w:rsidRPr="00EC07FA">
                <w:rPr>
                  <w:rStyle w:val="a9"/>
                  <w:color w:val="auto"/>
                  <w:sz w:val="28"/>
                  <w:szCs w:val="28"/>
                </w:rPr>
                <w:t>пунктах 19</w:t>
              </w:r>
            </w:hyperlink>
            <w:r w:rsidRPr="00EC07FA">
              <w:rPr>
                <w:sz w:val="28"/>
                <w:szCs w:val="28"/>
              </w:rPr>
              <w:t> і </w:t>
            </w:r>
            <w:hyperlink r:id="rId17" w:anchor="n77" w:tgtFrame="_blank" w:history="1">
              <w:r w:rsidRPr="00EC07FA">
                <w:rPr>
                  <w:rStyle w:val="a9"/>
                  <w:color w:val="auto"/>
                  <w:sz w:val="28"/>
                  <w:szCs w:val="28"/>
                </w:rPr>
                <w:t>20</w:t>
              </w:r>
            </w:hyperlink>
            <w:r w:rsidRPr="00EC07FA">
              <w:rPr>
                <w:sz w:val="28"/>
                <w:szCs w:val="28"/>
              </w:rPr>
              <w:t xml:space="preserve"> частини першої статті 6 Закону України "Про статус ветеранів війни, гарантії їх соціального захисту", за умови документального підтвердження їх перебування більш як 90 днів з дня набрання чинності Законом України "Про внесення змін до Податкового кодексу України щодо справляння податків і зборів, інших обов’язкових платежів, об’єктом оподаткування якими є транспортні засоби" безпосередньо на території проведення операції Об’єднаних сил (ООС), становить </w:t>
            </w:r>
            <w:r w:rsidRPr="00EC07FA">
              <w:rPr>
                <w:b/>
                <w:bCs/>
                <w:sz w:val="28"/>
                <w:szCs w:val="28"/>
                <w:lang w:val="uk-UA"/>
              </w:rPr>
              <w:t>365</w:t>
            </w:r>
            <w:r w:rsidRPr="00EC07FA">
              <w:rPr>
                <w:sz w:val="28"/>
                <w:szCs w:val="28"/>
              </w:rPr>
              <w:t xml:space="preserve"> днів.</w:t>
            </w:r>
          </w:p>
        </w:tc>
      </w:tr>
      <w:tr w:rsidR="00EC07FA" w:rsidRPr="00EC07FA" w:rsidTr="00CF3178">
        <w:tc>
          <w:tcPr>
            <w:tcW w:w="7797" w:type="dxa"/>
            <w:tcBorders>
              <w:top w:val="single" w:sz="4" w:space="0" w:color="BFBFBF"/>
              <w:bottom w:val="single" w:sz="4" w:space="0" w:color="BFBFBF"/>
              <w:right w:val="single" w:sz="4" w:space="0" w:color="BFBFBF"/>
            </w:tcBorders>
          </w:tcPr>
          <w:p w:rsidR="0032614A" w:rsidRPr="00EC07FA" w:rsidRDefault="00CF3178" w:rsidP="00EA40EE">
            <w:pPr>
              <w:pStyle w:val="rvps2"/>
              <w:shd w:val="clear" w:color="auto" w:fill="FFFFFF"/>
              <w:ind w:firstLine="176"/>
              <w:jc w:val="both"/>
              <w:rPr>
                <w:b/>
                <w:sz w:val="28"/>
                <w:szCs w:val="28"/>
                <w:lang w:val="uk-UA"/>
              </w:rPr>
            </w:pPr>
            <w:r w:rsidRPr="00EC07FA">
              <w:rPr>
                <w:b/>
                <w:sz w:val="28"/>
                <w:szCs w:val="28"/>
                <w:lang w:val="uk-UA"/>
              </w:rPr>
              <w:lastRenderedPageBreak/>
              <w:t>Підрозділ 5.</w:t>
            </w:r>
            <w:r w:rsidR="00EA40EE" w:rsidRPr="00EC07FA">
              <w:rPr>
                <w:b/>
                <w:bCs/>
                <w:sz w:val="28"/>
                <w:szCs w:val="28"/>
                <w:shd w:val="clear" w:color="auto" w:fill="FFFFFF"/>
              </w:rPr>
              <w:t xml:space="preserve"> </w:t>
            </w:r>
            <w:r w:rsidR="00EA40EE" w:rsidRPr="00EC07FA">
              <w:rPr>
                <w:b/>
                <w:sz w:val="28"/>
                <w:szCs w:val="28"/>
                <w:lang w:val="uk-UA"/>
              </w:rPr>
              <w:t>Особливості справляння акцизного податку та екологічного податку</w:t>
            </w:r>
          </w:p>
        </w:tc>
        <w:tc>
          <w:tcPr>
            <w:tcW w:w="7796" w:type="dxa"/>
            <w:tcBorders>
              <w:top w:val="single" w:sz="4" w:space="0" w:color="BFBFBF"/>
              <w:left w:val="nil"/>
              <w:bottom w:val="single" w:sz="4" w:space="0" w:color="BFBFBF"/>
            </w:tcBorders>
          </w:tcPr>
          <w:p w:rsidR="0032614A" w:rsidRPr="00EC07FA" w:rsidRDefault="00EA40EE" w:rsidP="00EA40EE">
            <w:pPr>
              <w:pStyle w:val="rvps2"/>
              <w:shd w:val="clear" w:color="auto" w:fill="FFFFFF"/>
              <w:ind w:firstLine="175"/>
              <w:jc w:val="both"/>
              <w:rPr>
                <w:sz w:val="28"/>
                <w:szCs w:val="28"/>
              </w:rPr>
            </w:pPr>
            <w:r w:rsidRPr="00EC07FA">
              <w:rPr>
                <w:b/>
                <w:sz w:val="28"/>
                <w:szCs w:val="28"/>
                <w:lang w:val="uk-UA"/>
              </w:rPr>
              <w:t>Підрозділ 5.</w:t>
            </w:r>
            <w:r w:rsidRPr="00EC07FA">
              <w:rPr>
                <w:b/>
                <w:bCs/>
                <w:sz w:val="28"/>
                <w:szCs w:val="28"/>
                <w:shd w:val="clear" w:color="auto" w:fill="FFFFFF"/>
              </w:rPr>
              <w:t xml:space="preserve"> </w:t>
            </w:r>
            <w:r w:rsidRPr="00EC07FA">
              <w:rPr>
                <w:b/>
                <w:sz w:val="28"/>
                <w:szCs w:val="28"/>
                <w:lang w:val="uk-UA"/>
              </w:rPr>
              <w:t>Особливості справляння акцизного податку та екологічного податку</w:t>
            </w:r>
          </w:p>
        </w:tc>
      </w:tr>
      <w:tr w:rsidR="00EC07FA" w:rsidRPr="00EC07FA" w:rsidTr="00CF3178">
        <w:tc>
          <w:tcPr>
            <w:tcW w:w="7797" w:type="dxa"/>
            <w:tcBorders>
              <w:top w:val="single" w:sz="4" w:space="0" w:color="BFBFBF"/>
              <w:bottom w:val="single" w:sz="4" w:space="0" w:color="BFBFBF"/>
              <w:right w:val="single" w:sz="4" w:space="0" w:color="BFBFBF"/>
            </w:tcBorders>
          </w:tcPr>
          <w:p w:rsidR="00B11C35" w:rsidRPr="00EC07FA" w:rsidRDefault="00B11C35" w:rsidP="00CF3178">
            <w:pPr>
              <w:pStyle w:val="rvps2"/>
              <w:shd w:val="clear" w:color="auto" w:fill="FFFFFF"/>
              <w:ind w:firstLine="176"/>
              <w:jc w:val="both"/>
              <w:rPr>
                <w:sz w:val="28"/>
                <w:szCs w:val="28"/>
              </w:rPr>
            </w:pPr>
            <w:bookmarkStart w:id="6" w:name="n7"/>
            <w:bookmarkStart w:id="7" w:name="n9"/>
            <w:bookmarkStart w:id="8" w:name="n10"/>
            <w:bookmarkEnd w:id="6"/>
            <w:bookmarkEnd w:id="7"/>
            <w:bookmarkEnd w:id="8"/>
            <w:r w:rsidRPr="00EC07FA">
              <w:rPr>
                <w:sz w:val="28"/>
                <w:szCs w:val="28"/>
              </w:rPr>
              <w:t xml:space="preserve">36. Тимчасово, протягом </w:t>
            </w:r>
            <w:r w:rsidRPr="00EC07FA">
              <w:rPr>
                <w:b/>
                <w:bCs/>
                <w:sz w:val="28"/>
                <w:szCs w:val="28"/>
              </w:rPr>
              <w:t>180</w:t>
            </w:r>
            <w:r w:rsidRPr="00EC07FA">
              <w:rPr>
                <w:sz w:val="28"/>
                <w:szCs w:val="28"/>
              </w:rPr>
              <w:t xml:space="preserve"> днів з дня набрання чинності Законом України "Про внесення змін до Податкового кодексу України щодо справляння податків і зборів, інших обов’язкових платежів, об’єктом оподаткування якими є транспортні засоби", сума акцизного податку визначається </w:t>
            </w:r>
            <w:r w:rsidRPr="00EC07FA">
              <w:rPr>
                <w:sz w:val="28"/>
                <w:szCs w:val="28"/>
              </w:rPr>
              <w:lastRenderedPageBreak/>
              <w:t>платником податку, на якого поширюється дія цього пункту, за ставкою, що розраховується за такою формулою:</w:t>
            </w:r>
          </w:p>
          <w:p w:rsidR="00B11C35" w:rsidRPr="00EC07FA" w:rsidRDefault="00B11C35" w:rsidP="00CF3178">
            <w:pPr>
              <w:pStyle w:val="rvps12"/>
              <w:shd w:val="clear" w:color="auto" w:fill="FFFFFF"/>
              <w:ind w:firstLine="176"/>
              <w:jc w:val="center"/>
              <w:rPr>
                <w:sz w:val="28"/>
                <w:szCs w:val="28"/>
              </w:rPr>
            </w:pPr>
            <w:bookmarkStart w:id="9" w:name="n11"/>
            <w:bookmarkEnd w:id="9"/>
            <w:r w:rsidRPr="00EC07FA">
              <w:rPr>
                <w:sz w:val="28"/>
                <w:szCs w:val="28"/>
              </w:rPr>
              <w:t>Ставка = Ставка </w:t>
            </w:r>
            <w:r w:rsidRPr="00EC07FA">
              <w:rPr>
                <w:rStyle w:val="rvts37"/>
                <w:b/>
                <w:bCs/>
                <w:sz w:val="28"/>
                <w:szCs w:val="28"/>
                <w:vertAlign w:val="superscript"/>
              </w:rPr>
              <w:t>базова</w:t>
            </w:r>
            <w:r w:rsidRPr="00EC07FA">
              <w:rPr>
                <w:sz w:val="28"/>
                <w:szCs w:val="28"/>
              </w:rPr>
              <w:t> + Vе</w:t>
            </w:r>
            <w:r w:rsidRPr="00EC07FA">
              <w:rPr>
                <w:rStyle w:val="rvts40"/>
                <w:b/>
                <w:bCs/>
                <w:sz w:val="28"/>
                <w:szCs w:val="28"/>
                <w:vertAlign w:val="subscript"/>
              </w:rPr>
              <w:t> </w:t>
            </w:r>
            <w:r w:rsidRPr="00EC07FA">
              <w:rPr>
                <w:sz w:val="28"/>
                <w:szCs w:val="28"/>
              </w:rPr>
              <w:t>+ Fе,</w:t>
            </w:r>
          </w:p>
          <w:p w:rsidR="00B11C35" w:rsidRPr="00EC07FA" w:rsidRDefault="00B11C35" w:rsidP="00CF3178">
            <w:pPr>
              <w:pStyle w:val="rvps2"/>
              <w:shd w:val="clear" w:color="auto" w:fill="FFFFFF"/>
              <w:ind w:firstLine="176"/>
              <w:jc w:val="both"/>
              <w:rPr>
                <w:sz w:val="28"/>
                <w:szCs w:val="28"/>
              </w:rPr>
            </w:pPr>
            <w:bookmarkStart w:id="10" w:name="n12"/>
            <w:bookmarkEnd w:id="10"/>
            <w:r w:rsidRPr="00EC07FA">
              <w:rPr>
                <w:sz w:val="28"/>
                <w:szCs w:val="28"/>
              </w:rPr>
              <w:t>де Ставка </w:t>
            </w:r>
            <w:r w:rsidRPr="00EC07FA">
              <w:rPr>
                <w:rStyle w:val="rvts37"/>
                <w:b/>
                <w:bCs/>
                <w:sz w:val="28"/>
                <w:szCs w:val="28"/>
                <w:vertAlign w:val="superscript"/>
              </w:rPr>
              <w:t>базова</w:t>
            </w:r>
            <w:r w:rsidRPr="00EC07FA">
              <w:rPr>
                <w:sz w:val="28"/>
                <w:szCs w:val="28"/>
              </w:rPr>
              <w:t> - ставка податку в євро за 1 одиницю транспортного засобу, що визначається виходячи з кількості років, що минули з року виготовлення транспортного засобу, до року визначення ставки податку та становить:</w:t>
            </w:r>
          </w:p>
          <w:tbl>
            <w:tblPr>
              <w:tblW w:w="5000" w:type="pct"/>
              <w:jc w:val="center"/>
              <w:tblBorders>
                <w:top w:val="outset" w:sz="2" w:space="0" w:color="auto"/>
                <w:left w:val="outset" w:sz="2" w:space="0" w:color="auto"/>
                <w:bottom w:val="outset" w:sz="2" w:space="0" w:color="auto"/>
                <w:right w:val="outset" w:sz="2" w:space="0" w:color="auto"/>
              </w:tblBorders>
              <w:tblLayout w:type="fixed"/>
              <w:tblCellMar>
                <w:top w:w="12" w:type="dxa"/>
                <w:left w:w="12" w:type="dxa"/>
                <w:bottom w:w="12" w:type="dxa"/>
                <w:right w:w="12" w:type="dxa"/>
              </w:tblCellMar>
              <w:tblLook w:val="04A0" w:firstRow="1" w:lastRow="0" w:firstColumn="1" w:lastColumn="0" w:noHBand="0" w:noVBand="1"/>
            </w:tblPr>
            <w:tblGrid>
              <w:gridCol w:w="3597"/>
              <w:gridCol w:w="3978"/>
            </w:tblGrid>
            <w:tr w:rsidR="00B11C35" w:rsidRPr="00EC07FA" w:rsidTr="00E8659C">
              <w:trPr>
                <w:trHeight w:val="240"/>
                <w:jc w:val="center"/>
              </w:trPr>
              <w:tc>
                <w:tcPr>
                  <w:tcW w:w="2350" w:type="pct"/>
                  <w:tcBorders>
                    <w:top w:val="outset" w:sz="2" w:space="0" w:color="auto"/>
                    <w:left w:val="outset" w:sz="2" w:space="0" w:color="auto"/>
                    <w:bottom w:val="nil"/>
                    <w:right w:val="nil"/>
                  </w:tcBorders>
                  <w:hideMark/>
                </w:tcPr>
                <w:p w:rsidR="00B11C35" w:rsidRPr="00EC07FA" w:rsidRDefault="00B11C35" w:rsidP="00CF3178">
                  <w:pPr>
                    <w:pStyle w:val="rvps12"/>
                    <w:ind w:firstLine="176"/>
                    <w:jc w:val="center"/>
                    <w:rPr>
                      <w:sz w:val="28"/>
                      <w:szCs w:val="28"/>
                    </w:rPr>
                  </w:pPr>
                  <w:bookmarkStart w:id="11" w:name="n13"/>
                  <w:bookmarkEnd w:id="11"/>
                  <w:r w:rsidRPr="00EC07FA">
                    <w:rPr>
                      <w:sz w:val="28"/>
                      <w:szCs w:val="28"/>
                    </w:rPr>
                    <w:t>Кількість років, що минула з року виготовлення транспортного засобу</w:t>
                  </w:r>
                </w:p>
              </w:tc>
              <w:tc>
                <w:tcPr>
                  <w:tcW w:w="2600" w:type="pct"/>
                  <w:tcBorders>
                    <w:top w:val="outset" w:sz="2" w:space="0" w:color="auto"/>
                    <w:left w:val="nil"/>
                    <w:bottom w:val="nil"/>
                    <w:right w:val="outset" w:sz="2" w:space="0" w:color="auto"/>
                  </w:tcBorders>
                  <w:hideMark/>
                </w:tcPr>
                <w:p w:rsidR="00B11C35" w:rsidRPr="00EC07FA" w:rsidRDefault="00B11C35" w:rsidP="00CF3178">
                  <w:pPr>
                    <w:pStyle w:val="rvps12"/>
                    <w:ind w:firstLine="176"/>
                    <w:jc w:val="center"/>
                    <w:rPr>
                      <w:sz w:val="28"/>
                      <w:szCs w:val="28"/>
                    </w:rPr>
                  </w:pPr>
                  <w:r w:rsidRPr="00EC07FA">
                    <w:rPr>
                      <w:sz w:val="28"/>
                      <w:szCs w:val="28"/>
                    </w:rPr>
                    <w:t>Ставка базова, євро</w:t>
                  </w:r>
                </w:p>
              </w:tc>
            </w:tr>
            <w:tr w:rsidR="00B11C35" w:rsidRPr="00EC07FA" w:rsidTr="00E8659C">
              <w:trPr>
                <w:trHeight w:val="240"/>
                <w:jc w:val="center"/>
              </w:trPr>
              <w:tc>
                <w:tcPr>
                  <w:tcW w:w="2350" w:type="pct"/>
                  <w:tcBorders>
                    <w:top w:val="nil"/>
                    <w:left w:val="outset" w:sz="2" w:space="0" w:color="auto"/>
                    <w:bottom w:val="nil"/>
                    <w:right w:val="nil"/>
                  </w:tcBorders>
                  <w:hideMark/>
                </w:tcPr>
                <w:p w:rsidR="00B11C35" w:rsidRPr="00EC07FA" w:rsidRDefault="00B11C35" w:rsidP="00CF3178">
                  <w:pPr>
                    <w:pStyle w:val="rvps12"/>
                    <w:ind w:firstLine="176"/>
                    <w:jc w:val="center"/>
                    <w:rPr>
                      <w:sz w:val="28"/>
                      <w:szCs w:val="28"/>
                    </w:rPr>
                  </w:pPr>
                  <w:r w:rsidRPr="00EC07FA">
                    <w:rPr>
                      <w:sz w:val="28"/>
                      <w:szCs w:val="28"/>
                    </w:rPr>
                    <w:t>5-9</w:t>
                  </w:r>
                </w:p>
              </w:tc>
              <w:tc>
                <w:tcPr>
                  <w:tcW w:w="2600" w:type="pct"/>
                  <w:tcBorders>
                    <w:top w:val="nil"/>
                    <w:left w:val="nil"/>
                    <w:bottom w:val="nil"/>
                    <w:right w:val="outset" w:sz="2" w:space="0" w:color="auto"/>
                  </w:tcBorders>
                  <w:hideMark/>
                </w:tcPr>
                <w:p w:rsidR="00B11C35" w:rsidRPr="00EC07FA" w:rsidRDefault="00B11C35" w:rsidP="00CF3178">
                  <w:pPr>
                    <w:pStyle w:val="rvps12"/>
                    <w:ind w:firstLine="176"/>
                    <w:jc w:val="center"/>
                    <w:rPr>
                      <w:sz w:val="28"/>
                      <w:szCs w:val="28"/>
                    </w:rPr>
                  </w:pPr>
                  <w:r w:rsidRPr="00EC07FA">
                    <w:rPr>
                      <w:sz w:val="28"/>
                      <w:szCs w:val="28"/>
                    </w:rPr>
                    <w:t>0</w:t>
                  </w:r>
                </w:p>
              </w:tc>
            </w:tr>
            <w:tr w:rsidR="00B11C35" w:rsidRPr="00EC07FA" w:rsidTr="00E8659C">
              <w:trPr>
                <w:trHeight w:val="240"/>
                <w:jc w:val="center"/>
              </w:trPr>
              <w:tc>
                <w:tcPr>
                  <w:tcW w:w="2350" w:type="pct"/>
                  <w:tcBorders>
                    <w:top w:val="nil"/>
                    <w:left w:val="outset" w:sz="2" w:space="0" w:color="auto"/>
                    <w:bottom w:val="nil"/>
                    <w:right w:val="nil"/>
                  </w:tcBorders>
                  <w:hideMark/>
                </w:tcPr>
                <w:p w:rsidR="00B11C35" w:rsidRPr="00EC07FA" w:rsidRDefault="00B11C35" w:rsidP="00CF3178">
                  <w:pPr>
                    <w:pStyle w:val="rvps12"/>
                    <w:ind w:firstLine="176"/>
                    <w:jc w:val="center"/>
                    <w:rPr>
                      <w:sz w:val="28"/>
                      <w:szCs w:val="28"/>
                    </w:rPr>
                  </w:pPr>
                  <w:r w:rsidRPr="00EC07FA">
                    <w:rPr>
                      <w:sz w:val="28"/>
                      <w:szCs w:val="28"/>
                    </w:rPr>
                    <w:t>10</w:t>
                  </w:r>
                </w:p>
              </w:tc>
              <w:tc>
                <w:tcPr>
                  <w:tcW w:w="2600" w:type="pct"/>
                  <w:tcBorders>
                    <w:top w:val="nil"/>
                    <w:left w:val="nil"/>
                    <w:bottom w:val="nil"/>
                    <w:right w:val="outset" w:sz="2" w:space="0" w:color="auto"/>
                  </w:tcBorders>
                  <w:hideMark/>
                </w:tcPr>
                <w:p w:rsidR="00B11C35" w:rsidRPr="00EC07FA" w:rsidRDefault="00B11C35" w:rsidP="00CF3178">
                  <w:pPr>
                    <w:pStyle w:val="rvps12"/>
                    <w:ind w:firstLine="176"/>
                    <w:jc w:val="center"/>
                    <w:rPr>
                      <w:sz w:val="28"/>
                      <w:szCs w:val="28"/>
                    </w:rPr>
                  </w:pPr>
                  <w:r w:rsidRPr="00EC07FA">
                    <w:rPr>
                      <w:sz w:val="28"/>
                      <w:szCs w:val="28"/>
                    </w:rPr>
                    <w:t>25</w:t>
                  </w:r>
                </w:p>
              </w:tc>
            </w:tr>
            <w:tr w:rsidR="00B11C35" w:rsidRPr="00EC07FA" w:rsidTr="00E8659C">
              <w:trPr>
                <w:trHeight w:val="240"/>
                <w:jc w:val="center"/>
              </w:trPr>
              <w:tc>
                <w:tcPr>
                  <w:tcW w:w="2350" w:type="pct"/>
                  <w:tcBorders>
                    <w:top w:val="nil"/>
                    <w:left w:val="outset" w:sz="2" w:space="0" w:color="auto"/>
                    <w:bottom w:val="nil"/>
                    <w:right w:val="nil"/>
                  </w:tcBorders>
                  <w:hideMark/>
                </w:tcPr>
                <w:p w:rsidR="00B11C35" w:rsidRPr="00EC07FA" w:rsidRDefault="00B11C35" w:rsidP="00CF3178">
                  <w:pPr>
                    <w:pStyle w:val="rvps12"/>
                    <w:ind w:firstLine="176"/>
                    <w:jc w:val="center"/>
                    <w:rPr>
                      <w:sz w:val="28"/>
                      <w:szCs w:val="28"/>
                    </w:rPr>
                  </w:pPr>
                  <w:r w:rsidRPr="00EC07FA">
                    <w:rPr>
                      <w:sz w:val="28"/>
                      <w:szCs w:val="28"/>
                    </w:rPr>
                    <w:t>11</w:t>
                  </w:r>
                </w:p>
              </w:tc>
              <w:tc>
                <w:tcPr>
                  <w:tcW w:w="2600" w:type="pct"/>
                  <w:tcBorders>
                    <w:top w:val="nil"/>
                    <w:left w:val="nil"/>
                    <w:bottom w:val="nil"/>
                    <w:right w:val="outset" w:sz="2" w:space="0" w:color="auto"/>
                  </w:tcBorders>
                  <w:hideMark/>
                </w:tcPr>
                <w:p w:rsidR="00B11C35" w:rsidRPr="00EC07FA" w:rsidRDefault="00B11C35" w:rsidP="00CF3178">
                  <w:pPr>
                    <w:pStyle w:val="rvps12"/>
                    <w:ind w:firstLine="176"/>
                    <w:jc w:val="center"/>
                    <w:rPr>
                      <w:sz w:val="28"/>
                      <w:szCs w:val="28"/>
                    </w:rPr>
                  </w:pPr>
                  <w:r w:rsidRPr="00EC07FA">
                    <w:rPr>
                      <w:sz w:val="28"/>
                      <w:szCs w:val="28"/>
                    </w:rPr>
                    <w:t>50</w:t>
                  </w:r>
                </w:p>
              </w:tc>
            </w:tr>
            <w:tr w:rsidR="00B11C35" w:rsidRPr="00EC07FA" w:rsidTr="00E8659C">
              <w:trPr>
                <w:trHeight w:val="240"/>
                <w:jc w:val="center"/>
              </w:trPr>
              <w:tc>
                <w:tcPr>
                  <w:tcW w:w="2350" w:type="pct"/>
                  <w:tcBorders>
                    <w:top w:val="nil"/>
                    <w:left w:val="outset" w:sz="2" w:space="0" w:color="auto"/>
                    <w:bottom w:val="nil"/>
                    <w:right w:val="nil"/>
                  </w:tcBorders>
                  <w:hideMark/>
                </w:tcPr>
                <w:p w:rsidR="00B11C35" w:rsidRPr="00EC07FA" w:rsidRDefault="00B11C35" w:rsidP="00CF3178">
                  <w:pPr>
                    <w:pStyle w:val="rvps12"/>
                    <w:ind w:firstLine="176"/>
                    <w:jc w:val="center"/>
                    <w:rPr>
                      <w:sz w:val="28"/>
                      <w:szCs w:val="28"/>
                    </w:rPr>
                  </w:pPr>
                  <w:r w:rsidRPr="00EC07FA">
                    <w:rPr>
                      <w:sz w:val="28"/>
                      <w:szCs w:val="28"/>
                    </w:rPr>
                    <w:t>12</w:t>
                  </w:r>
                </w:p>
              </w:tc>
              <w:tc>
                <w:tcPr>
                  <w:tcW w:w="2600" w:type="pct"/>
                  <w:tcBorders>
                    <w:top w:val="nil"/>
                    <w:left w:val="nil"/>
                    <w:bottom w:val="nil"/>
                    <w:right w:val="outset" w:sz="2" w:space="0" w:color="auto"/>
                  </w:tcBorders>
                  <w:hideMark/>
                </w:tcPr>
                <w:p w:rsidR="00B11C35" w:rsidRPr="00EC07FA" w:rsidRDefault="00B11C35" w:rsidP="00CF3178">
                  <w:pPr>
                    <w:pStyle w:val="rvps12"/>
                    <w:ind w:firstLine="176"/>
                    <w:jc w:val="center"/>
                    <w:rPr>
                      <w:sz w:val="28"/>
                      <w:szCs w:val="28"/>
                    </w:rPr>
                  </w:pPr>
                  <w:r w:rsidRPr="00EC07FA">
                    <w:rPr>
                      <w:sz w:val="28"/>
                      <w:szCs w:val="28"/>
                    </w:rPr>
                    <w:t>75</w:t>
                  </w:r>
                </w:p>
              </w:tc>
            </w:tr>
            <w:tr w:rsidR="00B11C35" w:rsidRPr="00EC07FA" w:rsidTr="00E8659C">
              <w:trPr>
                <w:trHeight w:val="240"/>
                <w:jc w:val="center"/>
              </w:trPr>
              <w:tc>
                <w:tcPr>
                  <w:tcW w:w="2350" w:type="pct"/>
                  <w:tcBorders>
                    <w:top w:val="nil"/>
                    <w:left w:val="outset" w:sz="2" w:space="0" w:color="auto"/>
                    <w:bottom w:val="nil"/>
                    <w:right w:val="nil"/>
                  </w:tcBorders>
                  <w:hideMark/>
                </w:tcPr>
                <w:p w:rsidR="00B11C35" w:rsidRPr="00EC07FA" w:rsidRDefault="00B11C35" w:rsidP="00CF3178">
                  <w:pPr>
                    <w:pStyle w:val="rvps12"/>
                    <w:ind w:firstLine="176"/>
                    <w:jc w:val="center"/>
                    <w:rPr>
                      <w:sz w:val="28"/>
                      <w:szCs w:val="28"/>
                    </w:rPr>
                  </w:pPr>
                  <w:r w:rsidRPr="00EC07FA">
                    <w:rPr>
                      <w:sz w:val="28"/>
                      <w:szCs w:val="28"/>
                    </w:rPr>
                    <w:t>13</w:t>
                  </w:r>
                </w:p>
              </w:tc>
              <w:tc>
                <w:tcPr>
                  <w:tcW w:w="2600" w:type="pct"/>
                  <w:tcBorders>
                    <w:top w:val="nil"/>
                    <w:left w:val="nil"/>
                    <w:bottom w:val="nil"/>
                    <w:right w:val="outset" w:sz="2" w:space="0" w:color="auto"/>
                  </w:tcBorders>
                  <w:hideMark/>
                </w:tcPr>
                <w:p w:rsidR="00B11C35" w:rsidRPr="00EC07FA" w:rsidRDefault="00B11C35" w:rsidP="00CF3178">
                  <w:pPr>
                    <w:pStyle w:val="rvps12"/>
                    <w:ind w:firstLine="176"/>
                    <w:jc w:val="center"/>
                    <w:rPr>
                      <w:sz w:val="28"/>
                      <w:szCs w:val="28"/>
                    </w:rPr>
                  </w:pPr>
                  <w:r w:rsidRPr="00EC07FA">
                    <w:rPr>
                      <w:sz w:val="28"/>
                      <w:szCs w:val="28"/>
                    </w:rPr>
                    <w:t>100</w:t>
                  </w:r>
                </w:p>
              </w:tc>
            </w:tr>
            <w:tr w:rsidR="00B11C35" w:rsidRPr="00EC07FA" w:rsidTr="00E8659C">
              <w:trPr>
                <w:trHeight w:val="240"/>
                <w:jc w:val="center"/>
              </w:trPr>
              <w:tc>
                <w:tcPr>
                  <w:tcW w:w="2350" w:type="pct"/>
                  <w:tcBorders>
                    <w:top w:val="nil"/>
                    <w:left w:val="outset" w:sz="2" w:space="0" w:color="auto"/>
                    <w:bottom w:val="nil"/>
                    <w:right w:val="nil"/>
                  </w:tcBorders>
                  <w:hideMark/>
                </w:tcPr>
                <w:p w:rsidR="00B11C35" w:rsidRPr="00EC07FA" w:rsidRDefault="00B11C35" w:rsidP="00CF3178">
                  <w:pPr>
                    <w:pStyle w:val="rvps12"/>
                    <w:ind w:firstLine="176"/>
                    <w:jc w:val="center"/>
                    <w:rPr>
                      <w:sz w:val="28"/>
                      <w:szCs w:val="28"/>
                    </w:rPr>
                  </w:pPr>
                  <w:r w:rsidRPr="00EC07FA">
                    <w:rPr>
                      <w:sz w:val="28"/>
                      <w:szCs w:val="28"/>
                    </w:rPr>
                    <w:t>14</w:t>
                  </w:r>
                </w:p>
              </w:tc>
              <w:tc>
                <w:tcPr>
                  <w:tcW w:w="2600" w:type="pct"/>
                  <w:tcBorders>
                    <w:top w:val="nil"/>
                    <w:left w:val="nil"/>
                    <w:bottom w:val="nil"/>
                    <w:right w:val="outset" w:sz="2" w:space="0" w:color="auto"/>
                  </w:tcBorders>
                  <w:hideMark/>
                </w:tcPr>
                <w:p w:rsidR="00B11C35" w:rsidRPr="00EC07FA" w:rsidRDefault="00B11C35" w:rsidP="00CF3178">
                  <w:pPr>
                    <w:pStyle w:val="rvps12"/>
                    <w:ind w:firstLine="176"/>
                    <w:jc w:val="center"/>
                    <w:rPr>
                      <w:sz w:val="28"/>
                      <w:szCs w:val="28"/>
                    </w:rPr>
                  </w:pPr>
                  <w:r w:rsidRPr="00EC07FA">
                    <w:rPr>
                      <w:sz w:val="28"/>
                      <w:szCs w:val="28"/>
                    </w:rPr>
                    <w:t>125</w:t>
                  </w:r>
                </w:p>
              </w:tc>
            </w:tr>
            <w:tr w:rsidR="00B11C35" w:rsidRPr="00EC07FA" w:rsidTr="00E8659C">
              <w:trPr>
                <w:trHeight w:val="240"/>
                <w:jc w:val="center"/>
              </w:trPr>
              <w:tc>
                <w:tcPr>
                  <w:tcW w:w="2350" w:type="pct"/>
                  <w:tcBorders>
                    <w:top w:val="nil"/>
                    <w:left w:val="outset" w:sz="2" w:space="0" w:color="auto"/>
                    <w:bottom w:val="outset" w:sz="2" w:space="0" w:color="auto"/>
                    <w:right w:val="nil"/>
                  </w:tcBorders>
                  <w:hideMark/>
                </w:tcPr>
                <w:p w:rsidR="00B11C35" w:rsidRPr="00EC07FA" w:rsidRDefault="00B11C35" w:rsidP="00CF3178">
                  <w:pPr>
                    <w:pStyle w:val="rvps12"/>
                    <w:ind w:firstLine="176"/>
                    <w:jc w:val="center"/>
                    <w:rPr>
                      <w:sz w:val="28"/>
                      <w:szCs w:val="28"/>
                    </w:rPr>
                  </w:pPr>
                  <w:r w:rsidRPr="00EC07FA">
                    <w:rPr>
                      <w:sz w:val="28"/>
                      <w:szCs w:val="28"/>
                    </w:rPr>
                    <w:t>15 і більше</w:t>
                  </w:r>
                </w:p>
              </w:tc>
              <w:tc>
                <w:tcPr>
                  <w:tcW w:w="2600" w:type="pct"/>
                  <w:tcBorders>
                    <w:top w:val="nil"/>
                    <w:left w:val="nil"/>
                    <w:bottom w:val="outset" w:sz="2" w:space="0" w:color="auto"/>
                    <w:right w:val="outset" w:sz="2" w:space="0" w:color="auto"/>
                  </w:tcBorders>
                  <w:hideMark/>
                </w:tcPr>
                <w:p w:rsidR="00B11C35" w:rsidRPr="00EC07FA" w:rsidRDefault="00B11C35" w:rsidP="00CF3178">
                  <w:pPr>
                    <w:pStyle w:val="rvps12"/>
                    <w:ind w:firstLine="176"/>
                    <w:jc w:val="center"/>
                    <w:rPr>
                      <w:sz w:val="28"/>
                      <w:szCs w:val="28"/>
                    </w:rPr>
                  </w:pPr>
                  <w:r w:rsidRPr="00EC07FA">
                    <w:rPr>
                      <w:sz w:val="28"/>
                      <w:szCs w:val="28"/>
                    </w:rPr>
                    <w:t>150</w:t>
                  </w:r>
                </w:p>
              </w:tc>
            </w:tr>
          </w:tbl>
          <w:p w:rsidR="00B11C35" w:rsidRPr="00EC07FA" w:rsidRDefault="00B11C35" w:rsidP="00CF3178">
            <w:pPr>
              <w:pStyle w:val="rvps2"/>
              <w:shd w:val="clear" w:color="auto" w:fill="FFFFFF"/>
              <w:ind w:firstLine="176"/>
              <w:jc w:val="both"/>
              <w:rPr>
                <w:sz w:val="28"/>
                <w:szCs w:val="28"/>
              </w:rPr>
            </w:pPr>
            <w:bookmarkStart w:id="12" w:name="n14"/>
            <w:bookmarkEnd w:id="12"/>
            <w:r w:rsidRPr="00EC07FA">
              <w:rPr>
                <w:sz w:val="28"/>
                <w:szCs w:val="28"/>
              </w:rPr>
              <w:t xml:space="preserve">Vе - ставка податку в євро за 1 одиницю транспортного засобу, що визначається множенням об’єму циліндрів двигуна </w:t>
            </w:r>
            <w:r w:rsidRPr="00EC07FA">
              <w:rPr>
                <w:sz w:val="28"/>
                <w:szCs w:val="28"/>
              </w:rPr>
              <w:lastRenderedPageBreak/>
              <w:t>внутрішнього згоряння відповідного транспортного засобу в кубічних сантиметрах на коефіцієнт, що становить:</w:t>
            </w:r>
          </w:p>
          <w:p w:rsidR="00B11C35" w:rsidRPr="00EC07FA" w:rsidRDefault="00B11C35" w:rsidP="00CF3178">
            <w:pPr>
              <w:pStyle w:val="rvps2"/>
              <w:shd w:val="clear" w:color="auto" w:fill="FFFFFF"/>
              <w:ind w:firstLine="176"/>
              <w:jc w:val="both"/>
              <w:rPr>
                <w:sz w:val="28"/>
                <w:szCs w:val="28"/>
              </w:rPr>
            </w:pPr>
            <w:bookmarkStart w:id="13" w:name="n15"/>
            <w:bookmarkEnd w:id="13"/>
            <w:r w:rsidRPr="00EC07FA">
              <w:rPr>
                <w:sz w:val="28"/>
                <w:szCs w:val="28"/>
              </w:rPr>
              <w:t>0,25 євро за 1 кубічний сантиметр об’єму циліндрів двигуна - для транспортного засобу з об’ємом двигуна внутрішнього згоряння до 2000 кубічних сантиметрів включно;</w:t>
            </w:r>
          </w:p>
          <w:p w:rsidR="00B11C35" w:rsidRPr="00EC07FA" w:rsidRDefault="00B11C35" w:rsidP="00CF3178">
            <w:pPr>
              <w:pStyle w:val="rvps2"/>
              <w:shd w:val="clear" w:color="auto" w:fill="FFFFFF"/>
              <w:ind w:firstLine="176"/>
              <w:jc w:val="both"/>
              <w:rPr>
                <w:sz w:val="28"/>
                <w:szCs w:val="28"/>
              </w:rPr>
            </w:pPr>
            <w:bookmarkStart w:id="14" w:name="n16"/>
            <w:bookmarkEnd w:id="14"/>
            <w:r w:rsidRPr="00EC07FA">
              <w:rPr>
                <w:sz w:val="28"/>
                <w:szCs w:val="28"/>
              </w:rPr>
              <w:t>0,2 євро за 1 кубічний сантиметр об’єму циліндрів двигуна - для транспортного засобу з об’ємом двигуна внутрішнього згоряння від 2001 до 3000 кубічних сантиметрів включно;</w:t>
            </w:r>
          </w:p>
          <w:p w:rsidR="00B11C35" w:rsidRPr="00EC07FA" w:rsidRDefault="00B11C35" w:rsidP="00CF3178">
            <w:pPr>
              <w:pStyle w:val="rvps2"/>
              <w:shd w:val="clear" w:color="auto" w:fill="FFFFFF"/>
              <w:ind w:firstLine="176"/>
              <w:jc w:val="both"/>
              <w:rPr>
                <w:sz w:val="28"/>
                <w:szCs w:val="28"/>
              </w:rPr>
            </w:pPr>
            <w:bookmarkStart w:id="15" w:name="n17"/>
            <w:bookmarkEnd w:id="15"/>
            <w:r w:rsidRPr="00EC07FA">
              <w:rPr>
                <w:sz w:val="28"/>
                <w:szCs w:val="28"/>
              </w:rPr>
              <w:t>0,25 євро за 1 кубічний сантиметр об’єму циліндрів двигуна - для транспортного засобу з об’ємом двигуна внутрішнього згоряння від 3001 до 4000 кубічних сантиметрів включно;</w:t>
            </w:r>
          </w:p>
          <w:p w:rsidR="00B11C35" w:rsidRPr="00EC07FA" w:rsidRDefault="00B11C35" w:rsidP="00CF3178">
            <w:pPr>
              <w:pStyle w:val="rvps2"/>
              <w:shd w:val="clear" w:color="auto" w:fill="FFFFFF"/>
              <w:ind w:firstLine="176"/>
              <w:jc w:val="both"/>
              <w:rPr>
                <w:sz w:val="28"/>
                <w:szCs w:val="28"/>
              </w:rPr>
            </w:pPr>
            <w:bookmarkStart w:id="16" w:name="n18"/>
            <w:bookmarkEnd w:id="16"/>
            <w:r w:rsidRPr="00EC07FA">
              <w:rPr>
                <w:sz w:val="28"/>
                <w:szCs w:val="28"/>
              </w:rPr>
              <w:t>0,35 євро за 1 кубічний сантиметр об’єму циліндрів двигуна - для транспортного засобу з об’ємом двигуна внутрішнього згоряння від 4001 до 5000 кубічних сантиметрів включно;</w:t>
            </w:r>
          </w:p>
          <w:p w:rsidR="00B11C35" w:rsidRPr="00EC07FA" w:rsidRDefault="00B11C35" w:rsidP="00CF3178">
            <w:pPr>
              <w:pStyle w:val="rvps2"/>
              <w:shd w:val="clear" w:color="auto" w:fill="FFFFFF"/>
              <w:ind w:firstLine="176"/>
              <w:jc w:val="both"/>
              <w:rPr>
                <w:sz w:val="28"/>
                <w:szCs w:val="28"/>
              </w:rPr>
            </w:pPr>
            <w:bookmarkStart w:id="17" w:name="n19"/>
            <w:bookmarkEnd w:id="17"/>
            <w:r w:rsidRPr="00EC07FA">
              <w:rPr>
                <w:sz w:val="28"/>
                <w:szCs w:val="28"/>
              </w:rPr>
              <w:t>0,5 євро за 1 кубічний сантиметр об’єму циліндрів двигуна - для транспортного засобу з об’ємом двигуна внутрішнього згоряння понад  5000 кубічних сантиметрів;</w:t>
            </w:r>
          </w:p>
          <w:p w:rsidR="00B11C35" w:rsidRPr="00EC07FA" w:rsidRDefault="00B11C35" w:rsidP="00CF3178">
            <w:pPr>
              <w:pStyle w:val="rvps2"/>
              <w:shd w:val="clear" w:color="auto" w:fill="FFFFFF"/>
              <w:ind w:firstLine="176"/>
              <w:jc w:val="both"/>
              <w:rPr>
                <w:sz w:val="28"/>
                <w:szCs w:val="28"/>
              </w:rPr>
            </w:pPr>
            <w:bookmarkStart w:id="18" w:name="n20"/>
            <w:bookmarkEnd w:id="18"/>
            <w:r w:rsidRPr="00EC07FA">
              <w:rPr>
                <w:sz w:val="28"/>
                <w:szCs w:val="28"/>
              </w:rPr>
              <w:t>Fе - ставка податку в євро за 1 одиницю транспортного засобу, що становить:</w:t>
            </w:r>
          </w:p>
          <w:p w:rsidR="00B11C35" w:rsidRPr="00EC07FA" w:rsidRDefault="00B11C35" w:rsidP="00CF3178">
            <w:pPr>
              <w:pStyle w:val="rvps2"/>
              <w:shd w:val="clear" w:color="auto" w:fill="FFFFFF"/>
              <w:ind w:firstLine="176"/>
              <w:jc w:val="both"/>
              <w:rPr>
                <w:sz w:val="28"/>
                <w:szCs w:val="28"/>
              </w:rPr>
            </w:pPr>
            <w:bookmarkStart w:id="19" w:name="n21"/>
            <w:bookmarkEnd w:id="19"/>
            <w:r w:rsidRPr="00EC07FA">
              <w:rPr>
                <w:sz w:val="28"/>
                <w:szCs w:val="28"/>
              </w:rPr>
              <w:t>для транспортних засобів, оснащених двигуном внутрішнього згоряння з іскровим запалюванням та кривошипно-шатунним механізмом, - 0,0 євро;</w:t>
            </w:r>
          </w:p>
          <w:p w:rsidR="00B11C35" w:rsidRPr="00EC07FA" w:rsidRDefault="00B11C35" w:rsidP="00CF3178">
            <w:pPr>
              <w:pStyle w:val="rvps2"/>
              <w:shd w:val="clear" w:color="auto" w:fill="FFFFFF"/>
              <w:ind w:firstLine="176"/>
              <w:jc w:val="both"/>
              <w:rPr>
                <w:sz w:val="28"/>
                <w:szCs w:val="28"/>
              </w:rPr>
            </w:pPr>
            <w:bookmarkStart w:id="20" w:name="n22"/>
            <w:bookmarkEnd w:id="20"/>
            <w:r w:rsidRPr="00EC07FA">
              <w:rPr>
                <w:sz w:val="28"/>
                <w:szCs w:val="28"/>
              </w:rPr>
              <w:lastRenderedPageBreak/>
              <w:t>для транспортних засобів, оснащених двигуном внутрішнього згоряння із запалюванням від стиснення (дизелем або напівдизелем), - 100,0 євро;</w:t>
            </w:r>
          </w:p>
          <w:p w:rsidR="00B11C35" w:rsidRPr="00EC07FA" w:rsidRDefault="00B11C35" w:rsidP="00CF3178">
            <w:pPr>
              <w:pStyle w:val="rvps2"/>
              <w:shd w:val="clear" w:color="auto" w:fill="FFFFFF"/>
              <w:ind w:firstLine="176"/>
              <w:jc w:val="both"/>
              <w:rPr>
                <w:sz w:val="28"/>
                <w:szCs w:val="28"/>
              </w:rPr>
            </w:pPr>
            <w:bookmarkStart w:id="21" w:name="n23"/>
            <w:bookmarkEnd w:id="21"/>
            <w:r w:rsidRPr="00EC07FA">
              <w:rPr>
                <w:sz w:val="28"/>
                <w:szCs w:val="28"/>
              </w:rPr>
              <w:t>для транспортних засобів, оснащених двигуном внутрішнього згоряння з іскровим запалюванням та кривошипно-шатунним механізмом або двигуном внутрішнього згоряння із запалюванням від стиснення (дизелем або напівдизелем) та електричним двигуном (одним чи кількома), - 0,0 євро.</w:t>
            </w:r>
          </w:p>
          <w:p w:rsidR="00B11C35" w:rsidRPr="00EC07FA" w:rsidRDefault="00B11C35" w:rsidP="00CF3178">
            <w:pPr>
              <w:pStyle w:val="rvps2"/>
              <w:shd w:val="clear" w:color="auto" w:fill="FFFFFF"/>
              <w:ind w:firstLine="176"/>
              <w:jc w:val="both"/>
              <w:rPr>
                <w:sz w:val="28"/>
                <w:szCs w:val="28"/>
              </w:rPr>
            </w:pPr>
            <w:bookmarkStart w:id="22" w:name="n24"/>
            <w:bookmarkEnd w:id="22"/>
            <w:r w:rsidRPr="00EC07FA">
              <w:rPr>
                <w:sz w:val="28"/>
                <w:szCs w:val="28"/>
              </w:rPr>
              <w:t xml:space="preserve">Дія цього пункту поширюється на транспортні засоби особистого користування (у кількості не більше однієї одиниці на кожну товарну позицію), що були у використанні та з року випуску яких минуло більше п’яти років, які класифікуються за товарними позиціями 8703, 8704 (загальною масою до </w:t>
            </w:r>
            <w:r w:rsidRPr="00EC07FA">
              <w:rPr>
                <w:b/>
                <w:bCs/>
                <w:sz w:val="28"/>
                <w:szCs w:val="28"/>
              </w:rPr>
              <w:t>3,5 тонни</w:t>
            </w:r>
            <w:r w:rsidRPr="00EC07FA">
              <w:rPr>
                <w:sz w:val="28"/>
                <w:szCs w:val="28"/>
              </w:rPr>
              <w:t>) згідно з </w:t>
            </w:r>
            <w:hyperlink r:id="rId18" w:anchor="n1045" w:tgtFrame="_blank" w:history="1">
              <w:r w:rsidRPr="00EC07FA">
                <w:rPr>
                  <w:rStyle w:val="a9"/>
                  <w:color w:val="auto"/>
                  <w:sz w:val="28"/>
                  <w:szCs w:val="28"/>
                </w:rPr>
                <w:t>УКТ ЗЕД</w:t>
              </w:r>
            </w:hyperlink>
            <w:r w:rsidRPr="00EC07FA">
              <w:rPr>
                <w:sz w:val="28"/>
                <w:szCs w:val="28"/>
              </w:rPr>
              <w:t xml:space="preserve"> та станом на </w:t>
            </w:r>
            <w:r w:rsidRPr="00EC07FA">
              <w:rPr>
                <w:b/>
                <w:bCs/>
                <w:sz w:val="28"/>
                <w:szCs w:val="28"/>
              </w:rPr>
              <w:t>31 грудня 2020 року</w:t>
            </w:r>
            <w:r w:rsidRPr="00EC07FA">
              <w:rPr>
                <w:sz w:val="28"/>
                <w:szCs w:val="28"/>
              </w:rPr>
              <w:t xml:space="preserve"> перебували у митному режимі тимчасового ввезення або транзиту.</w:t>
            </w:r>
          </w:p>
          <w:p w:rsidR="00C52593" w:rsidRPr="00EC07FA" w:rsidRDefault="00C52593" w:rsidP="00CF3178">
            <w:pPr>
              <w:pStyle w:val="rvps2"/>
              <w:shd w:val="clear" w:color="auto" w:fill="FFFFFF"/>
              <w:ind w:firstLine="176"/>
              <w:jc w:val="both"/>
              <w:rPr>
                <w:sz w:val="28"/>
                <w:szCs w:val="28"/>
                <w:lang w:val="uk-UA"/>
              </w:rPr>
            </w:pPr>
            <w:bookmarkStart w:id="23" w:name="n25"/>
            <w:bookmarkEnd w:id="23"/>
          </w:p>
          <w:p w:rsidR="0064190C" w:rsidRPr="00EC07FA" w:rsidRDefault="0064190C" w:rsidP="00CF3178">
            <w:pPr>
              <w:pStyle w:val="rvps2"/>
              <w:shd w:val="clear" w:color="auto" w:fill="FFFFFF"/>
              <w:ind w:firstLine="176"/>
              <w:jc w:val="both"/>
              <w:rPr>
                <w:sz w:val="28"/>
                <w:szCs w:val="28"/>
                <w:lang w:val="uk-UA"/>
              </w:rPr>
            </w:pPr>
          </w:p>
          <w:p w:rsidR="00B11C35" w:rsidRPr="00EC07FA" w:rsidRDefault="00B11C35" w:rsidP="00CF3178">
            <w:pPr>
              <w:pStyle w:val="rvps2"/>
              <w:shd w:val="clear" w:color="auto" w:fill="FFFFFF"/>
              <w:ind w:firstLine="176"/>
              <w:jc w:val="both"/>
              <w:rPr>
                <w:b/>
                <w:bCs/>
                <w:strike/>
                <w:sz w:val="28"/>
                <w:szCs w:val="28"/>
              </w:rPr>
            </w:pPr>
            <w:r w:rsidRPr="00EC07FA">
              <w:rPr>
                <w:sz w:val="28"/>
                <w:szCs w:val="28"/>
              </w:rPr>
              <w:t xml:space="preserve">Дія цього пункту не поширюється на транспортні засоби, якщо вони </w:t>
            </w:r>
            <w:r w:rsidRPr="00EC07FA">
              <w:rPr>
                <w:b/>
                <w:bCs/>
                <w:strike/>
                <w:sz w:val="28"/>
                <w:szCs w:val="28"/>
              </w:rPr>
              <w:t>не відповідають екологічним нормам "ЄВРО-2" і вище та/або</w:t>
            </w:r>
            <w:r w:rsidRPr="00EC07FA">
              <w:rPr>
                <w:sz w:val="28"/>
                <w:szCs w:val="28"/>
              </w:rPr>
              <w:t xml:space="preserve"> мають походження з країни, визнаної державою-окупантом згідно із законом України або визнаної державою-агресором по відношенню до України згідно із законодавством, </w:t>
            </w:r>
            <w:bookmarkStart w:id="24" w:name="_Hlk81806953"/>
            <w:r w:rsidRPr="00EC07FA">
              <w:rPr>
                <w:b/>
                <w:bCs/>
                <w:strike/>
                <w:sz w:val="28"/>
                <w:szCs w:val="28"/>
              </w:rPr>
              <w:t xml:space="preserve">та/або ввозяться з території такої держави-окупанта </w:t>
            </w:r>
            <w:r w:rsidRPr="00EC07FA">
              <w:rPr>
                <w:b/>
                <w:bCs/>
                <w:strike/>
                <w:sz w:val="28"/>
                <w:szCs w:val="28"/>
              </w:rPr>
              <w:lastRenderedPageBreak/>
              <w:t>(агресора) та/або з тимчасово окупованої території України, визначеної такою згідно із законом України.</w:t>
            </w:r>
          </w:p>
          <w:p w:rsidR="00B11C35" w:rsidRPr="00EC07FA" w:rsidRDefault="00B11C35" w:rsidP="00CF3178">
            <w:pPr>
              <w:pStyle w:val="rvps2"/>
              <w:shd w:val="clear" w:color="auto" w:fill="FFFFFF"/>
              <w:ind w:firstLine="176"/>
              <w:jc w:val="both"/>
              <w:rPr>
                <w:sz w:val="28"/>
                <w:szCs w:val="28"/>
              </w:rPr>
            </w:pPr>
            <w:bookmarkStart w:id="25" w:name="n26"/>
            <w:bookmarkEnd w:id="24"/>
            <w:bookmarkEnd w:id="25"/>
            <w:r w:rsidRPr="00EC07FA">
              <w:rPr>
                <w:sz w:val="28"/>
                <w:szCs w:val="28"/>
              </w:rPr>
              <w:t>Строк, передбачений абзацом першим цього пункту, для учасників бойових дій, зазначених у </w:t>
            </w:r>
            <w:hyperlink r:id="rId19" w:anchor="n73" w:tgtFrame="_blank" w:history="1">
              <w:r w:rsidRPr="00EC07FA">
                <w:rPr>
                  <w:rStyle w:val="a9"/>
                  <w:color w:val="auto"/>
                  <w:sz w:val="28"/>
                  <w:szCs w:val="28"/>
                </w:rPr>
                <w:t>пунктах 19</w:t>
              </w:r>
            </w:hyperlink>
            <w:r w:rsidRPr="00EC07FA">
              <w:rPr>
                <w:sz w:val="28"/>
                <w:szCs w:val="28"/>
              </w:rPr>
              <w:t> і </w:t>
            </w:r>
            <w:hyperlink r:id="rId20" w:anchor="n77" w:tgtFrame="_blank" w:history="1">
              <w:r w:rsidRPr="00EC07FA">
                <w:rPr>
                  <w:rStyle w:val="a9"/>
                  <w:color w:val="auto"/>
                  <w:sz w:val="28"/>
                  <w:szCs w:val="28"/>
                </w:rPr>
                <w:t>20</w:t>
              </w:r>
            </w:hyperlink>
            <w:r w:rsidRPr="00EC07FA">
              <w:rPr>
                <w:sz w:val="28"/>
                <w:szCs w:val="28"/>
              </w:rPr>
              <w:t xml:space="preserve"> частини першої статті 6 Закону України "Про статус ветеранів війни, гарантії їх соціального захисту", за умови документального підтвердження їх перебування більш як 90 днів з дня набрання чинності Законом України "Про внесення змін до Податкового кодексу України щодо справляння податків і зборів, інших обов’язкових платежів, об’єктом оподаткування якими є транспортні засоби" безпосередньо на території проведення операції Об’єднаних сил (ООС), становить </w:t>
            </w:r>
            <w:r w:rsidRPr="00EC07FA">
              <w:rPr>
                <w:b/>
                <w:bCs/>
                <w:sz w:val="28"/>
                <w:szCs w:val="28"/>
              </w:rPr>
              <w:t>270</w:t>
            </w:r>
            <w:r w:rsidRPr="00EC07FA">
              <w:rPr>
                <w:sz w:val="28"/>
                <w:szCs w:val="28"/>
              </w:rPr>
              <w:t xml:space="preserve"> днів.</w:t>
            </w:r>
          </w:p>
          <w:p w:rsidR="00B11C35" w:rsidRPr="00EC07FA" w:rsidRDefault="00B11C35" w:rsidP="00CF3178">
            <w:pPr>
              <w:spacing w:before="100" w:beforeAutospacing="1" w:after="100" w:afterAutospacing="1" w:line="240" w:lineRule="auto"/>
              <w:ind w:firstLine="448"/>
              <w:jc w:val="both"/>
              <w:rPr>
                <w:rFonts w:ascii="Times New Roman" w:hAnsi="Times New Roman"/>
                <w:b/>
                <w:bCs/>
                <w:sz w:val="28"/>
                <w:szCs w:val="28"/>
                <w:lang w:eastAsia="uk-UA"/>
              </w:rPr>
            </w:pPr>
          </w:p>
        </w:tc>
        <w:tc>
          <w:tcPr>
            <w:tcW w:w="7796" w:type="dxa"/>
            <w:tcBorders>
              <w:top w:val="single" w:sz="4" w:space="0" w:color="BFBFBF"/>
              <w:left w:val="nil"/>
              <w:bottom w:val="single" w:sz="4" w:space="0" w:color="BFBFBF"/>
            </w:tcBorders>
          </w:tcPr>
          <w:p w:rsidR="00B11C35" w:rsidRPr="00EC07FA" w:rsidRDefault="00B11C35" w:rsidP="00CF3178">
            <w:pPr>
              <w:pStyle w:val="rvps2"/>
              <w:shd w:val="clear" w:color="auto" w:fill="FFFFFF"/>
              <w:ind w:firstLine="175"/>
              <w:jc w:val="both"/>
              <w:rPr>
                <w:sz w:val="28"/>
                <w:szCs w:val="28"/>
              </w:rPr>
            </w:pPr>
            <w:r w:rsidRPr="00EC07FA">
              <w:rPr>
                <w:sz w:val="28"/>
                <w:szCs w:val="28"/>
              </w:rPr>
              <w:lastRenderedPageBreak/>
              <w:t xml:space="preserve">36. Тимчасово, протягом </w:t>
            </w:r>
            <w:r w:rsidRPr="00EC07FA">
              <w:rPr>
                <w:b/>
                <w:bCs/>
                <w:sz w:val="28"/>
                <w:szCs w:val="28"/>
                <w:lang w:val="uk-UA"/>
              </w:rPr>
              <w:t>270</w:t>
            </w:r>
            <w:r w:rsidRPr="00EC07FA">
              <w:rPr>
                <w:sz w:val="28"/>
                <w:szCs w:val="28"/>
              </w:rPr>
              <w:t xml:space="preserve"> днів з дня набрання чинності Законом України "Про внесення змін до Податкового кодексу України щодо справляння податків і зборів, інших обов’язкових платежів, об’єктом оподаткування якими є транспортні засоби", сума акцизного податку визначається </w:t>
            </w:r>
            <w:r w:rsidRPr="00EC07FA">
              <w:rPr>
                <w:sz w:val="28"/>
                <w:szCs w:val="28"/>
              </w:rPr>
              <w:lastRenderedPageBreak/>
              <w:t>платником податку, на якого поширюється дія цього пункту, за ставкою, що розраховується за такою формулою:</w:t>
            </w:r>
          </w:p>
          <w:p w:rsidR="00B11C35" w:rsidRPr="00EC07FA" w:rsidRDefault="00B11C35" w:rsidP="00CF3178">
            <w:pPr>
              <w:pStyle w:val="rvps12"/>
              <w:shd w:val="clear" w:color="auto" w:fill="FFFFFF"/>
              <w:ind w:firstLine="175"/>
              <w:jc w:val="center"/>
              <w:rPr>
                <w:sz w:val="28"/>
                <w:szCs w:val="28"/>
              </w:rPr>
            </w:pPr>
            <w:r w:rsidRPr="00EC07FA">
              <w:rPr>
                <w:sz w:val="28"/>
                <w:szCs w:val="28"/>
              </w:rPr>
              <w:t>Ставка = Ставка </w:t>
            </w:r>
            <w:r w:rsidRPr="00EC07FA">
              <w:rPr>
                <w:rStyle w:val="rvts37"/>
                <w:b/>
                <w:bCs/>
                <w:sz w:val="28"/>
                <w:szCs w:val="28"/>
                <w:vertAlign w:val="superscript"/>
              </w:rPr>
              <w:t>базова</w:t>
            </w:r>
            <w:r w:rsidRPr="00EC07FA">
              <w:rPr>
                <w:sz w:val="28"/>
                <w:szCs w:val="28"/>
              </w:rPr>
              <w:t> + Vе</w:t>
            </w:r>
            <w:r w:rsidRPr="00EC07FA">
              <w:rPr>
                <w:rStyle w:val="rvts40"/>
                <w:b/>
                <w:bCs/>
                <w:sz w:val="28"/>
                <w:szCs w:val="28"/>
                <w:vertAlign w:val="subscript"/>
              </w:rPr>
              <w:t> </w:t>
            </w:r>
            <w:r w:rsidRPr="00EC07FA">
              <w:rPr>
                <w:sz w:val="28"/>
                <w:szCs w:val="28"/>
              </w:rPr>
              <w:t>+ Fе,</w:t>
            </w:r>
          </w:p>
          <w:p w:rsidR="00B11C35" w:rsidRPr="00EC07FA" w:rsidRDefault="00B11C35" w:rsidP="00CF3178">
            <w:pPr>
              <w:pStyle w:val="rvps2"/>
              <w:shd w:val="clear" w:color="auto" w:fill="FFFFFF"/>
              <w:ind w:firstLine="175"/>
              <w:jc w:val="both"/>
              <w:rPr>
                <w:sz w:val="28"/>
                <w:szCs w:val="28"/>
              </w:rPr>
            </w:pPr>
            <w:r w:rsidRPr="00EC07FA">
              <w:rPr>
                <w:sz w:val="28"/>
                <w:szCs w:val="28"/>
              </w:rPr>
              <w:t>де Ставка </w:t>
            </w:r>
            <w:r w:rsidRPr="00EC07FA">
              <w:rPr>
                <w:rStyle w:val="rvts37"/>
                <w:b/>
                <w:bCs/>
                <w:sz w:val="28"/>
                <w:szCs w:val="28"/>
                <w:vertAlign w:val="superscript"/>
              </w:rPr>
              <w:t>базова</w:t>
            </w:r>
            <w:r w:rsidRPr="00EC07FA">
              <w:rPr>
                <w:sz w:val="28"/>
                <w:szCs w:val="28"/>
              </w:rPr>
              <w:t> - ставка податку в євро за 1 одиницю транспортного засобу, що визначається виходячи з кількості років, що минули з року виготовлення транспортного засобу, до року визначення ставки податку та становить:</w:t>
            </w:r>
          </w:p>
          <w:tbl>
            <w:tblPr>
              <w:tblW w:w="5000" w:type="pct"/>
              <w:jc w:val="center"/>
              <w:tblBorders>
                <w:top w:val="outset" w:sz="2" w:space="0" w:color="auto"/>
                <w:left w:val="outset" w:sz="2" w:space="0" w:color="auto"/>
                <w:bottom w:val="outset" w:sz="2" w:space="0" w:color="auto"/>
                <w:right w:val="outset" w:sz="2" w:space="0" w:color="auto"/>
              </w:tblBorders>
              <w:tblLayout w:type="fixed"/>
              <w:tblCellMar>
                <w:top w:w="12" w:type="dxa"/>
                <w:left w:w="12" w:type="dxa"/>
                <w:bottom w:w="12" w:type="dxa"/>
                <w:right w:w="12" w:type="dxa"/>
              </w:tblCellMar>
              <w:tblLook w:val="04A0" w:firstRow="1" w:lastRow="0" w:firstColumn="1" w:lastColumn="0" w:noHBand="0" w:noVBand="1"/>
            </w:tblPr>
            <w:tblGrid>
              <w:gridCol w:w="3596"/>
              <w:gridCol w:w="3978"/>
            </w:tblGrid>
            <w:tr w:rsidR="00B11C35" w:rsidRPr="00EC07FA" w:rsidTr="005F503C">
              <w:trPr>
                <w:trHeight w:val="240"/>
                <w:jc w:val="center"/>
              </w:trPr>
              <w:tc>
                <w:tcPr>
                  <w:tcW w:w="2350" w:type="pct"/>
                  <w:tcBorders>
                    <w:top w:val="outset" w:sz="2" w:space="0" w:color="auto"/>
                    <w:left w:val="outset" w:sz="2" w:space="0" w:color="auto"/>
                    <w:bottom w:val="nil"/>
                    <w:right w:val="nil"/>
                  </w:tcBorders>
                  <w:hideMark/>
                </w:tcPr>
                <w:p w:rsidR="00B11C35" w:rsidRPr="00EC07FA" w:rsidRDefault="00B11C35" w:rsidP="00CF3178">
                  <w:pPr>
                    <w:pStyle w:val="rvps12"/>
                    <w:ind w:firstLine="175"/>
                    <w:jc w:val="center"/>
                    <w:rPr>
                      <w:sz w:val="28"/>
                      <w:szCs w:val="28"/>
                    </w:rPr>
                  </w:pPr>
                  <w:r w:rsidRPr="00EC07FA">
                    <w:rPr>
                      <w:sz w:val="28"/>
                      <w:szCs w:val="28"/>
                    </w:rPr>
                    <w:t>Кількість років, що минула з року виготовлення транспортного засобу</w:t>
                  </w:r>
                </w:p>
              </w:tc>
              <w:tc>
                <w:tcPr>
                  <w:tcW w:w="2600" w:type="pct"/>
                  <w:tcBorders>
                    <w:top w:val="outset" w:sz="2" w:space="0" w:color="auto"/>
                    <w:left w:val="nil"/>
                    <w:bottom w:val="nil"/>
                    <w:right w:val="outset" w:sz="2" w:space="0" w:color="auto"/>
                  </w:tcBorders>
                  <w:hideMark/>
                </w:tcPr>
                <w:p w:rsidR="00B11C35" w:rsidRPr="00EC07FA" w:rsidRDefault="00B11C35" w:rsidP="00CF3178">
                  <w:pPr>
                    <w:pStyle w:val="rvps12"/>
                    <w:ind w:firstLine="175"/>
                    <w:jc w:val="center"/>
                    <w:rPr>
                      <w:sz w:val="28"/>
                      <w:szCs w:val="28"/>
                    </w:rPr>
                  </w:pPr>
                  <w:r w:rsidRPr="00EC07FA">
                    <w:rPr>
                      <w:sz w:val="28"/>
                      <w:szCs w:val="28"/>
                    </w:rPr>
                    <w:t>Ставка базова, євро</w:t>
                  </w:r>
                </w:p>
              </w:tc>
            </w:tr>
            <w:tr w:rsidR="00B11C35" w:rsidRPr="00EC07FA" w:rsidTr="005F503C">
              <w:trPr>
                <w:trHeight w:val="240"/>
                <w:jc w:val="center"/>
              </w:trPr>
              <w:tc>
                <w:tcPr>
                  <w:tcW w:w="2350" w:type="pct"/>
                  <w:tcBorders>
                    <w:top w:val="nil"/>
                    <w:left w:val="outset" w:sz="2" w:space="0" w:color="auto"/>
                    <w:bottom w:val="nil"/>
                    <w:right w:val="nil"/>
                  </w:tcBorders>
                  <w:hideMark/>
                </w:tcPr>
                <w:p w:rsidR="00B11C35" w:rsidRPr="00EC07FA" w:rsidRDefault="00B11C35" w:rsidP="00CF3178">
                  <w:pPr>
                    <w:pStyle w:val="rvps12"/>
                    <w:ind w:firstLine="175"/>
                    <w:jc w:val="center"/>
                    <w:rPr>
                      <w:sz w:val="28"/>
                      <w:szCs w:val="28"/>
                    </w:rPr>
                  </w:pPr>
                  <w:r w:rsidRPr="00EC07FA">
                    <w:rPr>
                      <w:sz w:val="28"/>
                      <w:szCs w:val="28"/>
                    </w:rPr>
                    <w:t>5-9</w:t>
                  </w:r>
                </w:p>
              </w:tc>
              <w:tc>
                <w:tcPr>
                  <w:tcW w:w="2600" w:type="pct"/>
                  <w:tcBorders>
                    <w:top w:val="nil"/>
                    <w:left w:val="nil"/>
                    <w:bottom w:val="nil"/>
                    <w:right w:val="outset" w:sz="2" w:space="0" w:color="auto"/>
                  </w:tcBorders>
                  <w:hideMark/>
                </w:tcPr>
                <w:p w:rsidR="00B11C35" w:rsidRPr="00EC07FA" w:rsidRDefault="00B11C35" w:rsidP="00CF3178">
                  <w:pPr>
                    <w:pStyle w:val="rvps12"/>
                    <w:ind w:firstLine="175"/>
                    <w:jc w:val="center"/>
                    <w:rPr>
                      <w:sz w:val="28"/>
                      <w:szCs w:val="28"/>
                    </w:rPr>
                  </w:pPr>
                  <w:r w:rsidRPr="00EC07FA">
                    <w:rPr>
                      <w:sz w:val="28"/>
                      <w:szCs w:val="28"/>
                    </w:rPr>
                    <w:t>0</w:t>
                  </w:r>
                </w:p>
              </w:tc>
            </w:tr>
            <w:tr w:rsidR="00B11C35" w:rsidRPr="00EC07FA" w:rsidTr="005F503C">
              <w:trPr>
                <w:trHeight w:val="240"/>
                <w:jc w:val="center"/>
              </w:trPr>
              <w:tc>
                <w:tcPr>
                  <w:tcW w:w="2350" w:type="pct"/>
                  <w:tcBorders>
                    <w:top w:val="nil"/>
                    <w:left w:val="outset" w:sz="2" w:space="0" w:color="auto"/>
                    <w:bottom w:val="nil"/>
                    <w:right w:val="nil"/>
                  </w:tcBorders>
                  <w:hideMark/>
                </w:tcPr>
                <w:p w:rsidR="00B11C35" w:rsidRPr="00EC07FA" w:rsidRDefault="00B11C35" w:rsidP="00CF3178">
                  <w:pPr>
                    <w:pStyle w:val="rvps12"/>
                    <w:ind w:firstLine="175"/>
                    <w:jc w:val="center"/>
                    <w:rPr>
                      <w:sz w:val="28"/>
                      <w:szCs w:val="28"/>
                    </w:rPr>
                  </w:pPr>
                  <w:r w:rsidRPr="00EC07FA">
                    <w:rPr>
                      <w:sz w:val="28"/>
                      <w:szCs w:val="28"/>
                    </w:rPr>
                    <w:t>10</w:t>
                  </w:r>
                </w:p>
              </w:tc>
              <w:tc>
                <w:tcPr>
                  <w:tcW w:w="2600" w:type="pct"/>
                  <w:tcBorders>
                    <w:top w:val="nil"/>
                    <w:left w:val="nil"/>
                    <w:bottom w:val="nil"/>
                    <w:right w:val="outset" w:sz="2" w:space="0" w:color="auto"/>
                  </w:tcBorders>
                  <w:hideMark/>
                </w:tcPr>
                <w:p w:rsidR="00B11C35" w:rsidRPr="00EC07FA" w:rsidRDefault="00B11C35" w:rsidP="00CF3178">
                  <w:pPr>
                    <w:pStyle w:val="rvps12"/>
                    <w:ind w:firstLine="175"/>
                    <w:jc w:val="center"/>
                    <w:rPr>
                      <w:sz w:val="28"/>
                      <w:szCs w:val="28"/>
                    </w:rPr>
                  </w:pPr>
                  <w:r w:rsidRPr="00EC07FA">
                    <w:rPr>
                      <w:sz w:val="28"/>
                      <w:szCs w:val="28"/>
                    </w:rPr>
                    <w:t>25</w:t>
                  </w:r>
                </w:p>
              </w:tc>
            </w:tr>
            <w:tr w:rsidR="00B11C35" w:rsidRPr="00EC07FA" w:rsidTr="005F503C">
              <w:trPr>
                <w:trHeight w:val="240"/>
                <w:jc w:val="center"/>
              </w:trPr>
              <w:tc>
                <w:tcPr>
                  <w:tcW w:w="2350" w:type="pct"/>
                  <w:tcBorders>
                    <w:top w:val="nil"/>
                    <w:left w:val="outset" w:sz="2" w:space="0" w:color="auto"/>
                    <w:bottom w:val="nil"/>
                    <w:right w:val="nil"/>
                  </w:tcBorders>
                  <w:hideMark/>
                </w:tcPr>
                <w:p w:rsidR="00B11C35" w:rsidRPr="00EC07FA" w:rsidRDefault="00B11C35" w:rsidP="00CF3178">
                  <w:pPr>
                    <w:pStyle w:val="rvps12"/>
                    <w:ind w:firstLine="175"/>
                    <w:jc w:val="center"/>
                    <w:rPr>
                      <w:sz w:val="28"/>
                      <w:szCs w:val="28"/>
                    </w:rPr>
                  </w:pPr>
                  <w:r w:rsidRPr="00EC07FA">
                    <w:rPr>
                      <w:sz w:val="28"/>
                      <w:szCs w:val="28"/>
                    </w:rPr>
                    <w:t>11</w:t>
                  </w:r>
                </w:p>
              </w:tc>
              <w:tc>
                <w:tcPr>
                  <w:tcW w:w="2600" w:type="pct"/>
                  <w:tcBorders>
                    <w:top w:val="nil"/>
                    <w:left w:val="nil"/>
                    <w:bottom w:val="nil"/>
                    <w:right w:val="outset" w:sz="2" w:space="0" w:color="auto"/>
                  </w:tcBorders>
                  <w:hideMark/>
                </w:tcPr>
                <w:p w:rsidR="00B11C35" w:rsidRPr="00EC07FA" w:rsidRDefault="00B11C35" w:rsidP="00CF3178">
                  <w:pPr>
                    <w:pStyle w:val="rvps12"/>
                    <w:ind w:firstLine="175"/>
                    <w:jc w:val="center"/>
                    <w:rPr>
                      <w:sz w:val="28"/>
                      <w:szCs w:val="28"/>
                    </w:rPr>
                  </w:pPr>
                  <w:r w:rsidRPr="00EC07FA">
                    <w:rPr>
                      <w:sz w:val="28"/>
                      <w:szCs w:val="28"/>
                    </w:rPr>
                    <w:t>50</w:t>
                  </w:r>
                </w:p>
              </w:tc>
            </w:tr>
            <w:tr w:rsidR="00B11C35" w:rsidRPr="00EC07FA" w:rsidTr="005F503C">
              <w:trPr>
                <w:trHeight w:val="240"/>
                <w:jc w:val="center"/>
              </w:trPr>
              <w:tc>
                <w:tcPr>
                  <w:tcW w:w="2350" w:type="pct"/>
                  <w:tcBorders>
                    <w:top w:val="nil"/>
                    <w:left w:val="outset" w:sz="2" w:space="0" w:color="auto"/>
                    <w:bottom w:val="nil"/>
                    <w:right w:val="nil"/>
                  </w:tcBorders>
                  <w:hideMark/>
                </w:tcPr>
                <w:p w:rsidR="00B11C35" w:rsidRPr="00EC07FA" w:rsidRDefault="00B11C35" w:rsidP="00CF3178">
                  <w:pPr>
                    <w:pStyle w:val="rvps12"/>
                    <w:ind w:firstLine="175"/>
                    <w:jc w:val="center"/>
                    <w:rPr>
                      <w:sz w:val="28"/>
                      <w:szCs w:val="28"/>
                    </w:rPr>
                  </w:pPr>
                  <w:r w:rsidRPr="00EC07FA">
                    <w:rPr>
                      <w:sz w:val="28"/>
                      <w:szCs w:val="28"/>
                    </w:rPr>
                    <w:t>12</w:t>
                  </w:r>
                </w:p>
              </w:tc>
              <w:tc>
                <w:tcPr>
                  <w:tcW w:w="2600" w:type="pct"/>
                  <w:tcBorders>
                    <w:top w:val="nil"/>
                    <w:left w:val="nil"/>
                    <w:bottom w:val="nil"/>
                    <w:right w:val="outset" w:sz="2" w:space="0" w:color="auto"/>
                  </w:tcBorders>
                  <w:hideMark/>
                </w:tcPr>
                <w:p w:rsidR="00B11C35" w:rsidRPr="00EC07FA" w:rsidRDefault="00B11C35" w:rsidP="00CF3178">
                  <w:pPr>
                    <w:pStyle w:val="rvps12"/>
                    <w:ind w:firstLine="175"/>
                    <w:jc w:val="center"/>
                    <w:rPr>
                      <w:sz w:val="28"/>
                      <w:szCs w:val="28"/>
                    </w:rPr>
                  </w:pPr>
                  <w:r w:rsidRPr="00EC07FA">
                    <w:rPr>
                      <w:sz w:val="28"/>
                      <w:szCs w:val="28"/>
                    </w:rPr>
                    <w:t>75</w:t>
                  </w:r>
                </w:p>
              </w:tc>
            </w:tr>
            <w:tr w:rsidR="00B11C35" w:rsidRPr="00EC07FA" w:rsidTr="005F503C">
              <w:trPr>
                <w:trHeight w:val="240"/>
                <w:jc w:val="center"/>
              </w:trPr>
              <w:tc>
                <w:tcPr>
                  <w:tcW w:w="2350" w:type="pct"/>
                  <w:tcBorders>
                    <w:top w:val="nil"/>
                    <w:left w:val="outset" w:sz="2" w:space="0" w:color="auto"/>
                    <w:bottom w:val="nil"/>
                    <w:right w:val="nil"/>
                  </w:tcBorders>
                  <w:hideMark/>
                </w:tcPr>
                <w:p w:rsidR="00B11C35" w:rsidRPr="00EC07FA" w:rsidRDefault="00B11C35" w:rsidP="00CF3178">
                  <w:pPr>
                    <w:pStyle w:val="rvps12"/>
                    <w:ind w:firstLine="175"/>
                    <w:jc w:val="center"/>
                    <w:rPr>
                      <w:sz w:val="28"/>
                      <w:szCs w:val="28"/>
                    </w:rPr>
                  </w:pPr>
                  <w:r w:rsidRPr="00EC07FA">
                    <w:rPr>
                      <w:sz w:val="28"/>
                      <w:szCs w:val="28"/>
                    </w:rPr>
                    <w:t>13</w:t>
                  </w:r>
                </w:p>
              </w:tc>
              <w:tc>
                <w:tcPr>
                  <w:tcW w:w="2600" w:type="pct"/>
                  <w:tcBorders>
                    <w:top w:val="nil"/>
                    <w:left w:val="nil"/>
                    <w:bottom w:val="nil"/>
                    <w:right w:val="outset" w:sz="2" w:space="0" w:color="auto"/>
                  </w:tcBorders>
                  <w:hideMark/>
                </w:tcPr>
                <w:p w:rsidR="00B11C35" w:rsidRPr="00EC07FA" w:rsidRDefault="00B11C35" w:rsidP="00CF3178">
                  <w:pPr>
                    <w:pStyle w:val="rvps12"/>
                    <w:ind w:firstLine="175"/>
                    <w:jc w:val="center"/>
                    <w:rPr>
                      <w:sz w:val="28"/>
                      <w:szCs w:val="28"/>
                    </w:rPr>
                  </w:pPr>
                  <w:r w:rsidRPr="00EC07FA">
                    <w:rPr>
                      <w:sz w:val="28"/>
                      <w:szCs w:val="28"/>
                    </w:rPr>
                    <w:t>100</w:t>
                  </w:r>
                </w:p>
              </w:tc>
            </w:tr>
            <w:tr w:rsidR="00B11C35" w:rsidRPr="00EC07FA" w:rsidTr="005F503C">
              <w:trPr>
                <w:trHeight w:val="240"/>
                <w:jc w:val="center"/>
              </w:trPr>
              <w:tc>
                <w:tcPr>
                  <w:tcW w:w="2350" w:type="pct"/>
                  <w:tcBorders>
                    <w:top w:val="nil"/>
                    <w:left w:val="outset" w:sz="2" w:space="0" w:color="auto"/>
                    <w:bottom w:val="nil"/>
                    <w:right w:val="nil"/>
                  </w:tcBorders>
                  <w:hideMark/>
                </w:tcPr>
                <w:p w:rsidR="00B11C35" w:rsidRPr="00EC07FA" w:rsidRDefault="00B11C35" w:rsidP="00CF3178">
                  <w:pPr>
                    <w:pStyle w:val="rvps12"/>
                    <w:ind w:firstLine="175"/>
                    <w:jc w:val="center"/>
                    <w:rPr>
                      <w:sz w:val="28"/>
                      <w:szCs w:val="28"/>
                    </w:rPr>
                  </w:pPr>
                  <w:r w:rsidRPr="00EC07FA">
                    <w:rPr>
                      <w:sz w:val="28"/>
                      <w:szCs w:val="28"/>
                    </w:rPr>
                    <w:t>14</w:t>
                  </w:r>
                </w:p>
              </w:tc>
              <w:tc>
                <w:tcPr>
                  <w:tcW w:w="2600" w:type="pct"/>
                  <w:tcBorders>
                    <w:top w:val="nil"/>
                    <w:left w:val="nil"/>
                    <w:bottom w:val="nil"/>
                    <w:right w:val="outset" w:sz="2" w:space="0" w:color="auto"/>
                  </w:tcBorders>
                  <w:hideMark/>
                </w:tcPr>
                <w:p w:rsidR="00B11C35" w:rsidRPr="00EC07FA" w:rsidRDefault="00B11C35" w:rsidP="00CF3178">
                  <w:pPr>
                    <w:pStyle w:val="rvps12"/>
                    <w:ind w:firstLine="175"/>
                    <w:jc w:val="center"/>
                    <w:rPr>
                      <w:sz w:val="28"/>
                      <w:szCs w:val="28"/>
                    </w:rPr>
                  </w:pPr>
                  <w:r w:rsidRPr="00EC07FA">
                    <w:rPr>
                      <w:sz w:val="28"/>
                      <w:szCs w:val="28"/>
                    </w:rPr>
                    <w:t>125</w:t>
                  </w:r>
                </w:p>
              </w:tc>
            </w:tr>
            <w:tr w:rsidR="00B11C35" w:rsidRPr="00EC07FA" w:rsidTr="005F503C">
              <w:trPr>
                <w:trHeight w:val="240"/>
                <w:jc w:val="center"/>
              </w:trPr>
              <w:tc>
                <w:tcPr>
                  <w:tcW w:w="2350" w:type="pct"/>
                  <w:tcBorders>
                    <w:top w:val="nil"/>
                    <w:left w:val="outset" w:sz="2" w:space="0" w:color="auto"/>
                    <w:bottom w:val="outset" w:sz="2" w:space="0" w:color="auto"/>
                    <w:right w:val="nil"/>
                  </w:tcBorders>
                  <w:hideMark/>
                </w:tcPr>
                <w:p w:rsidR="00B11C35" w:rsidRPr="00EC07FA" w:rsidRDefault="00B11C35" w:rsidP="00CF3178">
                  <w:pPr>
                    <w:pStyle w:val="rvps12"/>
                    <w:ind w:firstLine="175"/>
                    <w:jc w:val="center"/>
                    <w:rPr>
                      <w:sz w:val="28"/>
                      <w:szCs w:val="28"/>
                    </w:rPr>
                  </w:pPr>
                  <w:r w:rsidRPr="00EC07FA">
                    <w:rPr>
                      <w:sz w:val="28"/>
                      <w:szCs w:val="28"/>
                    </w:rPr>
                    <w:t>15 і більше</w:t>
                  </w:r>
                </w:p>
              </w:tc>
              <w:tc>
                <w:tcPr>
                  <w:tcW w:w="2600" w:type="pct"/>
                  <w:tcBorders>
                    <w:top w:val="nil"/>
                    <w:left w:val="nil"/>
                    <w:bottom w:val="outset" w:sz="2" w:space="0" w:color="auto"/>
                    <w:right w:val="outset" w:sz="2" w:space="0" w:color="auto"/>
                  </w:tcBorders>
                  <w:hideMark/>
                </w:tcPr>
                <w:p w:rsidR="00B11C35" w:rsidRPr="00EC07FA" w:rsidRDefault="00B11C35" w:rsidP="00CF3178">
                  <w:pPr>
                    <w:pStyle w:val="rvps12"/>
                    <w:ind w:firstLine="175"/>
                    <w:jc w:val="center"/>
                    <w:rPr>
                      <w:sz w:val="28"/>
                      <w:szCs w:val="28"/>
                    </w:rPr>
                  </w:pPr>
                  <w:r w:rsidRPr="00EC07FA">
                    <w:rPr>
                      <w:sz w:val="28"/>
                      <w:szCs w:val="28"/>
                    </w:rPr>
                    <w:t>150</w:t>
                  </w:r>
                </w:p>
              </w:tc>
            </w:tr>
          </w:tbl>
          <w:p w:rsidR="00B11C35" w:rsidRPr="00EC07FA" w:rsidRDefault="00B11C35" w:rsidP="00CF3178">
            <w:pPr>
              <w:pStyle w:val="rvps2"/>
              <w:shd w:val="clear" w:color="auto" w:fill="FFFFFF"/>
              <w:ind w:firstLine="175"/>
              <w:jc w:val="both"/>
              <w:rPr>
                <w:sz w:val="28"/>
                <w:szCs w:val="28"/>
              </w:rPr>
            </w:pPr>
            <w:r w:rsidRPr="00EC07FA">
              <w:rPr>
                <w:sz w:val="28"/>
                <w:szCs w:val="28"/>
              </w:rPr>
              <w:t xml:space="preserve">Vе - ставка податку в євро за 1 одиницю транспортного засобу, що визначається множенням об’єму циліндрів двигуна </w:t>
            </w:r>
            <w:r w:rsidRPr="00EC07FA">
              <w:rPr>
                <w:sz w:val="28"/>
                <w:szCs w:val="28"/>
              </w:rPr>
              <w:lastRenderedPageBreak/>
              <w:t>внутрішнього згоряння відповідного транспортного засобу в кубічних сантиметрах на коефіцієнт, що становить:</w:t>
            </w:r>
          </w:p>
          <w:p w:rsidR="00B11C35" w:rsidRPr="00EC07FA" w:rsidRDefault="00B11C35" w:rsidP="00CF3178">
            <w:pPr>
              <w:pStyle w:val="rvps2"/>
              <w:shd w:val="clear" w:color="auto" w:fill="FFFFFF"/>
              <w:ind w:firstLine="175"/>
              <w:jc w:val="both"/>
              <w:rPr>
                <w:sz w:val="28"/>
                <w:szCs w:val="28"/>
              </w:rPr>
            </w:pPr>
            <w:r w:rsidRPr="00EC07FA">
              <w:rPr>
                <w:sz w:val="28"/>
                <w:szCs w:val="28"/>
              </w:rPr>
              <w:t>0,25 євро за 1 кубічний сантиметр об’єму циліндрів двигуна - для транспортного засобу з об’ємом двигуна внутрішнього згоряння до 2000 кубічних сантиметрів включно;</w:t>
            </w:r>
          </w:p>
          <w:p w:rsidR="00B11C35" w:rsidRPr="00EC07FA" w:rsidRDefault="00B11C35" w:rsidP="00CF3178">
            <w:pPr>
              <w:pStyle w:val="rvps2"/>
              <w:shd w:val="clear" w:color="auto" w:fill="FFFFFF"/>
              <w:ind w:firstLine="175"/>
              <w:jc w:val="both"/>
              <w:rPr>
                <w:sz w:val="28"/>
                <w:szCs w:val="28"/>
              </w:rPr>
            </w:pPr>
            <w:r w:rsidRPr="00EC07FA">
              <w:rPr>
                <w:sz w:val="28"/>
                <w:szCs w:val="28"/>
              </w:rPr>
              <w:t>0,2 євро за 1 кубічний сантиметр об’єму циліндрів двигуна - для транспортного засобу з об’ємом двигуна внутрішнього згоряння від 2001 до 3000 кубічних сантиметрів включно;</w:t>
            </w:r>
          </w:p>
          <w:p w:rsidR="00B11C35" w:rsidRPr="00EC07FA" w:rsidRDefault="00B11C35" w:rsidP="00CF3178">
            <w:pPr>
              <w:pStyle w:val="rvps2"/>
              <w:shd w:val="clear" w:color="auto" w:fill="FFFFFF"/>
              <w:ind w:firstLine="175"/>
              <w:jc w:val="both"/>
              <w:rPr>
                <w:sz w:val="28"/>
                <w:szCs w:val="28"/>
              </w:rPr>
            </w:pPr>
            <w:r w:rsidRPr="00EC07FA">
              <w:rPr>
                <w:sz w:val="28"/>
                <w:szCs w:val="28"/>
              </w:rPr>
              <w:t>0,25 євро за 1 кубічний сантиметр об’єму циліндрів двигуна - для транспортного засобу з об’ємом двигуна внутрішнього згоряння від 3001 до 4000 кубічних сантиметрів включно;</w:t>
            </w:r>
          </w:p>
          <w:p w:rsidR="00B11C35" w:rsidRPr="00EC07FA" w:rsidRDefault="00B11C35" w:rsidP="00CF3178">
            <w:pPr>
              <w:pStyle w:val="rvps2"/>
              <w:shd w:val="clear" w:color="auto" w:fill="FFFFFF"/>
              <w:ind w:firstLine="175"/>
              <w:jc w:val="both"/>
              <w:rPr>
                <w:sz w:val="28"/>
                <w:szCs w:val="28"/>
              </w:rPr>
            </w:pPr>
            <w:r w:rsidRPr="00EC07FA">
              <w:rPr>
                <w:sz w:val="28"/>
                <w:szCs w:val="28"/>
              </w:rPr>
              <w:t>0,35 євро за 1 кубічний сантиметр об’єму циліндрів двигуна - для транспортного засобу з об’ємом двигуна внутрішнього згоряння від 4001 до 5000 кубічних сантиметрів включно;</w:t>
            </w:r>
          </w:p>
          <w:p w:rsidR="00B11C35" w:rsidRPr="00EC07FA" w:rsidRDefault="00B11C35" w:rsidP="00CF3178">
            <w:pPr>
              <w:pStyle w:val="rvps2"/>
              <w:shd w:val="clear" w:color="auto" w:fill="FFFFFF"/>
              <w:ind w:firstLine="175"/>
              <w:jc w:val="both"/>
              <w:rPr>
                <w:sz w:val="28"/>
                <w:szCs w:val="28"/>
              </w:rPr>
            </w:pPr>
            <w:r w:rsidRPr="00EC07FA">
              <w:rPr>
                <w:sz w:val="28"/>
                <w:szCs w:val="28"/>
              </w:rPr>
              <w:t>0,5 євро за 1 кубічний сантиметр об’єму циліндрів двигуна - для транспортного засобу з об’ємом двигуна внутрішнього згоряння понад  5000 кубічних сантиметрів;</w:t>
            </w:r>
          </w:p>
          <w:p w:rsidR="00B11C35" w:rsidRPr="00EC07FA" w:rsidRDefault="00B11C35" w:rsidP="00CF3178">
            <w:pPr>
              <w:pStyle w:val="rvps2"/>
              <w:shd w:val="clear" w:color="auto" w:fill="FFFFFF"/>
              <w:ind w:firstLine="175"/>
              <w:jc w:val="both"/>
              <w:rPr>
                <w:sz w:val="28"/>
                <w:szCs w:val="28"/>
              </w:rPr>
            </w:pPr>
            <w:r w:rsidRPr="00EC07FA">
              <w:rPr>
                <w:sz w:val="28"/>
                <w:szCs w:val="28"/>
              </w:rPr>
              <w:t>Fе - ставка податку в євро за 1 одиницю транспортного засобу, що становить:</w:t>
            </w:r>
          </w:p>
          <w:p w:rsidR="00B11C35" w:rsidRPr="00EC07FA" w:rsidRDefault="00B11C35" w:rsidP="00CF3178">
            <w:pPr>
              <w:pStyle w:val="rvps2"/>
              <w:shd w:val="clear" w:color="auto" w:fill="FFFFFF"/>
              <w:ind w:firstLine="175"/>
              <w:jc w:val="both"/>
              <w:rPr>
                <w:sz w:val="28"/>
                <w:szCs w:val="28"/>
              </w:rPr>
            </w:pPr>
            <w:r w:rsidRPr="00EC07FA">
              <w:rPr>
                <w:sz w:val="28"/>
                <w:szCs w:val="28"/>
              </w:rPr>
              <w:t>для транспортних засобів, оснащених двигуном внутрішнього згоряння з іскровим запалюванням та кривошипно-шатунним механізмом, - 0,0 євро;</w:t>
            </w:r>
          </w:p>
          <w:p w:rsidR="00B11C35" w:rsidRPr="00EC07FA" w:rsidRDefault="00B11C35" w:rsidP="00CF3178">
            <w:pPr>
              <w:pStyle w:val="rvps2"/>
              <w:shd w:val="clear" w:color="auto" w:fill="FFFFFF"/>
              <w:ind w:firstLine="175"/>
              <w:jc w:val="both"/>
              <w:rPr>
                <w:sz w:val="28"/>
                <w:szCs w:val="28"/>
              </w:rPr>
            </w:pPr>
            <w:r w:rsidRPr="00EC07FA">
              <w:rPr>
                <w:sz w:val="28"/>
                <w:szCs w:val="28"/>
              </w:rPr>
              <w:lastRenderedPageBreak/>
              <w:t>для транспортних засобів, оснащених двигуном внутрішнього згоряння із запалюванням від стиснення (дизелем або напівдизелем), - 100,0 євро;</w:t>
            </w:r>
          </w:p>
          <w:p w:rsidR="00B11C35" w:rsidRPr="00EC07FA" w:rsidRDefault="00B11C35" w:rsidP="00CF3178">
            <w:pPr>
              <w:pStyle w:val="rvps2"/>
              <w:shd w:val="clear" w:color="auto" w:fill="FFFFFF"/>
              <w:ind w:firstLine="175"/>
              <w:jc w:val="both"/>
              <w:rPr>
                <w:sz w:val="28"/>
                <w:szCs w:val="28"/>
              </w:rPr>
            </w:pPr>
            <w:r w:rsidRPr="00EC07FA">
              <w:rPr>
                <w:sz w:val="28"/>
                <w:szCs w:val="28"/>
              </w:rPr>
              <w:t>для транспортних засобів, оснащених двигуном внутрішнього згоряння з іскровим запалюванням та кривошипно-шатунним механізмом або двигуном внутрішнього згоряння із запалюванням від стиснення (дизелем або напівдизелем) та електричним двигуном (одним чи кількома), - 0,0 євро.</w:t>
            </w:r>
          </w:p>
          <w:p w:rsidR="00895BD1" w:rsidRPr="00EC07FA" w:rsidRDefault="00B11C35" w:rsidP="00CF3178">
            <w:pPr>
              <w:pStyle w:val="rvps2"/>
              <w:shd w:val="clear" w:color="auto" w:fill="FFFFFF"/>
              <w:ind w:firstLine="175"/>
              <w:jc w:val="both"/>
              <w:rPr>
                <w:sz w:val="28"/>
                <w:szCs w:val="28"/>
              </w:rPr>
            </w:pPr>
            <w:r w:rsidRPr="00EC07FA">
              <w:rPr>
                <w:sz w:val="28"/>
                <w:szCs w:val="28"/>
              </w:rPr>
              <w:t xml:space="preserve">Дія цього пункту поширюється на транспортні засоби особистого користування (у кількості не більше однієї одиниці на кожну товарну позицію), що були у використанні та з року випуску яких минуло більше п’яти років, які класифікуються за товарними позиціями 8703, 8704 (загальною масою до </w:t>
            </w:r>
            <w:r w:rsidR="00C03697" w:rsidRPr="00EC07FA">
              <w:rPr>
                <w:b/>
                <w:bCs/>
                <w:sz w:val="28"/>
                <w:szCs w:val="28"/>
              </w:rPr>
              <w:t>3,5 тонни</w:t>
            </w:r>
            <w:r w:rsidR="00C03697" w:rsidRPr="00EC07FA">
              <w:rPr>
                <w:b/>
                <w:bCs/>
                <w:sz w:val="28"/>
                <w:szCs w:val="28"/>
                <w:lang w:val="uk-UA"/>
              </w:rPr>
              <w:t xml:space="preserve"> включно</w:t>
            </w:r>
            <w:r w:rsidRPr="00EC07FA">
              <w:rPr>
                <w:sz w:val="28"/>
                <w:szCs w:val="28"/>
              </w:rPr>
              <w:t>) згідно з </w:t>
            </w:r>
            <w:hyperlink r:id="rId21" w:anchor="n1045" w:tgtFrame="_blank" w:history="1">
              <w:r w:rsidRPr="00EC07FA">
                <w:rPr>
                  <w:rStyle w:val="a9"/>
                  <w:color w:val="auto"/>
                  <w:sz w:val="28"/>
                  <w:szCs w:val="28"/>
                </w:rPr>
                <w:t>УКТ ЗЕД</w:t>
              </w:r>
            </w:hyperlink>
            <w:r w:rsidRPr="00EC07FA">
              <w:rPr>
                <w:sz w:val="28"/>
                <w:szCs w:val="28"/>
              </w:rPr>
              <w:t xml:space="preserve"> та станом на </w:t>
            </w:r>
            <w:r w:rsidR="0092624A" w:rsidRPr="00EC07FA">
              <w:rPr>
                <w:b/>
                <w:bCs/>
                <w:sz w:val="28"/>
                <w:szCs w:val="28"/>
                <w:lang w:val="uk-UA"/>
              </w:rPr>
              <w:t xml:space="preserve">дату прийняття </w:t>
            </w:r>
            <w:r w:rsidR="00C52593" w:rsidRPr="00EC07FA">
              <w:rPr>
                <w:b/>
                <w:sz w:val="28"/>
                <w:szCs w:val="28"/>
              </w:rPr>
              <w:t>Закону</w:t>
            </w:r>
            <w:r w:rsidR="00C52593" w:rsidRPr="00EC07FA">
              <w:rPr>
                <w:b/>
                <w:sz w:val="28"/>
                <w:szCs w:val="28"/>
                <w:lang w:val="uk-UA"/>
              </w:rPr>
              <w:t xml:space="preserve"> України </w:t>
            </w:r>
            <w:r w:rsidR="0064190C" w:rsidRPr="00EC07FA">
              <w:rPr>
                <w:b/>
                <w:sz w:val="28"/>
                <w:szCs w:val="28"/>
                <w:lang w:val="uk-UA"/>
              </w:rPr>
              <w:t>«</w:t>
            </w:r>
            <w:r w:rsidR="0064190C" w:rsidRPr="00EC07FA">
              <w:rPr>
                <w:b/>
                <w:sz w:val="28"/>
                <w:szCs w:val="28"/>
              </w:rPr>
              <w:t>Про внесення змін до Податкового кодексу України щодо справляння податків і зборів, інших обов’язкових платежів, об’єктом оподаткування якими є транспортні засоби</w:t>
            </w:r>
            <w:r w:rsidR="0064190C" w:rsidRPr="00EC07FA">
              <w:rPr>
                <w:b/>
                <w:sz w:val="28"/>
                <w:szCs w:val="28"/>
                <w:lang w:val="uk-UA"/>
              </w:rPr>
              <w:t xml:space="preserve">» </w:t>
            </w:r>
            <w:r w:rsidRPr="00EC07FA">
              <w:rPr>
                <w:sz w:val="28"/>
                <w:szCs w:val="28"/>
              </w:rPr>
              <w:t>перебували у митному режимі тимчасового ввезення або транзиту.</w:t>
            </w:r>
          </w:p>
          <w:p w:rsidR="00B11C35" w:rsidRPr="00EC07FA" w:rsidRDefault="00B11C35" w:rsidP="00CF3178">
            <w:pPr>
              <w:pStyle w:val="rvps2"/>
              <w:shd w:val="clear" w:color="auto" w:fill="FFFFFF"/>
              <w:ind w:firstLine="175"/>
              <w:jc w:val="both"/>
              <w:rPr>
                <w:sz w:val="28"/>
                <w:szCs w:val="28"/>
              </w:rPr>
            </w:pPr>
            <w:r w:rsidRPr="00EC07FA">
              <w:rPr>
                <w:sz w:val="28"/>
                <w:szCs w:val="28"/>
              </w:rPr>
              <w:t>Дія цього пункту не поширюється на транспортні засоби, якщо вони мають походження з країни, визнаної державою-окупантом згідно із законом України або визнаної державою-агресором по відношенню до України згідно із законодавством.</w:t>
            </w:r>
          </w:p>
          <w:p w:rsidR="00C52593" w:rsidRPr="00EC07FA" w:rsidRDefault="00C52593" w:rsidP="00CF3178">
            <w:pPr>
              <w:pStyle w:val="rvps2"/>
              <w:shd w:val="clear" w:color="auto" w:fill="FFFFFF"/>
              <w:ind w:firstLine="175"/>
              <w:jc w:val="both"/>
              <w:rPr>
                <w:b/>
                <w:sz w:val="28"/>
                <w:szCs w:val="28"/>
                <w:lang w:val="uk-UA"/>
              </w:rPr>
            </w:pPr>
          </w:p>
          <w:p w:rsidR="0064190C" w:rsidRPr="00EC07FA" w:rsidRDefault="0064190C" w:rsidP="00CF3178">
            <w:pPr>
              <w:pStyle w:val="rvps2"/>
              <w:shd w:val="clear" w:color="auto" w:fill="FFFFFF"/>
              <w:ind w:firstLine="175"/>
              <w:jc w:val="both"/>
              <w:rPr>
                <w:b/>
                <w:sz w:val="28"/>
                <w:szCs w:val="28"/>
                <w:lang w:val="uk-UA"/>
              </w:rPr>
            </w:pPr>
          </w:p>
          <w:p w:rsidR="00B11C35" w:rsidRPr="00EC07FA" w:rsidRDefault="00B11C35" w:rsidP="00CF3178">
            <w:pPr>
              <w:spacing w:before="100" w:beforeAutospacing="1" w:after="100" w:afterAutospacing="1" w:line="240" w:lineRule="auto"/>
              <w:ind w:firstLine="175"/>
              <w:jc w:val="both"/>
              <w:rPr>
                <w:rFonts w:ascii="Times New Roman" w:hAnsi="Times New Roman"/>
                <w:b/>
                <w:bCs/>
                <w:sz w:val="28"/>
                <w:szCs w:val="28"/>
                <w:lang w:eastAsia="uk-UA"/>
              </w:rPr>
            </w:pPr>
          </w:p>
          <w:p w:rsidR="00C03697" w:rsidRPr="00EC07FA" w:rsidRDefault="00C03697" w:rsidP="00C03697">
            <w:pPr>
              <w:pStyle w:val="rvps2"/>
              <w:shd w:val="clear" w:color="auto" w:fill="FFFFFF"/>
              <w:ind w:firstLine="176"/>
              <w:jc w:val="both"/>
              <w:rPr>
                <w:sz w:val="28"/>
                <w:szCs w:val="28"/>
              </w:rPr>
            </w:pPr>
            <w:r w:rsidRPr="00EC07FA">
              <w:rPr>
                <w:sz w:val="28"/>
                <w:szCs w:val="28"/>
              </w:rPr>
              <w:t>Строк, передбачений абзацом першим цього пункту, для учасників бойових дій, зазначених у </w:t>
            </w:r>
            <w:hyperlink r:id="rId22" w:anchor="n73" w:tgtFrame="_blank" w:history="1">
              <w:r w:rsidRPr="00EC07FA">
                <w:rPr>
                  <w:rStyle w:val="a9"/>
                  <w:color w:val="auto"/>
                  <w:sz w:val="28"/>
                  <w:szCs w:val="28"/>
                </w:rPr>
                <w:t>пунктах 19</w:t>
              </w:r>
            </w:hyperlink>
            <w:r w:rsidRPr="00EC07FA">
              <w:rPr>
                <w:sz w:val="28"/>
                <w:szCs w:val="28"/>
              </w:rPr>
              <w:t> і </w:t>
            </w:r>
            <w:hyperlink r:id="rId23" w:anchor="n77" w:tgtFrame="_blank" w:history="1">
              <w:r w:rsidRPr="00EC07FA">
                <w:rPr>
                  <w:rStyle w:val="a9"/>
                  <w:color w:val="auto"/>
                  <w:sz w:val="28"/>
                  <w:szCs w:val="28"/>
                </w:rPr>
                <w:t>20</w:t>
              </w:r>
            </w:hyperlink>
            <w:r w:rsidRPr="00EC07FA">
              <w:rPr>
                <w:sz w:val="28"/>
                <w:szCs w:val="28"/>
              </w:rPr>
              <w:t xml:space="preserve"> частини першої статті 6 Закону України "Про статус ветеранів війни, гарантії їх соціального захисту", за умови документального підтвердження їх перебування більш як 90 днів з дня набрання чинності Законом України "Про внесення змін до Податкового кодексу України щодо справляння податків і зборів, інших обов’язкових платежів, об’єктом оподаткування якими є транспортні засоби" безпосередньо на території проведення операції Об’єднаних сил (ООС), становить </w:t>
            </w:r>
            <w:r w:rsidRPr="00EC07FA">
              <w:rPr>
                <w:b/>
                <w:bCs/>
                <w:sz w:val="28"/>
                <w:szCs w:val="28"/>
                <w:lang w:val="uk-UA"/>
              </w:rPr>
              <w:t>365</w:t>
            </w:r>
            <w:r w:rsidRPr="00EC07FA">
              <w:rPr>
                <w:sz w:val="28"/>
                <w:szCs w:val="28"/>
              </w:rPr>
              <w:t xml:space="preserve"> днів.</w:t>
            </w:r>
          </w:p>
          <w:p w:rsidR="00F72704" w:rsidRPr="00EC07FA" w:rsidRDefault="00F72704" w:rsidP="00CF3178">
            <w:pPr>
              <w:spacing w:before="100" w:beforeAutospacing="1" w:after="100" w:afterAutospacing="1" w:line="240" w:lineRule="auto"/>
              <w:ind w:firstLine="448"/>
              <w:jc w:val="both"/>
              <w:rPr>
                <w:rFonts w:ascii="Times New Roman" w:hAnsi="Times New Roman"/>
                <w:b/>
                <w:bCs/>
                <w:sz w:val="28"/>
                <w:szCs w:val="28"/>
                <w:lang w:eastAsia="uk-UA"/>
              </w:rPr>
            </w:pPr>
          </w:p>
          <w:p w:rsidR="00F72704" w:rsidRPr="00EC07FA" w:rsidRDefault="00F72704" w:rsidP="00CF3178">
            <w:pPr>
              <w:pStyle w:val="rvps2"/>
              <w:shd w:val="clear" w:color="auto" w:fill="FFFFFF"/>
              <w:ind w:firstLine="450"/>
              <w:jc w:val="both"/>
              <w:rPr>
                <w:b/>
                <w:bCs/>
                <w:sz w:val="28"/>
                <w:szCs w:val="28"/>
                <w:lang w:eastAsia="uk-UA"/>
              </w:rPr>
            </w:pPr>
          </w:p>
        </w:tc>
      </w:tr>
      <w:tr w:rsidR="00EC07FA" w:rsidRPr="00EC07FA" w:rsidTr="00687399">
        <w:tc>
          <w:tcPr>
            <w:tcW w:w="15593" w:type="dxa"/>
            <w:gridSpan w:val="2"/>
            <w:tcBorders>
              <w:top w:val="single" w:sz="4" w:space="0" w:color="BFBFBF"/>
              <w:bottom w:val="single" w:sz="4" w:space="0" w:color="BFBFBF"/>
            </w:tcBorders>
          </w:tcPr>
          <w:p w:rsidR="00F95C10" w:rsidRPr="00EC07FA" w:rsidRDefault="00F95C10" w:rsidP="00F95C10">
            <w:pPr>
              <w:pStyle w:val="rvps2"/>
              <w:shd w:val="clear" w:color="auto" w:fill="FFFFFF"/>
              <w:ind w:firstLine="175"/>
              <w:jc w:val="center"/>
              <w:rPr>
                <w:sz w:val="28"/>
                <w:szCs w:val="28"/>
              </w:rPr>
            </w:pPr>
            <w:r w:rsidRPr="00EC07FA">
              <w:rPr>
                <w:b/>
                <w:bCs/>
                <w:sz w:val="28"/>
                <w:szCs w:val="28"/>
                <w:shd w:val="clear" w:color="auto" w:fill="FFFFFF"/>
                <w:lang w:val="uk-UA"/>
              </w:rPr>
              <w:lastRenderedPageBreak/>
              <w:t>Закон України «</w:t>
            </w:r>
            <w:r w:rsidRPr="00EC07FA">
              <w:rPr>
                <w:rStyle w:val="rvts23"/>
                <w:b/>
                <w:bCs/>
                <w:sz w:val="28"/>
                <w:szCs w:val="28"/>
                <w:lang w:val="uk-UA"/>
              </w:rPr>
              <w:t>Про деякі питання ввезення на митну територію України та проведення першої державної реєстрації транспортних засобів»</w:t>
            </w:r>
          </w:p>
        </w:tc>
      </w:tr>
      <w:tr w:rsidR="00EC07FA" w:rsidRPr="00EC07FA" w:rsidTr="00CF3178">
        <w:tc>
          <w:tcPr>
            <w:tcW w:w="7797" w:type="dxa"/>
            <w:tcBorders>
              <w:top w:val="single" w:sz="4" w:space="0" w:color="BFBFBF"/>
              <w:bottom w:val="single" w:sz="4" w:space="0" w:color="BFBFBF"/>
              <w:right w:val="single" w:sz="4" w:space="0" w:color="BFBFBF"/>
            </w:tcBorders>
          </w:tcPr>
          <w:p w:rsidR="00B11C35" w:rsidRPr="00EC07FA" w:rsidRDefault="00F95C10" w:rsidP="00F95C10">
            <w:pPr>
              <w:pStyle w:val="rvps2"/>
              <w:shd w:val="clear" w:color="auto" w:fill="FFFFFF"/>
              <w:ind w:firstLine="176"/>
              <w:jc w:val="both"/>
              <w:rPr>
                <w:sz w:val="28"/>
                <w:szCs w:val="28"/>
              </w:rPr>
            </w:pPr>
            <w:r w:rsidRPr="00EC07FA">
              <w:rPr>
                <w:sz w:val="28"/>
                <w:szCs w:val="28"/>
                <w:shd w:val="clear" w:color="auto" w:fill="FFFFFF"/>
                <w:lang w:val="uk-UA"/>
              </w:rPr>
              <w:t xml:space="preserve">3. Документом, що засвідчує відповідність транспортних засобів вимогам технічних регламентів та національних стандартів, є сертифікат або інший документ про підтвердження відповідності, виданий згідно із законодавством України, що вказує, якому саме рівню екологічних норм відповідає за конструкцією транспортний засіб ("ЄВРО-2" - "ЄВРО-6" або іншому рівню). Позначення рівня екологічних </w:t>
            </w:r>
            <w:r w:rsidRPr="00EC07FA">
              <w:rPr>
                <w:sz w:val="28"/>
                <w:szCs w:val="28"/>
                <w:shd w:val="clear" w:color="auto" w:fill="FFFFFF"/>
                <w:lang w:val="uk-UA"/>
              </w:rPr>
              <w:lastRenderedPageBreak/>
              <w:t>норм, якому відповідає транспортний засіб, має бути внесено до свідоцтва про реєстрацію транспортного засобу.</w:t>
            </w:r>
          </w:p>
        </w:tc>
        <w:tc>
          <w:tcPr>
            <w:tcW w:w="7796" w:type="dxa"/>
            <w:tcBorders>
              <w:top w:val="single" w:sz="4" w:space="0" w:color="BFBFBF"/>
              <w:left w:val="nil"/>
              <w:bottom w:val="single" w:sz="4" w:space="0" w:color="BFBFBF"/>
            </w:tcBorders>
          </w:tcPr>
          <w:p w:rsidR="00B11C35" w:rsidRPr="00EC07FA" w:rsidRDefault="00F95C10" w:rsidP="00C52593">
            <w:pPr>
              <w:pStyle w:val="rvps2"/>
              <w:shd w:val="clear" w:color="auto" w:fill="FFFFFF"/>
              <w:ind w:firstLine="450"/>
              <w:jc w:val="both"/>
              <w:rPr>
                <w:b/>
                <w:bCs/>
                <w:sz w:val="28"/>
                <w:szCs w:val="28"/>
                <w:lang w:val="uk-UA" w:eastAsia="uk-UA"/>
              </w:rPr>
            </w:pPr>
            <w:r w:rsidRPr="00EC07FA">
              <w:rPr>
                <w:sz w:val="28"/>
                <w:szCs w:val="28"/>
                <w:shd w:val="clear" w:color="auto" w:fill="FFFFFF"/>
                <w:lang w:val="uk-UA"/>
              </w:rPr>
              <w:lastRenderedPageBreak/>
              <w:t xml:space="preserve">3. Документом, що засвідчує </w:t>
            </w:r>
            <w:bookmarkStart w:id="26" w:name="_Hlk42680823"/>
            <w:r w:rsidRPr="00EC07FA">
              <w:rPr>
                <w:sz w:val="28"/>
                <w:szCs w:val="28"/>
                <w:shd w:val="clear" w:color="auto" w:fill="FFFFFF"/>
                <w:lang w:val="uk-UA"/>
              </w:rPr>
              <w:t xml:space="preserve">відповідність транспортних засобів вимогам технічних регламентів </w:t>
            </w:r>
            <w:bookmarkEnd w:id="26"/>
            <w:r w:rsidRPr="00EC07FA">
              <w:rPr>
                <w:sz w:val="28"/>
                <w:szCs w:val="28"/>
                <w:shd w:val="clear" w:color="auto" w:fill="FFFFFF"/>
                <w:lang w:val="uk-UA"/>
              </w:rPr>
              <w:t xml:space="preserve">та національних стандартів, є сертифікат або інший документ про підтвердження відповідності, виданий згідно із законодавством України, що вказує, якому саме рівню екологічних норм відповідає за конструкцією транспортний засіб ("ЄВРО-2" - "ЄВРО-6" або іншому рівню). </w:t>
            </w:r>
            <w:bookmarkStart w:id="27" w:name="_Hlk81807687"/>
            <w:bookmarkStart w:id="28" w:name="_Hlk42680373"/>
            <w:r w:rsidRPr="00EC07FA">
              <w:rPr>
                <w:b/>
                <w:bCs/>
                <w:sz w:val="28"/>
                <w:szCs w:val="28"/>
                <w:shd w:val="clear" w:color="auto" w:fill="FFFFFF"/>
                <w:lang w:val="uk-UA"/>
              </w:rPr>
              <w:t xml:space="preserve">Документом, що засвідчує </w:t>
            </w:r>
            <w:r w:rsidRPr="00EC07FA">
              <w:rPr>
                <w:b/>
                <w:bCs/>
                <w:sz w:val="28"/>
                <w:szCs w:val="28"/>
                <w:shd w:val="clear" w:color="auto" w:fill="FFFFFF"/>
                <w:lang w:val="uk-UA"/>
              </w:rPr>
              <w:lastRenderedPageBreak/>
              <w:t xml:space="preserve">відповідність транспортних засобів вимогам технічних регламентів також є </w:t>
            </w:r>
            <w:bookmarkStart w:id="29" w:name="_Hlk42680852"/>
            <w:r w:rsidRPr="00EC07FA">
              <w:rPr>
                <w:b/>
                <w:bCs/>
                <w:sz w:val="28"/>
                <w:szCs w:val="28"/>
                <w:shd w:val="clear" w:color="auto" w:fill="FFFFFF"/>
                <w:lang w:val="uk-UA"/>
              </w:rPr>
              <w:t>реєстраційний документ на транспортний засіб, виданий реєстраційним органом країни реєстрації такого засобу, в якому визначено рівень екологічних норм, якому відповідає транспортний засіб</w:t>
            </w:r>
            <w:bookmarkEnd w:id="27"/>
            <w:bookmarkEnd w:id="29"/>
            <w:r w:rsidRPr="00EC07FA">
              <w:rPr>
                <w:b/>
                <w:bCs/>
                <w:sz w:val="28"/>
                <w:szCs w:val="28"/>
                <w:shd w:val="clear" w:color="auto" w:fill="FFFFFF"/>
                <w:lang w:val="uk-UA"/>
              </w:rPr>
              <w:t>.</w:t>
            </w:r>
            <w:bookmarkEnd w:id="28"/>
            <w:r w:rsidRPr="00EC07FA">
              <w:rPr>
                <w:b/>
                <w:bCs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EC07FA">
              <w:rPr>
                <w:sz w:val="28"/>
                <w:szCs w:val="28"/>
                <w:shd w:val="clear" w:color="auto" w:fill="FFFFFF"/>
                <w:lang w:val="uk-UA"/>
              </w:rPr>
              <w:t>Позначення рівня екологічних норм, якому відповідає транспортний засіб, має бути внесено до свідоцтва про реєстрацію транспортного засобу.</w:t>
            </w:r>
          </w:p>
        </w:tc>
      </w:tr>
      <w:tr w:rsidR="00EC07FA" w:rsidRPr="00EC07FA" w:rsidTr="00CF317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 w:firstRow="1" w:lastRow="1" w:firstColumn="1" w:lastColumn="1" w:noHBand="0" w:noVBand="0"/>
        </w:tblPrEx>
        <w:trPr>
          <w:trHeight w:val="416"/>
        </w:trPr>
        <w:tc>
          <w:tcPr>
            <w:tcW w:w="7797" w:type="dxa"/>
          </w:tcPr>
          <w:p w:rsidR="008D0C4A" w:rsidRPr="00EC07FA" w:rsidRDefault="00F95C10" w:rsidP="00F95C10">
            <w:pPr>
              <w:pStyle w:val="rvps2"/>
              <w:shd w:val="clear" w:color="auto" w:fill="FFFFFF"/>
              <w:ind w:firstLine="214"/>
              <w:jc w:val="both"/>
              <w:rPr>
                <w:sz w:val="28"/>
                <w:szCs w:val="28"/>
                <w:lang w:val="uk-UA" w:eastAsia="ru-RU"/>
              </w:rPr>
            </w:pPr>
            <w:r w:rsidRPr="00EC07FA">
              <w:rPr>
                <w:sz w:val="28"/>
                <w:szCs w:val="28"/>
                <w:lang w:val="uk-UA" w:eastAsia="ru-RU"/>
              </w:rPr>
              <w:lastRenderedPageBreak/>
              <w:t>3-2. Дія </w:t>
            </w:r>
            <w:hyperlink r:id="rId24" w:anchor="n9" w:history="1">
              <w:r w:rsidRPr="00EC07FA">
                <w:rPr>
                  <w:sz w:val="28"/>
                  <w:szCs w:val="28"/>
                  <w:lang w:val="uk-UA" w:eastAsia="ru-RU"/>
                </w:rPr>
                <w:t>статей 1</w:t>
              </w:r>
            </w:hyperlink>
            <w:r w:rsidRPr="00EC07FA">
              <w:rPr>
                <w:sz w:val="28"/>
                <w:szCs w:val="28"/>
                <w:lang w:val="uk-UA" w:eastAsia="ru-RU"/>
              </w:rPr>
              <w:t> і </w:t>
            </w:r>
            <w:hyperlink r:id="rId25" w:anchor="n10" w:history="1">
              <w:r w:rsidRPr="00EC07FA">
                <w:rPr>
                  <w:sz w:val="28"/>
                  <w:szCs w:val="28"/>
                  <w:lang w:val="uk-UA" w:eastAsia="ru-RU"/>
                </w:rPr>
                <w:t>2</w:t>
              </w:r>
            </w:hyperlink>
            <w:r w:rsidRPr="00EC07FA">
              <w:rPr>
                <w:sz w:val="28"/>
                <w:szCs w:val="28"/>
                <w:lang w:val="uk-UA" w:eastAsia="ru-RU"/>
              </w:rPr>
              <w:t> цього Закону не поширюється на транспортні засоби, які ввозяться на митну територію України тимчасово, з метою транзиту та при переселенні громадян на постійне місце проживання до України, а також на:</w:t>
            </w:r>
          </w:p>
        </w:tc>
        <w:tc>
          <w:tcPr>
            <w:tcW w:w="7796" w:type="dxa"/>
          </w:tcPr>
          <w:p w:rsidR="008D0C4A" w:rsidRPr="00EC07FA" w:rsidRDefault="00F95C10" w:rsidP="00CF3178">
            <w:pPr>
              <w:shd w:val="clear" w:color="auto" w:fill="FFFFFF"/>
              <w:spacing w:before="100" w:beforeAutospacing="1" w:after="100" w:afterAutospacing="1" w:line="240" w:lineRule="auto"/>
              <w:ind w:firstLine="176"/>
              <w:jc w:val="both"/>
              <w:rPr>
                <w:rFonts w:ascii="Times New Roman" w:hAnsi="Times New Roman"/>
                <w:sz w:val="28"/>
                <w:szCs w:val="28"/>
                <w:shd w:val="clear" w:color="auto" w:fill="FFFFFF"/>
                <w:lang w:val="uk-UA"/>
              </w:rPr>
            </w:pPr>
            <w:r w:rsidRPr="00EC07FA">
              <w:rPr>
                <w:rFonts w:ascii="Times New Roman" w:hAnsi="Times New Roman"/>
                <w:sz w:val="28"/>
                <w:szCs w:val="28"/>
                <w:lang w:val="uk-UA"/>
              </w:rPr>
              <w:t>3-2. Дія </w:t>
            </w:r>
            <w:hyperlink r:id="rId26" w:anchor="n9" w:history="1">
              <w:r w:rsidRPr="00EC07FA">
                <w:rPr>
                  <w:rFonts w:ascii="Times New Roman" w:hAnsi="Times New Roman"/>
                  <w:sz w:val="28"/>
                  <w:szCs w:val="28"/>
                  <w:lang w:val="uk-UA"/>
                </w:rPr>
                <w:t>статей 1</w:t>
              </w:r>
            </w:hyperlink>
            <w:r w:rsidRPr="00EC07FA">
              <w:rPr>
                <w:rFonts w:ascii="Times New Roman" w:hAnsi="Times New Roman"/>
                <w:sz w:val="28"/>
                <w:szCs w:val="28"/>
                <w:lang w:val="uk-UA"/>
              </w:rPr>
              <w:t> і </w:t>
            </w:r>
            <w:hyperlink r:id="rId27" w:anchor="n10" w:history="1">
              <w:r w:rsidRPr="00EC07FA">
                <w:rPr>
                  <w:rFonts w:ascii="Times New Roman" w:hAnsi="Times New Roman"/>
                  <w:sz w:val="28"/>
                  <w:szCs w:val="28"/>
                  <w:lang w:val="uk-UA"/>
                </w:rPr>
                <w:t>2</w:t>
              </w:r>
            </w:hyperlink>
            <w:r w:rsidRPr="00EC07FA">
              <w:rPr>
                <w:rFonts w:ascii="Times New Roman" w:hAnsi="Times New Roman"/>
                <w:sz w:val="28"/>
                <w:szCs w:val="28"/>
                <w:lang w:val="uk-UA"/>
              </w:rPr>
              <w:t> цього Закону не поширюється на транспортні засоби, які ввозяться на митну територію України тимчасово, з метою транзиту та при переселенні громадян на постійне місце проживання до України, а також на:</w:t>
            </w:r>
          </w:p>
        </w:tc>
      </w:tr>
      <w:tr w:rsidR="00EC07FA" w:rsidRPr="00EC07FA" w:rsidTr="00CF317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 w:firstRow="1" w:lastRow="1" w:firstColumn="1" w:lastColumn="1" w:noHBand="0" w:noVBand="0"/>
        </w:tblPrEx>
        <w:trPr>
          <w:trHeight w:val="416"/>
        </w:trPr>
        <w:tc>
          <w:tcPr>
            <w:tcW w:w="7797" w:type="dxa"/>
          </w:tcPr>
          <w:p w:rsidR="008D0C4A" w:rsidRPr="00EC07FA" w:rsidRDefault="00F95C10" w:rsidP="00F95C10">
            <w:pPr>
              <w:pStyle w:val="rvps2"/>
              <w:shd w:val="clear" w:color="auto" w:fill="FFFFFF"/>
              <w:ind w:firstLine="448"/>
              <w:jc w:val="both"/>
              <w:rPr>
                <w:b/>
                <w:sz w:val="28"/>
                <w:szCs w:val="28"/>
                <w:lang w:val="uk-UA"/>
              </w:rPr>
            </w:pPr>
            <w:bookmarkStart w:id="30" w:name="n32"/>
            <w:bookmarkEnd w:id="30"/>
            <w:r w:rsidRPr="00EC07FA">
              <w:rPr>
                <w:b/>
                <w:sz w:val="28"/>
                <w:szCs w:val="28"/>
                <w:lang w:val="uk-UA" w:eastAsia="ru-RU"/>
              </w:rPr>
              <w:t>Норма відсутня</w:t>
            </w:r>
          </w:p>
        </w:tc>
        <w:tc>
          <w:tcPr>
            <w:tcW w:w="7796" w:type="dxa"/>
          </w:tcPr>
          <w:p w:rsidR="008D0C4A" w:rsidRPr="00EC07FA" w:rsidRDefault="008D0C4A" w:rsidP="00E26FE6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b/>
                <w:bCs/>
                <w:sz w:val="28"/>
                <w:szCs w:val="28"/>
                <w:shd w:val="clear" w:color="auto" w:fill="FFFFFF"/>
                <w:lang w:val="uk-UA"/>
              </w:rPr>
            </w:pPr>
            <w:bookmarkStart w:id="31" w:name="_Hlk81807848"/>
            <w:bookmarkStart w:id="32" w:name="_Hlk81809676"/>
            <w:r w:rsidRPr="00EC07FA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 xml:space="preserve">ввезенні на митну територію України транспортні засоби особистого </w:t>
            </w:r>
            <w:r w:rsidRPr="00EC07FA">
              <w:rPr>
                <w:rFonts w:ascii="Times New Roman" w:hAnsi="Times New Roman"/>
                <w:b/>
                <w:bCs/>
                <w:sz w:val="28"/>
                <w:szCs w:val="28"/>
                <w:shd w:val="clear" w:color="auto" w:fill="FFFFFF"/>
                <w:lang w:val="uk-UA"/>
              </w:rPr>
              <w:t>користування, що класифікуються за товарною позицією  8704 (</w:t>
            </w:r>
            <w:r w:rsidR="007A2F25" w:rsidRPr="00EC07FA">
              <w:rPr>
                <w:rFonts w:ascii="Times New Roman" w:hAnsi="Times New Roman"/>
                <w:b/>
                <w:bCs/>
                <w:sz w:val="28"/>
                <w:szCs w:val="28"/>
                <w:shd w:val="clear" w:color="auto" w:fill="FFFFFF"/>
                <w:lang w:val="uk-UA"/>
              </w:rPr>
              <w:t xml:space="preserve">загальною масою до 3,5 тонни включно) </w:t>
            </w:r>
            <w:r w:rsidRPr="00EC07FA">
              <w:rPr>
                <w:rFonts w:ascii="Times New Roman" w:hAnsi="Times New Roman"/>
                <w:b/>
                <w:bCs/>
                <w:sz w:val="28"/>
                <w:szCs w:val="28"/>
                <w:shd w:val="clear" w:color="auto" w:fill="FFFFFF"/>
                <w:lang w:val="uk-UA"/>
              </w:rPr>
              <w:t xml:space="preserve">згідно з </w:t>
            </w:r>
            <w:hyperlink r:id="rId28" w:tgtFrame="_blank" w:history="1">
              <w:r w:rsidRPr="00EC07FA">
                <w:rPr>
                  <w:rFonts w:ascii="Times New Roman" w:hAnsi="Times New Roman"/>
                  <w:b/>
                  <w:bCs/>
                  <w:sz w:val="28"/>
                  <w:szCs w:val="28"/>
                  <w:shd w:val="clear" w:color="auto" w:fill="FFFFFF"/>
                  <w:lang w:val="uk-UA"/>
                </w:rPr>
                <w:t>УКТ ЗЕД</w:t>
              </w:r>
            </w:hyperlink>
            <w:r w:rsidRPr="00EC07FA">
              <w:rPr>
                <w:rFonts w:ascii="Times New Roman" w:hAnsi="Times New Roman"/>
                <w:b/>
                <w:bCs/>
                <w:sz w:val="28"/>
                <w:szCs w:val="28"/>
                <w:shd w:val="clear" w:color="auto" w:fill="FFFFFF"/>
                <w:lang w:val="uk-UA"/>
              </w:rPr>
              <w:t xml:space="preserve">, митне оформлення яких для їх вільного обігу на митній території України проводиться відповідно до Закону України </w:t>
            </w:r>
            <w:r w:rsidR="00E26FE6" w:rsidRPr="00EC07FA">
              <w:rPr>
                <w:rFonts w:ascii="Times New Roman" w:hAnsi="Times New Roman"/>
                <w:b/>
                <w:bCs/>
                <w:sz w:val="28"/>
                <w:szCs w:val="28"/>
                <w:shd w:val="clear" w:color="auto" w:fill="FFFFFF"/>
                <w:lang w:val="uk-UA"/>
              </w:rPr>
              <w:t>«Про внесення змін до Митного кодексу України щодо тимчасового спрощення митного оформлення транспортних засобів</w:t>
            </w:r>
            <w:r w:rsidR="00E26FE6" w:rsidRPr="00EC07FA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, ввезених на митну територію України»</w:t>
            </w:r>
            <w:bookmarkEnd w:id="31"/>
            <w:r w:rsidR="00E26FE6" w:rsidRPr="00EC07FA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;</w:t>
            </w:r>
            <w:bookmarkEnd w:id="32"/>
          </w:p>
        </w:tc>
      </w:tr>
      <w:tr w:rsidR="00EC07FA" w:rsidRPr="00EC07FA" w:rsidTr="00CF317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 w:firstRow="1" w:lastRow="1" w:firstColumn="1" w:lastColumn="1" w:noHBand="0" w:noVBand="0"/>
        </w:tblPrEx>
        <w:trPr>
          <w:trHeight w:val="416"/>
        </w:trPr>
        <w:tc>
          <w:tcPr>
            <w:tcW w:w="7797" w:type="dxa"/>
          </w:tcPr>
          <w:p w:rsidR="008D0C4A" w:rsidRPr="00EC07FA" w:rsidRDefault="008D0C4A" w:rsidP="00CF3178">
            <w:pPr>
              <w:pStyle w:val="rvps2"/>
              <w:shd w:val="clear" w:color="auto" w:fill="FFFFFF"/>
              <w:ind w:firstLine="448"/>
              <w:jc w:val="both"/>
              <w:rPr>
                <w:sz w:val="28"/>
                <w:szCs w:val="28"/>
                <w:lang w:val="uk-UA" w:eastAsia="ru-RU"/>
              </w:rPr>
            </w:pPr>
            <w:r w:rsidRPr="00EC07FA">
              <w:rPr>
                <w:b/>
                <w:sz w:val="28"/>
                <w:szCs w:val="28"/>
                <w:lang w:val="uk-UA" w:eastAsia="ru-RU"/>
              </w:rPr>
              <w:t>Норма відсутня</w:t>
            </w:r>
          </w:p>
        </w:tc>
        <w:tc>
          <w:tcPr>
            <w:tcW w:w="7796" w:type="dxa"/>
          </w:tcPr>
          <w:p w:rsidR="008D0C4A" w:rsidRPr="00EC07FA" w:rsidRDefault="008D0C4A" w:rsidP="00CF3178">
            <w:pPr>
              <w:pStyle w:val="rvps2"/>
              <w:shd w:val="clear" w:color="auto" w:fill="FFFFFF"/>
              <w:ind w:firstLine="34"/>
              <w:jc w:val="both"/>
              <w:rPr>
                <w:sz w:val="28"/>
                <w:szCs w:val="28"/>
                <w:lang w:val="uk-UA" w:eastAsia="ru-RU"/>
              </w:rPr>
            </w:pPr>
            <w:bookmarkStart w:id="33" w:name="_Hlk81807916"/>
            <w:r w:rsidRPr="00EC07FA">
              <w:rPr>
                <w:b/>
                <w:bCs/>
                <w:sz w:val="28"/>
                <w:szCs w:val="28"/>
                <w:shd w:val="clear" w:color="auto" w:fill="FFFFFF"/>
                <w:lang w:val="uk-UA"/>
              </w:rPr>
              <w:t>транспортні засоби, що використовувалися понад 50 років, або належать до предметів колекціонування або антикваріату</w:t>
            </w:r>
            <w:bookmarkEnd w:id="33"/>
            <w:r w:rsidR="00D140C3" w:rsidRPr="00EC07FA">
              <w:rPr>
                <w:b/>
                <w:bCs/>
                <w:sz w:val="28"/>
                <w:szCs w:val="28"/>
                <w:shd w:val="clear" w:color="auto" w:fill="FFFFFF"/>
                <w:lang w:val="uk-UA"/>
              </w:rPr>
              <w:t>.</w:t>
            </w:r>
          </w:p>
        </w:tc>
      </w:tr>
    </w:tbl>
    <w:p w:rsidR="00033643" w:rsidRPr="00EC07FA" w:rsidRDefault="00E26FE6" w:rsidP="00CF3178">
      <w:pPr>
        <w:widowControl w:val="0"/>
        <w:autoSpaceDE w:val="0"/>
        <w:autoSpaceDN w:val="0"/>
        <w:adjustRightInd w:val="0"/>
        <w:spacing w:before="100" w:beforeAutospacing="1" w:after="100" w:afterAutospacing="1" w:line="240" w:lineRule="auto"/>
        <w:ind w:firstLine="142"/>
        <w:rPr>
          <w:rFonts w:ascii="Times New Roman" w:hAnsi="Times New Roman"/>
          <w:b/>
          <w:bCs/>
          <w:sz w:val="28"/>
          <w:szCs w:val="28"/>
          <w:lang w:val="uk-UA" w:eastAsia="uk-UA"/>
        </w:rPr>
      </w:pPr>
      <w:r w:rsidRPr="00EC07FA">
        <w:rPr>
          <w:rFonts w:ascii="Times New Roman" w:hAnsi="Times New Roman"/>
          <w:b/>
          <w:bCs/>
          <w:sz w:val="28"/>
          <w:szCs w:val="28"/>
          <w:lang w:val="uk-UA" w:eastAsia="uk-UA"/>
        </w:rPr>
        <w:t xml:space="preserve"> Народні депутати України</w:t>
      </w:r>
    </w:p>
    <w:sectPr w:rsidR="00033643" w:rsidRPr="00EC07FA" w:rsidSect="003863CE">
      <w:footerReference w:type="default" r:id="rId29"/>
      <w:pgSz w:w="16840" w:h="11901" w:orient="landscape"/>
      <w:pgMar w:top="1259" w:right="1134" w:bottom="1418" w:left="1134" w:header="709" w:footer="709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A4BB3" w:rsidRDefault="008A4BB3" w:rsidP="00E93E79">
      <w:pPr>
        <w:spacing w:after="0" w:line="240" w:lineRule="auto"/>
      </w:pPr>
      <w:r>
        <w:separator/>
      </w:r>
    </w:p>
  </w:endnote>
  <w:endnote w:type="continuationSeparator" w:id="0">
    <w:p w:rsidR="008A4BB3" w:rsidRDefault="008A4BB3" w:rsidP="00E93E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 Symbol">
    <w:altName w:val="Century Gothic"/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TimesNewRomanPSMT Cyr">
    <w:altName w:val="Times New Roman"/>
    <w:panose1 w:val="00000000000000000000"/>
    <w:charset w:val="CC"/>
    <w:family w:val="auto"/>
    <w:notTrueType/>
    <w:pitch w:val="variable"/>
    <w:sig w:usb0="00000201" w:usb1="00000000" w:usb2="00000000" w:usb3="00000000" w:csb0="00000004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77AD9" w:rsidRDefault="00C77AD9">
    <w:pPr>
      <w:pStyle w:val="a5"/>
      <w:jc w:val="center"/>
    </w:pPr>
    <w:r>
      <w:fldChar w:fldCharType="begin"/>
    </w:r>
    <w:r>
      <w:instrText>PAGE   \* MERGEFORMAT</w:instrText>
    </w:r>
    <w:r>
      <w:fldChar w:fldCharType="separate"/>
    </w:r>
    <w:r w:rsidR="0023643B" w:rsidRPr="0023643B">
      <w:rPr>
        <w:noProof/>
        <w:lang w:val="ru-RU"/>
      </w:rPr>
      <w:t>2</w:t>
    </w:r>
    <w:r>
      <w:fldChar w:fldCharType="end"/>
    </w:r>
  </w:p>
  <w:p w:rsidR="00E93E79" w:rsidRDefault="00E93E79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A4BB3" w:rsidRDefault="008A4BB3" w:rsidP="00E93E79">
      <w:pPr>
        <w:spacing w:after="0" w:line="240" w:lineRule="auto"/>
      </w:pPr>
      <w:r>
        <w:separator/>
      </w:r>
    </w:p>
  </w:footnote>
  <w:footnote w:type="continuationSeparator" w:id="0">
    <w:p w:rsidR="008A4BB3" w:rsidRDefault="008A4BB3" w:rsidP="00E93E7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F580594"/>
    <w:multiLevelType w:val="hybridMultilevel"/>
    <w:tmpl w:val="23944780"/>
    <w:lvl w:ilvl="0" w:tplc="06DEC910">
      <w:start w:val="1"/>
      <w:numFmt w:val="decimal"/>
      <w:lvlText w:val="%1."/>
      <w:lvlJc w:val="left"/>
      <w:pPr>
        <w:ind w:left="81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53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25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97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9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41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13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85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570" w:hanging="18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defaultTabStop w:val="708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5617"/>
    <w:rsid w:val="000002BA"/>
    <w:rsid w:val="00013D3E"/>
    <w:rsid w:val="00020408"/>
    <w:rsid w:val="0002610C"/>
    <w:rsid w:val="00033643"/>
    <w:rsid w:val="000A529C"/>
    <w:rsid w:val="000B3D78"/>
    <w:rsid w:val="000C16BA"/>
    <w:rsid w:val="000C3752"/>
    <w:rsid w:val="000E1E54"/>
    <w:rsid w:val="000E5694"/>
    <w:rsid w:val="000E5CA6"/>
    <w:rsid w:val="000F6E7B"/>
    <w:rsid w:val="00100526"/>
    <w:rsid w:val="001073B3"/>
    <w:rsid w:val="00110F12"/>
    <w:rsid w:val="001119BA"/>
    <w:rsid w:val="001147DC"/>
    <w:rsid w:val="001178E0"/>
    <w:rsid w:val="00153FB6"/>
    <w:rsid w:val="001A14EC"/>
    <w:rsid w:val="001A1D7A"/>
    <w:rsid w:val="001A587D"/>
    <w:rsid w:val="00205617"/>
    <w:rsid w:val="0021610A"/>
    <w:rsid w:val="002247FF"/>
    <w:rsid w:val="0023643B"/>
    <w:rsid w:val="00255205"/>
    <w:rsid w:val="002653D2"/>
    <w:rsid w:val="002813F2"/>
    <w:rsid w:val="00286AAC"/>
    <w:rsid w:val="002937C6"/>
    <w:rsid w:val="002B2C47"/>
    <w:rsid w:val="002C433E"/>
    <w:rsid w:val="002C76E2"/>
    <w:rsid w:val="002E5123"/>
    <w:rsid w:val="00310323"/>
    <w:rsid w:val="0032614A"/>
    <w:rsid w:val="0033052B"/>
    <w:rsid w:val="00344827"/>
    <w:rsid w:val="00350766"/>
    <w:rsid w:val="00362FCA"/>
    <w:rsid w:val="003863CE"/>
    <w:rsid w:val="003972D0"/>
    <w:rsid w:val="003C3E88"/>
    <w:rsid w:val="003D0F8C"/>
    <w:rsid w:val="003D7BD8"/>
    <w:rsid w:val="003E3730"/>
    <w:rsid w:val="004278DD"/>
    <w:rsid w:val="004313FF"/>
    <w:rsid w:val="0045021C"/>
    <w:rsid w:val="004560D3"/>
    <w:rsid w:val="00456A9A"/>
    <w:rsid w:val="00472A50"/>
    <w:rsid w:val="004945F0"/>
    <w:rsid w:val="004A6425"/>
    <w:rsid w:val="004B2C5C"/>
    <w:rsid w:val="004F0514"/>
    <w:rsid w:val="004F1F79"/>
    <w:rsid w:val="00511464"/>
    <w:rsid w:val="00550F03"/>
    <w:rsid w:val="00563A03"/>
    <w:rsid w:val="00586D5C"/>
    <w:rsid w:val="005E03AA"/>
    <w:rsid w:val="005E67CC"/>
    <w:rsid w:val="005F3E30"/>
    <w:rsid w:val="005F503C"/>
    <w:rsid w:val="00615100"/>
    <w:rsid w:val="0064190C"/>
    <w:rsid w:val="00681F81"/>
    <w:rsid w:val="00687399"/>
    <w:rsid w:val="006B5510"/>
    <w:rsid w:val="006B5C23"/>
    <w:rsid w:val="006C0B71"/>
    <w:rsid w:val="006C3B52"/>
    <w:rsid w:val="006D6960"/>
    <w:rsid w:val="006E5C33"/>
    <w:rsid w:val="00704923"/>
    <w:rsid w:val="007106A3"/>
    <w:rsid w:val="007363BA"/>
    <w:rsid w:val="007416F9"/>
    <w:rsid w:val="0077274C"/>
    <w:rsid w:val="00783A84"/>
    <w:rsid w:val="007A2F25"/>
    <w:rsid w:val="007B4B3C"/>
    <w:rsid w:val="007C40CC"/>
    <w:rsid w:val="007E5327"/>
    <w:rsid w:val="00803809"/>
    <w:rsid w:val="00831D0F"/>
    <w:rsid w:val="00853E7F"/>
    <w:rsid w:val="00880D63"/>
    <w:rsid w:val="00891883"/>
    <w:rsid w:val="00895BD1"/>
    <w:rsid w:val="008A4BB3"/>
    <w:rsid w:val="008B12F6"/>
    <w:rsid w:val="008D0C4A"/>
    <w:rsid w:val="008D0FA1"/>
    <w:rsid w:val="008E12C1"/>
    <w:rsid w:val="008E2A27"/>
    <w:rsid w:val="00903212"/>
    <w:rsid w:val="00907DB2"/>
    <w:rsid w:val="00921A1B"/>
    <w:rsid w:val="0092624A"/>
    <w:rsid w:val="00926594"/>
    <w:rsid w:val="00933BD0"/>
    <w:rsid w:val="00992BFA"/>
    <w:rsid w:val="009A5233"/>
    <w:rsid w:val="009C1D4D"/>
    <w:rsid w:val="009E35A5"/>
    <w:rsid w:val="009E6E97"/>
    <w:rsid w:val="009F28DD"/>
    <w:rsid w:val="009F6520"/>
    <w:rsid w:val="00A50235"/>
    <w:rsid w:val="00A51623"/>
    <w:rsid w:val="00A61BDE"/>
    <w:rsid w:val="00AA6FC6"/>
    <w:rsid w:val="00AB6414"/>
    <w:rsid w:val="00AE0805"/>
    <w:rsid w:val="00AF21B1"/>
    <w:rsid w:val="00AF6FF5"/>
    <w:rsid w:val="00B07CFF"/>
    <w:rsid w:val="00B11C35"/>
    <w:rsid w:val="00B21E89"/>
    <w:rsid w:val="00B508B9"/>
    <w:rsid w:val="00B55997"/>
    <w:rsid w:val="00B562F4"/>
    <w:rsid w:val="00B7120F"/>
    <w:rsid w:val="00BC5854"/>
    <w:rsid w:val="00BE04AD"/>
    <w:rsid w:val="00BE0E34"/>
    <w:rsid w:val="00C03697"/>
    <w:rsid w:val="00C121BB"/>
    <w:rsid w:val="00C52593"/>
    <w:rsid w:val="00C62B1C"/>
    <w:rsid w:val="00C77AD9"/>
    <w:rsid w:val="00C9681E"/>
    <w:rsid w:val="00C969DE"/>
    <w:rsid w:val="00CA031A"/>
    <w:rsid w:val="00CA7F71"/>
    <w:rsid w:val="00CF3178"/>
    <w:rsid w:val="00D140C3"/>
    <w:rsid w:val="00D235FF"/>
    <w:rsid w:val="00D65BAA"/>
    <w:rsid w:val="00D6778B"/>
    <w:rsid w:val="00DB6159"/>
    <w:rsid w:val="00DC4656"/>
    <w:rsid w:val="00DE2607"/>
    <w:rsid w:val="00E21C15"/>
    <w:rsid w:val="00E26FE6"/>
    <w:rsid w:val="00E41933"/>
    <w:rsid w:val="00E4545A"/>
    <w:rsid w:val="00E506DC"/>
    <w:rsid w:val="00E8659C"/>
    <w:rsid w:val="00E93E79"/>
    <w:rsid w:val="00E97791"/>
    <w:rsid w:val="00EA40EE"/>
    <w:rsid w:val="00EB4045"/>
    <w:rsid w:val="00EC07FA"/>
    <w:rsid w:val="00ED2705"/>
    <w:rsid w:val="00EE0474"/>
    <w:rsid w:val="00EE2C8C"/>
    <w:rsid w:val="00F00616"/>
    <w:rsid w:val="00F007A7"/>
    <w:rsid w:val="00F03D9C"/>
    <w:rsid w:val="00F127B4"/>
    <w:rsid w:val="00F26260"/>
    <w:rsid w:val="00F3034C"/>
    <w:rsid w:val="00F6090D"/>
    <w:rsid w:val="00F72704"/>
    <w:rsid w:val="00F75CFD"/>
    <w:rsid w:val="00F95C10"/>
    <w:rsid w:val="00FB7267"/>
    <w:rsid w:val="00FC1B1C"/>
    <w:rsid w:val="00FE37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8D74F5B2-585F-4024-9B54-C22FD19B8D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Calibri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9" w:qFormat="1"/>
    <w:lsdException w:name="heading 2" w:locked="1" w:semiHidden="1" w:uiPriority="9" w:unhideWhenUsed="1" w:qFormat="1"/>
    <w:lsdException w:name="heading 3" w:locked="1" w:semiHidden="1" w:uiPriority="9" w:unhideWhenUsed="1" w:qFormat="1"/>
    <w:lsdException w:name="heading 4" w:locked="1" w:semiHidden="1" w:uiPriority="9" w:unhideWhenUsed="1" w:qFormat="1"/>
    <w:lsdException w:name="heading 5" w:locked="1" w:semiHidden="1" w:uiPriority="9" w:unhideWhenUsed="1" w:qFormat="1"/>
    <w:lsdException w:name="heading 6" w:locked="1" w:semiHidden="1" w:uiPriority="9" w:unhideWhenUsed="1" w:qFormat="1"/>
    <w:lsdException w:name="heading 7" w:locked="1" w:semiHidden="1" w:uiPriority="9" w:unhideWhenUsed="1" w:qFormat="1"/>
    <w:lsdException w:name="heading 8" w:locked="1" w:semiHidden="1" w:uiPriority="9" w:unhideWhenUsed="1" w:qFormat="1"/>
    <w:lsdException w:name="heading 9" w:locked="1" w:semiHidden="1" w:uiPriority="9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locked="1" w:semiHidden="1" w:uiPriority="35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locked="1" w:uiPriority="10" w:qFormat="1"/>
    <w:lsdException w:name="Closing" w:locked="1" w:semiHidden="1" w:unhideWhenUsed="1"/>
    <w:lsdException w:name="Signature" w:locked="1" w:semiHidden="1" w:unhideWhenUsed="1"/>
    <w:lsdException w:name="Default Paragraph Font" w:locked="1" w:semiHidden="1" w:uiPriority="1" w:unhideWhenUsed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locked="1" w:uiPriority="11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locked="1" w:uiPriority="22" w:qFormat="1"/>
    <w:lsdException w:name="Emphasis" w:locked="1" w:uiPriority="2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semiHidden="1" w:uiPriority="0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semiHidden="1" w:uiPriority="0" w:unhideWhenUsed="1"/>
    <w:lsdException w:name="Table Simple 2" w:semiHidden="1" w:uiPriority="0" w:unhideWhenUsed="1"/>
    <w:lsdException w:name="Table Simple 3" w:semiHidden="1" w:uiPriority="0" w:unhideWhenUsed="1"/>
    <w:lsdException w:name="Table Classic 1" w:semiHidden="1" w:uiPriority="0" w:unhideWhenUsed="1"/>
    <w:lsdException w:name="Table Classic 2" w:semiHidden="1" w:uiPriority="0" w:unhideWhenUsed="1"/>
    <w:lsdException w:name="Table Classic 3" w:semiHidden="1" w:uiPriority="0" w:unhideWhenUsed="1"/>
    <w:lsdException w:name="Table Classic 4" w:semiHidden="1" w:uiPriority="0" w:unhideWhenUsed="1"/>
    <w:lsdException w:name="Table Colorful 1" w:semiHidden="1" w:uiPriority="0" w:unhideWhenUsed="1"/>
    <w:lsdException w:name="Table Colorful 2" w:semiHidden="1" w:uiPriority="0" w:unhideWhenUsed="1"/>
    <w:lsdException w:name="Table Colorful 3" w:semiHidden="1" w:uiPriority="0" w:unhideWhenUsed="1"/>
    <w:lsdException w:name="Table Columns 1" w:semiHidden="1" w:uiPriority="0" w:unhideWhenUsed="1"/>
    <w:lsdException w:name="Table Columns 2" w:semiHidden="1" w:uiPriority="0" w:unhideWhenUsed="1"/>
    <w:lsdException w:name="Table Columns 3" w:semiHidden="1" w:uiPriority="0" w:unhideWhenUsed="1"/>
    <w:lsdException w:name="Table Columns 4" w:semiHidden="1" w:uiPriority="0" w:unhideWhenUsed="1"/>
    <w:lsdException w:name="Table Columns 5" w:semiHidden="1" w:uiPriority="0" w:unhideWhenUsed="1"/>
    <w:lsdException w:name="Table Grid 1" w:semiHidden="1" w:uiPriority="0" w:unhideWhenUsed="1"/>
    <w:lsdException w:name="Table Grid 2" w:semiHidden="1" w:uiPriority="0" w:unhideWhenUsed="1"/>
    <w:lsdException w:name="Table Grid 3" w:semiHidden="1" w:uiPriority="0" w:unhideWhenUsed="1"/>
    <w:lsdException w:name="Table Grid 4" w:semiHidden="1" w:uiPriority="0" w:unhideWhenUsed="1"/>
    <w:lsdException w:name="Table Grid 5" w:semiHidden="1" w:uiPriority="0" w:unhideWhenUsed="1"/>
    <w:lsdException w:name="Table Grid 6" w:semiHidden="1" w:uiPriority="0" w:unhideWhenUsed="1"/>
    <w:lsdException w:name="Table Grid 7" w:semiHidden="1" w:uiPriority="0" w:unhideWhenUsed="1"/>
    <w:lsdException w:name="Table Grid 8" w:semiHidden="1" w:uiPriority="0" w:unhideWhenUsed="1"/>
    <w:lsdException w:name="Table List 1" w:semiHidden="1" w:uiPriority="0" w:unhideWhenUsed="1"/>
    <w:lsdException w:name="Table List 2" w:semiHidden="1" w:uiPriority="0" w:unhideWhenUsed="1"/>
    <w:lsdException w:name="Table List 3" w:semiHidden="1" w:uiPriority="0" w:unhideWhenUsed="1"/>
    <w:lsdException w:name="Table List 4" w:semiHidden="1" w:uiPriority="0" w:unhideWhenUsed="1"/>
    <w:lsdException w:name="Table List 5" w:semiHidden="1" w:uiPriority="0" w:unhideWhenUsed="1"/>
    <w:lsdException w:name="Table List 6" w:semiHidden="1" w:uiPriority="0" w:unhideWhenUsed="1"/>
    <w:lsdException w:name="Table List 7" w:semiHidden="1" w:uiPriority="0" w:unhideWhenUsed="1"/>
    <w:lsdException w:name="Table List 8" w:semiHidden="1" w:uiPriority="0" w:unhideWhenUsed="1"/>
    <w:lsdException w:name="Table 3D effects 1" w:semiHidden="1" w:uiPriority="0" w:unhideWhenUsed="1"/>
    <w:lsdException w:name="Table 3D effects 2" w:semiHidden="1" w:uiPriority="0" w:unhideWhenUsed="1"/>
    <w:lsdException w:name="Table 3D effects 3" w:semiHidden="1" w:uiPriority="0" w:unhideWhenUsed="1"/>
    <w:lsdException w:name="Table Contemporary" w:semiHidden="1" w:uiPriority="0" w:unhideWhenUsed="1"/>
    <w:lsdException w:name="Table Elegant" w:semiHidden="1" w:uiPriority="0" w:unhideWhenUsed="1"/>
    <w:lsdException w:name="Table Professional" w:semiHidden="1" w:uiPriority="0" w:unhideWhenUsed="1"/>
    <w:lsdException w:name="Table Subtle 1" w:semiHidden="1" w:uiPriority="0" w:unhideWhenUsed="1"/>
    <w:lsdException w:name="Table Subtle 2" w:semiHidden="1" w:uiPriority="0" w:unhideWhenUsed="1"/>
    <w:lsdException w:name="Table Web 1" w:semiHidden="1" w:uiPriority="0" w:unhideWhenUsed="1"/>
    <w:lsdException w:name="Table Web 2" w:semiHidden="1" w:uiPriority="0" w:unhideWhenUsed="1"/>
    <w:lsdException w:name="Table Web 3" w:semiHidden="1" w:uiPriority="0" w:unhideWhenUsed="1"/>
    <w:lsdException w:name="Balloon Text" w:locked="1" w:semiHidden="1" w:unhideWhenUsed="1"/>
    <w:lsdException w:name="Table Grid" w:locked="1" w:uiPriority="39"/>
    <w:lsdException w:name="Table Theme" w:semiHidden="1" w:uiPriority="0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cs="Times New Roman"/>
      <w:lang w:val="en-US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locked/>
    <w:rsid w:val="00E93E79"/>
    <w:pPr>
      <w:tabs>
        <w:tab w:val="center" w:pos="4819"/>
        <w:tab w:val="right" w:pos="9639"/>
      </w:tabs>
    </w:pPr>
  </w:style>
  <w:style w:type="paragraph" w:styleId="a5">
    <w:name w:val="footer"/>
    <w:basedOn w:val="a"/>
    <w:link w:val="a6"/>
    <w:uiPriority w:val="99"/>
    <w:unhideWhenUsed/>
    <w:locked/>
    <w:rsid w:val="00E93E79"/>
    <w:pPr>
      <w:tabs>
        <w:tab w:val="center" w:pos="4819"/>
        <w:tab w:val="right" w:pos="9639"/>
      </w:tabs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E93E79"/>
    <w:rPr>
      <w:rFonts w:cs="Times New Roman"/>
      <w:lang w:val="en-US" w:eastAsia="en-US"/>
    </w:rPr>
  </w:style>
  <w:style w:type="paragraph" w:styleId="a7">
    <w:name w:val="Balloon Text"/>
    <w:basedOn w:val="a"/>
    <w:link w:val="a8"/>
    <w:uiPriority w:val="99"/>
    <w:semiHidden/>
    <w:unhideWhenUsed/>
    <w:locked/>
    <w:rsid w:val="00E93E79"/>
    <w:pPr>
      <w:spacing w:after="0" w:line="240" w:lineRule="auto"/>
    </w:pPr>
    <w:rPr>
      <w:rFonts w:ascii="Segoe UI Symbol" w:hAnsi="Segoe UI Symbol" w:cs="Segoe UI Symbol"/>
      <w:sz w:val="18"/>
      <w:szCs w:val="18"/>
    </w:rPr>
  </w:style>
  <w:style w:type="character" w:customStyle="1" w:styleId="a6">
    <w:name w:val="Нижній колонтитул Знак"/>
    <w:basedOn w:val="a0"/>
    <w:link w:val="a5"/>
    <w:uiPriority w:val="99"/>
    <w:locked/>
    <w:rsid w:val="00E93E79"/>
    <w:rPr>
      <w:rFonts w:cs="Times New Roman"/>
      <w:lang w:val="en-US" w:eastAsia="en-US"/>
    </w:rPr>
  </w:style>
  <w:style w:type="paragraph" w:customStyle="1" w:styleId="StyleAwt">
    <w:name w:val="StyleAwt"/>
    <w:basedOn w:val="a"/>
    <w:rsid w:val="00362FCA"/>
    <w:pPr>
      <w:spacing w:after="0" w:line="220" w:lineRule="exact"/>
    </w:pPr>
    <w:rPr>
      <w:rFonts w:ascii="Times New Roman" w:hAnsi="Times New Roman"/>
      <w:b/>
      <w:i/>
      <w:sz w:val="18"/>
      <w:szCs w:val="20"/>
      <w:u w:val="single"/>
      <w:lang w:val="uk-UA" w:eastAsia="ru-RU"/>
    </w:rPr>
  </w:style>
  <w:style w:type="character" w:customStyle="1" w:styleId="a8">
    <w:name w:val="Текст у виносці Знак"/>
    <w:basedOn w:val="a0"/>
    <w:link w:val="a7"/>
    <w:uiPriority w:val="99"/>
    <w:semiHidden/>
    <w:locked/>
    <w:rsid w:val="00E93E79"/>
    <w:rPr>
      <w:rFonts w:ascii="Segoe UI Symbol" w:hAnsi="Segoe UI Symbol" w:cs="Segoe UI Symbol"/>
      <w:sz w:val="18"/>
      <w:szCs w:val="18"/>
      <w:lang w:val="en-US" w:eastAsia="en-US"/>
    </w:rPr>
  </w:style>
  <w:style w:type="paragraph" w:customStyle="1" w:styleId="rvps2">
    <w:name w:val="rvps2"/>
    <w:basedOn w:val="a"/>
    <w:rsid w:val="00D235FF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rvts46">
    <w:name w:val="rvts46"/>
    <w:rsid w:val="00D235FF"/>
  </w:style>
  <w:style w:type="character" w:styleId="a9">
    <w:name w:val="Hyperlink"/>
    <w:basedOn w:val="a0"/>
    <w:uiPriority w:val="99"/>
    <w:semiHidden/>
    <w:unhideWhenUsed/>
    <w:locked/>
    <w:rsid w:val="00D235FF"/>
    <w:rPr>
      <w:rFonts w:cs="Times New Roman"/>
      <w:color w:val="0000FF"/>
      <w:u w:val="single"/>
    </w:rPr>
  </w:style>
  <w:style w:type="paragraph" w:styleId="aa">
    <w:name w:val="Normal (Web)"/>
    <w:basedOn w:val="a"/>
    <w:uiPriority w:val="99"/>
    <w:semiHidden/>
    <w:unhideWhenUsed/>
    <w:locked/>
    <w:rsid w:val="00D235FF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rvts9">
    <w:name w:val="rvts9"/>
    <w:rsid w:val="007363BA"/>
  </w:style>
  <w:style w:type="paragraph" w:customStyle="1" w:styleId="rvps7">
    <w:name w:val="rvps7"/>
    <w:basedOn w:val="a"/>
    <w:rsid w:val="00456A9A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rvts15">
    <w:name w:val="rvts15"/>
    <w:rsid w:val="00456A9A"/>
  </w:style>
  <w:style w:type="character" w:customStyle="1" w:styleId="rvts37">
    <w:name w:val="rvts37"/>
    <w:basedOn w:val="a0"/>
    <w:rsid w:val="00E8659C"/>
    <w:rPr>
      <w:rFonts w:cs="Times New Roman"/>
    </w:rPr>
  </w:style>
  <w:style w:type="paragraph" w:customStyle="1" w:styleId="rvps12">
    <w:name w:val="rvps12"/>
    <w:basedOn w:val="a"/>
    <w:rsid w:val="00E8659C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rvts40">
    <w:name w:val="rvts40"/>
    <w:basedOn w:val="a0"/>
    <w:rsid w:val="00E8659C"/>
    <w:rPr>
      <w:rFonts w:cs="Times New Roman"/>
    </w:rPr>
  </w:style>
  <w:style w:type="character" w:customStyle="1" w:styleId="rvts23">
    <w:name w:val="rvts23"/>
    <w:basedOn w:val="a0"/>
    <w:rsid w:val="008D0C4A"/>
    <w:rPr>
      <w:rFonts w:cs="Times New Roman"/>
    </w:rPr>
  </w:style>
  <w:style w:type="paragraph" w:customStyle="1" w:styleId="rvps6">
    <w:name w:val="rvps6"/>
    <w:basedOn w:val="a"/>
    <w:rsid w:val="008D0C4A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745745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45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574524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45745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45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45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45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45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45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45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45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45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45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45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45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45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s://zakon.rada.gov.ua/laws/show/3551-12" TargetMode="External"/><Relationship Id="rId18" Type="http://schemas.openxmlformats.org/officeDocument/2006/relationships/hyperlink" Target="https://zakon.rada.gov.ua/laws/show/674%D0%B1-20" TargetMode="External"/><Relationship Id="rId26" Type="http://schemas.openxmlformats.org/officeDocument/2006/relationships/hyperlink" Target="https://zakon.rada.gov.ua/laws/show/2739-15" TargetMode="External"/><Relationship Id="rId3" Type="http://schemas.openxmlformats.org/officeDocument/2006/relationships/customXml" Target="../customXml/item3.xml"/><Relationship Id="rId21" Type="http://schemas.openxmlformats.org/officeDocument/2006/relationships/hyperlink" Target="https://zakon.rada.gov.ua/laws/show/674%D0%B1-20" TargetMode="External"/><Relationship Id="rId7" Type="http://schemas.openxmlformats.org/officeDocument/2006/relationships/webSettings" Target="webSettings.xml"/><Relationship Id="rId12" Type="http://schemas.openxmlformats.org/officeDocument/2006/relationships/hyperlink" Target="https://zakon.rada.gov.ua/laws/show/674%D0%B1-20" TargetMode="External"/><Relationship Id="rId17" Type="http://schemas.openxmlformats.org/officeDocument/2006/relationships/hyperlink" Target="https://zakon.rada.gov.ua/laws/show/3551-12" TargetMode="External"/><Relationship Id="rId25" Type="http://schemas.openxmlformats.org/officeDocument/2006/relationships/hyperlink" Target="https://zakon.rada.gov.ua/laws/show/2739-15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zakon.rada.gov.ua/laws/show/3551-12" TargetMode="External"/><Relationship Id="rId20" Type="http://schemas.openxmlformats.org/officeDocument/2006/relationships/hyperlink" Target="https://zakon.rada.gov.ua/laws/show/3551-12" TargetMode="External"/><Relationship Id="rId29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zakon.rada.gov.ua/laws/show/2755-17" TargetMode="External"/><Relationship Id="rId24" Type="http://schemas.openxmlformats.org/officeDocument/2006/relationships/hyperlink" Target="https://zakon.rada.gov.ua/laws/show/2739-15" TargetMode="External"/><Relationship Id="rId5" Type="http://schemas.openxmlformats.org/officeDocument/2006/relationships/styles" Target="styles.xml"/><Relationship Id="rId15" Type="http://schemas.openxmlformats.org/officeDocument/2006/relationships/hyperlink" Target="https://zakon.rada.gov.ua/laws/show/674%D0%B1-20" TargetMode="External"/><Relationship Id="rId23" Type="http://schemas.openxmlformats.org/officeDocument/2006/relationships/hyperlink" Target="https://zakon.rada.gov.ua/laws/show/3551-12" TargetMode="External"/><Relationship Id="rId28" Type="http://schemas.openxmlformats.org/officeDocument/2006/relationships/hyperlink" Target="https://zakon.rada.gov.ua/laws/show/584%D0%B1-18" TargetMode="External"/><Relationship Id="rId10" Type="http://schemas.openxmlformats.org/officeDocument/2006/relationships/hyperlink" Target="https://zakon.rada.gov.ua/laws/show/2755-17" TargetMode="External"/><Relationship Id="rId19" Type="http://schemas.openxmlformats.org/officeDocument/2006/relationships/hyperlink" Target="https://zakon.rada.gov.ua/laws/show/3551-12" TargetMode="External"/><Relationship Id="rId31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s://zakon.rada.gov.ua/laws/show/3551-12" TargetMode="External"/><Relationship Id="rId22" Type="http://schemas.openxmlformats.org/officeDocument/2006/relationships/hyperlink" Target="https://zakon.rada.gov.ua/laws/show/3551-12" TargetMode="External"/><Relationship Id="rId27" Type="http://schemas.openxmlformats.org/officeDocument/2006/relationships/hyperlink" Target="https://zakon.rada.gov.ua/laws/show/2739-15" TargetMode="External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C4DEB63-83C3-4B1D-86F3-DC1E5E33B56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37D04DC-4B72-4DBB-843F-18A45C39188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75E3AA49-A858-4083-ABCB-6850BCCB25BD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9912</Words>
  <Characters>5651</Characters>
  <Application>Microsoft Office Word</Application>
  <DocSecurity>0</DocSecurity>
  <Lines>47</Lines>
  <Paragraphs>31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2021-09-13T08:17:00Z</dcterms:created>
  <dcterms:modified xsi:type="dcterms:W3CDTF">2021-09-13T08:17:00Z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