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F2A60" w14:textId="77777777" w:rsidR="00D47EE5" w:rsidRPr="00C8554D" w:rsidRDefault="00D47EE5" w:rsidP="00D47EE5">
      <w:pPr>
        <w:pStyle w:val="1"/>
        <w:tabs>
          <w:tab w:val="left" w:pos="5330"/>
        </w:tabs>
        <w:jc w:val="center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  <w:r w:rsidRPr="00C8554D">
        <w:rPr>
          <w:rFonts w:ascii="Times New Roman" w:hAnsi="Times New Roman" w:cs="Times New Roman"/>
          <w:sz w:val="25"/>
          <w:szCs w:val="25"/>
        </w:rPr>
        <w:t>ПОРІВНЯЛЬНА ТАБЛИЦЯ</w:t>
      </w:r>
    </w:p>
    <w:p w14:paraId="58D98528" w14:textId="77777777" w:rsidR="00D47EE5" w:rsidRPr="00C8554D" w:rsidRDefault="00D47EE5" w:rsidP="00D47EE5">
      <w:pPr>
        <w:pStyle w:val="a5"/>
        <w:rPr>
          <w:sz w:val="25"/>
          <w:szCs w:val="25"/>
        </w:rPr>
      </w:pPr>
      <w:r w:rsidRPr="00C8554D">
        <w:rPr>
          <w:b w:val="0"/>
          <w:sz w:val="25"/>
          <w:szCs w:val="25"/>
        </w:rPr>
        <w:t>до проекту Закону України</w:t>
      </w:r>
      <w:r w:rsidR="0001542A" w:rsidRPr="00C8554D">
        <w:rPr>
          <w:sz w:val="25"/>
          <w:szCs w:val="25"/>
        </w:rPr>
        <w:t xml:space="preserve"> “</w:t>
      </w:r>
      <w:r w:rsidRPr="00C8554D">
        <w:rPr>
          <w:sz w:val="25"/>
          <w:szCs w:val="25"/>
        </w:rPr>
        <w:t xml:space="preserve">Про внесення змін до Закону України </w:t>
      </w:r>
    </w:p>
    <w:p w14:paraId="2BD63908" w14:textId="77777777" w:rsidR="00D47EE5" w:rsidRPr="00C8554D" w:rsidRDefault="00D47EE5" w:rsidP="00D47EE5">
      <w:pPr>
        <w:pStyle w:val="a5"/>
        <w:rPr>
          <w:sz w:val="25"/>
          <w:szCs w:val="25"/>
        </w:rPr>
      </w:pPr>
      <w:r w:rsidRPr="00C8554D">
        <w:rPr>
          <w:sz w:val="25"/>
          <w:szCs w:val="25"/>
        </w:rPr>
        <w:t>“Про передачу об’єктів права державної та комунальної власності”</w:t>
      </w:r>
    </w:p>
    <w:tbl>
      <w:tblPr>
        <w:tblStyle w:val="a4"/>
        <w:tblpPr w:leftFromText="180" w:rightFromText="180" w:vertAnchor="text" w:horzAnchor="margin" w:tblpY="221"/>
        <w:tblW w:w="15838" w:type="dxa"/>
        <w:tblLook w:val="01E0" w:firstRow="1" w:lastRow="1" w:firstColumn="1" w:lastColumn="1" w:noHBand="0" w:noVBand="0"/>
      </w:tblPr>
      <w:tblGrid>
        <w:gridCol w:w="7908"/>
        <w:gridCol w:w="7930"/>
      </w:tblGrid>
      <w:tr w:rsidR="0016231C" w:rsidRPr="00C8554D" w14:paraId="4048BCD6" w14:textId="77777777" w:rsidTr="00940ECC">
        <w:trPr>
          <w:trHeight w:val="525"/>
          <w:tblHeader/>
        </w:trPr>
        <w:tc>
          <w:tcPr>
            <w:tcW w:w="7908" w:type="dxa"/>
            <w:vAlign w:val="center"/>
          </w:tcPr>
          <w:p w14:paraId="5456B827" w14:textId="77777777" w:rsidR="0016231C" w:rsidRPr="00C8554D" w:rsidRDefault="0001542A" w:rsidP="0001542A">
            <w:pPr>
              <w:autoSpaceDE w:val="0"/>
              <w:autoSpaceDN w:val="0"/>
              <w:adjustRightInd w:val="0"/>
              <w:jc w:val="center"/>
              <w:rPr>
                <w:i w:val="0"/>
                <w:sz w:val="25"/>
                <w:szCs w:val="25"/>
                <w:highlight w:val="yellow"/>
              </w:rPr>
            </w:pPr>
            <w:bookmarkStart w:id="1" w:name="o14"/>
            <w:bookmarkEnd w:id="1"/>
            <w:r w:rsidRPr="00C8554D">
              <w:rPr>
                <w:b/>
                <w:i w:val="0"/>
                <w:sz w:val="25"/>
                <w:szCs w:val="25"/>
              </w:rPr>
              <w:t>Зміст положення (норми) чинного законодавства</w:t>
            </w:r>
          </w:p>
        </w:tc>
        <w:tc>
          <w:tcPr>
            <w:tcW w:w="7930" w:type="dxa"/>
            <w:vAlign w:val="center"/>
          </w:tcPr>
          <w:p w14:paraId="1DE39E9D" w14:textId="77777777" w:rsidR="0016231C" w:rsidRPr="00C8554D" w:rsidRDefault="0001542A" w:rsidP="0001542A">
            <w:pPr>
              <w:autoSpaceDE w:val="0"/>
              <w:autoSpaceDN w:val="0"/>
              <w:adjustRightInd w:val="0"/>
              <w:jc w:val="center"/>
              <w:rPr>
                <w:b/>
                <w:i w:val="0"/>
                <w:sz w:val="25"/>
                <w:szCs w:val="25"/>
              </w:rPr>
            </w:pPr>
            <w:r w:rsidRPr="00C8554D">
              <w:rPr>
                <w:b/>
                <w:i w:val="0"/>
                <w:sz w:val="25"/>
                <w:szCs w:val="25"/>
              </w:rPr>
              <w:t>Зміст відповідного положення (норми) проекту акта</w:t>
            </w:r>
          </w:p>
        </w:tc>
      </w:tr>
      <w:tr w:rsidR="0001542A" w:rsidRPr="00C8554D" w14:paraId="1210A567" w14:textId="77777777" w:rsidTr="00940ECC">
        <w:trPr>
          <w:trHeight w:val="501"/>
          <w:tblHeader/>
        </w:trPr>
        <w:tc>
          <w:tcPr>
            <w:tcW w:w="15838" w:type="dxa"/>
            <w:gridSpan w:val="2"/>
            <w:vAlign w:val="center"/>
          </w:tcPr>
          <w:p w14:paraId="41812260" w14:textId="77777777" w:rsidR="0001542A" w:rsidRPr="00C8554D" w:rsidRDefault="0001542A" w:rsidP="0001542A">
            <w:pPr>
              <w:autoSpaceDE w:val="0"/>
              <w:autoSpaceDN w:val="0"/>
              <w:adjustRightInd w:val="0"/>
              <w:jc w:val="center"/>
              <w:rPr>
                <w:b/>
                <w:i w:val="0"/>
                <w:sz w:val="25"/>
                <w:szCs w:val="25"/>
              </w:rPr>
            </w:pPr>
            <w:r w:rsidRPr="00C8554D">
              <w:rPr>
                <w:b/>
                <w:i w:val="0"/>
                <w:sz w:val="25"/>
                <w:szCs w:val="25"/>
              </w:rPr>
              <w:t>Закон України "Про передачу об'єктів права державної та комунальної власності"</w:t>
            </w:r>
          </w:p>
        </w:tc>
      </w:tr>
      <w:tr w:rsidR="00C8554D" w:rsidRPr="00C8554D" w14:paraId="083DF923" w14:textId="77777777" w:rsidTr="003159AF">
        <w:trPr>
          <w:trHeight w:val="921"/>
        </w:trPr>
        <w:tc>
          <w:tcPr>
            <w:tcW w:w="7908" w:type="dxa"/>
          </w:tcPr>
          <w:p w14:paraId="094374AC" w14:textId="77777777" w:rsidR="00C8554D" w:rsidRPr="00C8554D" w:rsidRDefault="00C8554D" w:rsidP="00C8554D">
            <w:pPr>
              <w:autoSpaceDE w:val="0"/>
              <w:autoSpaceDN w:val="0"/>
              <w:adjustRightInd w:val="0"/>
              <w:jc w:val="both"/>
              <w:rPr>
                <w:b/>
                <w:i w:val="0"/>
                <w:sz w:val="25"/>
                <w:szCs w:val="25"/>
              </w:rPr>
            </w:pPr>
            <w:r w:rsidRPr="00C8554D">
              <w:rPr>
                <w:b/>
                <w:i w:val="0"/>
                <w:sz w:val="25"/>
                <w:szCs w:val="25"/>
              </w:rPr>
              <w:t>Стаття 7. Умови передачі об'єктів</w:t>
            </w:r>
          </w:p>
          <w:p w14:paraId="7BDFB2C9" w14:textId="77777777" w:rsidR="00C8554D" w:rsidRPr="00C8554D" w:rsidRDefault="00C8554D" w:rsidP="00C8554D">
            <w:pPr>
              <w:autoSpaceDE w:val="0"/>
              <w:autoSpaceDN w:val="0"/>
              <w:adjustRightInd w:val="0"/>
              <w:jc w:val="both"/>
              <w:rPr>
                <w:i w:val="0"/>
                <w:sz w:val="25"/>
                <w:szCs w:val="25"/>
              </w:rPr>
            </w:pPr>
            <w:r w:rsidRPr="00C8554D">
              <w:rPr>
                <w:i w:val="0"/>
                <w:sz w:val="25"/>
                <w:szCs w:val="25"/>
              </w:rPr>
              <w:t>1. З державної у комунальну власність передаються безоплатно такі об'єкти:</w:t>
            </w:r>
          </w:p>
          <w:p w14:paraId="4FDAD416" w14:textId="77777777" w:rsidR="00C8554D" w:rsidRPr="00C8554D" w:rsidRDefault="00C8554D" w:rsidP="00C8554D">
            <w:pPr>
              <w:autoSpaceDE w:val="0"/>
              <w:autoSpaceDN w:val="0"/>
              <w:adjustRightInd w:val="0"/>
              <w:jc w:val="both"/>
              <w:rPr>
                <w:i w:val="0"/>
                <w:sz w:val="25"/>
                <w:szCs w:val="25"/>
              </w:rPr>
            </w:pPr>
            <w:r w:rsidRPr="00C8554D">
              <w:rPr>
                <w:i w:val="0"/>
                <w:sz w:val="25"/>
                <w:szCs w:val="25"/>
              </w:rPr>
              <w:t>………………..</w:t>
            </w:r>
          </w:p>
          <w:p w14:paraId="2726924C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>Також передаються безоплатно за умови взяття органами місцевого самоврядування зобов’язання використовувати за цільовим призначенням і не відчужувати в приватну власність такі об’єкти:</w:t>
            </w:r>
          </w:p>
          <w:p w14:paraId="0DC72AAE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2" w:name="n133"/>
            <w:bookmarkEnd w:id="2"/>
            <w:r>
              <w:rPr>
                <w:color w:val="333333"/>
              </w:rPr>
              <w:t>навчальні заклади, заклади культури (крім кінотеатрів), фізичної культури та спорту, охорони здоров’я (крім санаторіїв, профілакторіїв, будинків відпочинку та аптек), соціального забезпечення, дитячі оздоровчі табори, у тому числі ті, будівництво яких не завершено;</w:t>
            </w:r>
          </w:p>
          <w:p w14:paraId="2CBD0A1D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3" w:name="n134"/>
            <w:bookmarkEnd w:id="3"/>
            <w:r>
              <w:rPr>
                <w:color w:val="333333"/>
              </w:rPr>
              <w:t>нерухоме майно для розміщення органів місцевого самоврядування (у разі відсутності власних приміщень), розвитку мережі закладів, зазначених в</w:t>
            </w:r>
            <w:r>
              <w:rPr>
                <w:rStyle w:val="apple-converted-space"/>
                <w:color w:val="333333"/>
              </w:rPr>
              <w:t> </w:t>
            </w:r>
            <w:hyperlink r:id="rId9" w:anchor="n133" w:history="1">
              <w:r>
                <w:rPr>
                  <w:rStyle w:val="af"/>
                  <w:color w:val="006600"/>
                </w:rPr>
                <w:t>абзаці п’ятому</w:t>
              </w:r>
            </w:hyperlink>
            <w:r>
              <w:rPr>
                <w:rStyle w:val="apple-converted-space"/>
                <w:color w:val="333333"/>
              </w:rPr>
              <w:t> </w:t>
            </w:r>
            <w:r>
              <w:rPr>
                <w:color w:val="333333"/>
              </w:rPr>
              <w:t>цієї частини;</w:t>
            </w:r>
          </w:p>
          <w:p w14:paraId="6B39B726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4" w:name="n135"/>
            <w:bookmarkEnd w:id="4"/>
            <w:r>
              <w:rPr>
                <w:color w:val="333333"/>
              </w:rPr>
              <w:t>цілісні майнові комплекси підприємств теплопостачання, теплоелектроцентралі, котельні з тепловими мережами, які виробляють теплову енергію для споживачів послуг житлово-комунальної сфери, бюджетних установ та організацій;</w:t>
            </w:r>
          </w:p>
          <w:p w14:paraId="20342AFC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5" w:name="n136"/>
            <w:bookmarkEnd w:id="5"/>
            <w:r>
              <w:rPr>
                <w:color w:val="333333"/>
              </w:rPr>
              <w:t>об’єкти інженерної інфраструктури водопровідно-каналізаційного та газового господарства (включаючи мережі, споруди, устаткування), пов’язані з постачанням споживачам води, газу, відведенням і очищенням стічних вод, а також об’єкти благоустрою населених пунктів;</w:t>
            </w:r>
          </w:p>
          <w:p w14:paraId="0C61DAE5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6" w:name="n137"/>
            <w:bookmarkEnd w:id="6"/>
            <w:r>
              <w:rPr>
                <w:color w:val="333333"/>
              </w:rPr>
              <w:t xml:space="preserve">військові містечка (майнові комплекси), інше нерухоме та окреме індивідуально визначене (рухоме) військове майно (крім усіх видів озброєння, бойової техніки та боєприпасів), яке вивільняється в процесі реформування Збройних Сил України і не планується до використання у Збройних Силах України та не включено до відповідного переліку </w:t>
            </w:r>
            <w:r>
              <w:rPr>
                <w:color w:val="333333"/>
              </w:rPr>
              <w:lastRenderedPageBreak/>
              <w:t>військового майна, яке підлягає відчуженню (крім житлових будинків та гуртожитків, безоплатна передача яких здійснюється відповідно до</w:t>
            </w:r>
            <w:r>
              <w:rPr>
                <w:rStyle w:val="apple-converted-space"/>
                <w:color w:val="333333"/>
              </w:rPr>
              <w:t> </w:t>
            </w:r>
            <w:hyperlink r:id="rId10" w:anchor="n130" w:history="1">
              <w:r>
                <w:rPr>
                  <w:rStyle w:val="af"/>
                  <w:color w:val="006600"/>
                </w:rPr>
                <w:t>абзацу другого</w:t>
              </w:r>
            </w:hyperlink>
            <w:r>
              <w:rPr>
                <w:rStyle w:val="apple-converted-space"/>
                <w:color w:val="333333"/>
              </w:rPr>
              <w:t> </w:t>
            </w:r>
            <w:r>
              <w:rPr>
                <w:color w:val="333333"/>
              </w:rPr>
              <w:t>частини першої цієї статті);</w:t>
            </w:r>
          </w:p>
          <w:p w14:paraId="21173266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7" w:name="n138"/>
            <w:bookmarkEnd w:id="7"/>
            <w:r>
              <w:rPr>
                <w:color w:val="333333"/>
              </w:rPr>
              <w:t>цілісні майнові комплекси підприємств та об’єкти міського і приміського транспорту, дорожнього господарства, спеціалізовані підприємства з установлення та експлуатації технічних засобів організації дорожнього руху разом з майном, яке вони обслуговують, а також акції (частки, паї) господарських товариств, утворених на базі їх майна (у разі, якщо щодо них не було прийнято рішення про закріплення їх у державній власності);</w:t>
            </w:r>
          </w:p>
          <w:p w14:paraId="11F5372B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8" w:name="n139"/>
            <w:bookmarkEnd w:id="8"/>
            <w:r>
              <w:rPr>
                <w:color w:val="333333"/>
              </w:rPr>
              <w:t>аеропорти цивільної та колишні аеропорти військової авіації, які не мають можливості самостійно забезпечувати свою сертифікаційну придатність, за поданням центрального органу виконавчої влади в галузі транспорту і Міністерства оборони України;</w:t>
            </w:r>
          </w:p>
          <w:p w14:paraId="0752245F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9" w:name="n140"/>
            <w:bookmarkEnd w:id="9"/>
            <w:r>
              <w:rPr>
                <w:color w:val="333333"/>
              </w:rPr>
              <w:t>водогосподарські та гідротехнічні споруди, інженерна інфраструктура меліоративних систем та її окремі об’єкти (крім інженерної інфраструктури загальнодержавних меліоративних систем та її окремих об’єктів);</w:t>
            </w:r>
          </w:p>
          <w:p w14:paraId="754A0961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0" w:name="n141"/>
            <w:bookmarkEnd w:id="10"/>
            <w:r>
              <w:rPr>
                <w:color w:val="333333"/>
              </w:rPr>
              <w:t>захисні споруди цивільного захисту, у тому числі ті, що перебувають у складі об'єктів незавершеного будівництва;</w:t>
            </w:r>
            <w:r>
              <w:rPr>
                <w:rStyle w:val="apple-converted-space"/>
                <w:color w:val="333333"/>
              </w:rPr>
              <w:t> </w:t>
            </w:r>
          </w:p>
          <w:p w14:paraId="00743FCD" w14:textId="06C045E3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1" w:name="n142"/>
            <w:bookmarkStart w:id="12" w:name="n143"/>
            <w:bookmarkEnd w:id="11"/>
            <w:bookmarkEnd w:id="12"/>
            <w:r>
              <w:rPr>
                <w:color w:val="333333"/>
              </w:rPr>
              <w:t>окреме індивідуально визначене майно підприємств (крім нерухомого майна) для використання органами місцевого самоврядування та закладами, зазначеними в</w:t>
            </w:r>
            <w:r>
              <w:rPr>
                <w:rStyle w:val="apple-converted-space"/>
                <w:color w:val="333333"/>
              </w:rPr>
              <w:t> </w:t>
            </w:r>
            <w:hyperlink r:id="rId11" w:anchor="n133" w:history="1">
              <w:r>
                <w:rPr>
                  <w:rStyle w:val="af"/>
                  <w:color w:val="006600"/>
                </w:rPr>
                <w:t>абзаці п’ятому</w:t>
              </w:r>
            </w:hyperlink>
            <w:r>
              <w:rPr>
                <w:color w:val="333333"/>
              </w:rPr>
              <w:t xml:space="preserve"> цієї частини.</w:t>
            </w:r>
          </w:p>
          <w:p w14:paraId="06C12AF4" w14:textId="10A1B843" w:rsidR="00C8554D" w:rsidRPr="009E5F18" w:rsidRDefault="00C8554D" w:rsidP="00C8554D">
            <w:pPr>
              <w:autoSpaceDE w:val="0"/>
              <w:autoSpaceDN w:val="0"/>
              <w:adjustRightInd w:val="0"/>
              <w:jc w:val="both"/>
              <w:rPr>
                <w:i w:val="0"/>
                <w:sz w:val="25"/>
                <w:szCs w:val="25"/>
              </w:rPr>
            </w:pPr>
          </w:p>
          <w:p w14:paraId="3B998F7C" w14:textId="77777777" w:rsidR="00C8554D" w:rsidRPr="00C8554D" w:rsidRDefault="00C8554D" w:rsidP="00C8554D">
            <w:pPr>
              <w:autoSpaceDE w:val="0"/>
              <w:autoSpaceDN w:val="0"/>
              <w:adjustRightInd w:val="0"/>
              <w:jc w:val="both"/>
              <w:rPr>
                <w:i w:val="0"/>
                <w:sz w:val="25"/>
                <w:szCs w:val="25"/>
              </w:rPr>
            </w:pPr>
          </w:p>
          <w:p w14:paraId="0D224E68" w14:textId="77777777" w:rsidR="00C8554D" w:rsidRPr="00C8554D" w:rsidRDefault="00C8554D" w:rsidP="00C8554D">
            <w:pPr>
              <w:autoSpaceDE w:val="0"/>
              <w:autoSpaceDN w:val="0"/>
              <w:adjustRightInd w:val="0"/>
              <w:jc w:val="both"/>
              <w:rPr>
                <w:i w:val="0"/>
                <w:sz w:val="25"/>
                <w:szCs w:val="25"/>
              </w:rPr>
            </w:pPr>
          </w:p>
          <w:p w14:paraId="7826B4C2" w14:textId="77777777" w:rsidR="00C8554D" w:rsidRPr="00C8554D" w:rsidRDefault="00C8554D" w:rsidP="00C8554D">
            <w:pPr>
              <w:autoSpaceDE w:val="0"/>
              <w:autoSpaceDN w:val="0"/>
              <w:adjustRightInd w:val="0"/>
              <w:jc w:val="both"/>
              <w:rPr>
                <w:i w:val="0"/>
                <w:sz w:val="25"/>
                <w:szCs w:val="25"/>
              </w:rPr>
            </w:pPr>
          </w:p>
          <w:p w14:paraId="7FF17387" w14:textId="77777777" w:rsidR="00C8554D" w:rsidRPr="00C8554D" w:rsidRDefault="00C8554D" w:rsidP="00C8554D">
            <w:pPr>
              <w:autoSpaceDE w:val="0"/>
              <w:autoSpaceDN w:val="0"/>
              <w:adjustRightInd w:val="0"/>
              <w:jc w:val="both"/>
              <w:rPr>
                <w:i w:val="0"/>
                <w:sz w:val="25"/>
                <w:szCs w:val="25"/>
              </w:rPr>
            </w:pPr>
          </w:p>
        </w:tc>
        <w:tc>
          <w:tcPr>
            <w:tcW w:w="7930" w:type="dxa"/>
          </w:tcPr>
          <w:p w14:paraId="6CEA0863" w14:textId="77777777" w:rsidR="00C8554D" w:rsidRPr="00C8554D" w:rsidRDefault="00C8554D" w:rsidP="00C8554D">
            <w:pPr>
              <w:autoSpaceDE w:val="0"/>
              <w:autoSpaceDN w:val="0"/>
              <w:adjustRightInd w:val="0"/>
              <w:jc w:val="both"/>
              <w:rPr>
                <w:b/>
                <w:i w:val="0"/>
                <w:sz w:val="25"/>
                <w:szCs w:val="25"/>
              </w:rPr>
            </w:pPr>
            <w:r w:rsidRPr="00C8554D">
              <w:rPr>
                <w:b/>
                <w:i w:val="0"/>
                <w:sz w:val="25"/>
                <w:szCs w:val="25"/>
              </w:rPr>
              <w:lastRenderedPageBreak/>
              <w:t>Стаття 7. Умови передачі об'єктів</w:t>
            </w:r>
          </w:p>
          <w:p w14:paraId="6950B207" w14:textId="77777777" w:rsidR="00C8554D" w:rsidRPr="00C8554D" w:rsidRDefault="00C8554D" w:rsidP="00C8554D">
            <w:pPr>
              <w:autoSpaceDE w:val="0"/>
              <w:autoSpaceDN w:val="0"/>
              <w:adjustRightInd w:val="0"/>
              <w:jc w:val="both"/>
              <w:rPr>
                <w:i w:val="0"/>
                <w:sz w:val="25"/>
                <w:szCs w:val="25"/>
              </w:rPr>
            </w:pPr>
            <w:r w:rsidRPr="00C8554D">
              <w:rPr>
                <w:i w:val="0"/>
                <w:sz w:val="25"/>
                <w:szCs w:val="25"/>
              </w:rPr>
              <w:t>1. З державної у комунальну власність передаються безоплатно такі об'єкти:</w:t>
            </w:r>
          </w:p>
          <w:p w14:paraId="57CA9E51" w14:textId="77777777" w:rsidR="00C8554D" w:rsidRPr="00C8554D" w:rsidRDefault="00C8554D" w:rsidP="00C8554D">
            <w:pPr>
              <w:autoSpaceDE w:val="0"/>
              <w:autoSpaceDN w:val="0"/>
              <w:adjustRightInd w:val="0"/>
              <w:jc w:val="both"/>
              <w:rPr>
                <w:i w:val="0"/>
                <w:sz w:val="25"/>
                <w:szCs w:val="25"/>
              </w:rPr>
            </w:pPr>
            <w:r w:rsidRPr="00C8554D">
              <w:rPr>
                <w:i w:val="0"/>
                <w:sz w:val="25"/>
                <w:szCs w:val="25"/>
              </w:rPr>
              <w:t>………………..</w:t>
            </w:r>
          </w:p>
          <w:p w14:paraId="0B88CDC2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>Також передаються безоплатно за умови взяття органами місцевого самоврядування зобов’язання використовувати за цільовим призначенням і не відчужувати в приватну власність такі об’єкти:</w:t>
            </w:r>
          </w:p>
          <w:p w14:paraId="1A4A3909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>навчальні заклади, заклади культури (крім кінотеатрів), фізичної культури та спорту, охорони здоров’я (крім санаторіїв, профілакторіїв, будинків відпочинку та аптек), соціального забезпечення, дитячі оздоровчі табори, у тому числі ті, будівництво яких не завершено;</w:t>
            </w:r>
          </w:p>
          <w:p w14:paraId="2C7AD288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>нерухоме майно для розміщення органів місцевого самоврядування (у разі відсутності власних приміщень), розвитку мережі закладів, зазначених в</w:t>
            </w:r>
            <w:r>
              <w:rPr>
                <w:rStyle w:val="apple-converted-space"/>
                <w:color w:val="333333"/>
              </w:rPr>
              <w:t> </w:t>
            </w:r>
            <w:hyperlink r:id="rId12" w:anchor="n133" w:history="1">
              <w:r>
                <w:rPr>
                  <w:rStyle w:val="af"/>
                  <w:color w:val="006600"/>
                </w:rPr>
                <w:t>абзаці п’ятому</w:t>
              </w:r>
            </w:hyperlink>
            <w:r>
              <w:rPr>
                <w:rStyle w:val="apple-converted-space"/>
                <w:color w:val="333333"/>
              </w:rPr>
              <w:t> </w:t>
            </w:r>
            <w:r>
              <w:rPr>
                <w:color w:val="333333"/>
              </w:rPr>
              <w:t>цієї частини;</w:t>
            </w:r>
          </w:p>
          <w:p w14:paraId="7EEB7116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>цілісні майнові комплекси підприємств теплопостачання, теплоелектроцентралі, котельні з тепловими мережами, які виробляють теплову енергію для споживачів послуг житлово-комунальної сфери, бюджетних установ та організацій;</w:t>
            </w:r>
          </w:p>
          <w:p w14:paraId="295E5659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>об’єкти інженерної інфраструктури водопровідно-каналізаційного та газового господарства (включаючи мережі, споруди, устаткування), пов’язані з постачанням споживачам води, газу, відведенням і очищенням стічних вод, а також об’єкти благоустрою населених пунктів;</w:t>
            </w:r>
          </w:p>
          <w:p w14:paraId="232369D4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 xml:space="preserve">військові містечка (майнові комплекси), інше нерухоме та окреме індивідуально визначене (рухоме) військове майно (крім усіх видів озброєння, бойової техніки та боєприпасів), яке вивільняється в процесі реформування Збройних Сил України і не планується до використання у Збройних Силах України та не включено до відповідного переліку </w:t>
            </w:r>
            <w:r>
              <w:rPr>
                <w:color w:val="333333"/>
              </w:rPr>
              <w:lastRenderedPageBreak/>
              <w:t>військового майна, яке підлягає відчуженню (крім житлових будинків та гуртожитків, безоплатна передача яких здійснюється відповідно до</w:t>
            </w:r>
            <w:r>
              <w:rPr>
                <w:rStyle w:val="apple-converted-space"/>
                <w:color w:val="333333"/>
              </w:rPr>
              <w:t> </w:t>
            </w:r>
            <w:hyperlink r:id="rId13" w:anchor="n130" w:history="1">
              <w:r>
                <w:rPr>
                  <w:rStyle w:val="af"/>
                  <w:color w:val="006600"/>
                </w:rPr>
                <w:t>абзацу другого</w:t>
              </w:r>
            </w:hyperlink>
            <w:r>
              <w:rPr>
                <w:rStyle w:val="apple-converted-space"/>
                <w:color w:val="333333"/>
              </w:rPr>
              <w:t> </w:t>
            </w:r>
            <w:r>
              <w:rPr>
                <w:color w:val="333333"/>
              </w:rPr>
              <w:t>частини першої цієї статті);</w:t>
            </w:r>
          </w:p>
          <w:p w14:paraId="209FA729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>цілісні майнові комплекси підприємств та об’єкти міського і приміського транспорту, дорожнього господарства, спеціалізовані підприємства з установлення та експлуатації технічних засобів організації дорожнього руху разом з майном, яке вони обслуговують, а також акції (частки, паї) господарських товариств, утворених на базі їх майна (у разі, якщо щодо них не було прийнято рішення про закріплення їх у державній власності);</w:t>
            </w:r>
          </w:p>
          <w:p w14:paraId="27DC8BC4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>аеропорти цивільної та колишні аеропорти військової авіації, які не мають можливості самостійно забезпечувати свою сертифікаційну придатність, за поданням центрального органу виконавчої влади в галузі транспорту і Міністерства оборони України;</w:t>
            </w:r>
          </w:p>
          <w:p w14:paraId="52EA96B3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>водогосподарські та гідротехнічні споруди, інженерна інфраструктура меліоративних систем та її окремі об’єкти (крім інженерної інфраструктури загальнодержавних меліоративних систем та її окремих об’єктів);</w:t>
            </w:r>
          </w:p>
          <w:p w14:paraId="0CA42939" w14:textId="77777777" w:rsid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>захисні споруди цивільного захисту, у тому числі ті, що перебувають у складі об'єктів незавершеного будівництва;</w:t>
            </w:r>
            <w:r>
              <w:rPr>
                <w:rStyle w:val="apple-converted-space"/>
                <w:color w:val="333333"/>
              </w:rPr>
              <w:t> </w:t>
            </w:r>
          </w:p>
          <w:p w14:paraId="16495750" w14:textId="77777777" w:rsidR="00C8554D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>окреме індивідуально визначене майно підприємств (крім нерухомого майна) для використання органами місцевого самоврядування та закладами, зазначеними в</w:t>
            </w:r>
            <w:r w:rsidRPr="009E5F18">
              <w:t> </w:t>
            </w:r>
            <w:hyperlink r:id="rId14" w:anchor="n133" w:history="1">
              <w:r w:rsidRPr="009E5F18">
                <w:rPr>
                  <w:color w:val="333333"/>
                </w:rPr>
                <w:t>абзаці п’ятому</w:t>
              </w:r>
            </w:hyperlink>
            <w:r w:rsidRPr="009E5F18">
              <w:rPr>
                <w:color w:val="333333"/>
              </w:rPr>
              <w:t xml:space="preserve"> </w:t>
            </w:r>
            <w:r>
              <w:rPr>
                <w:color w:val="333333"/>
              </w:rPr>
              <w:t>цієї частини;</w:t>
            </w:r>
          </w:p>
          <w:p w14:paraId="47DD1A12" w14:textId="1DEA9313" w:rsidR="009E5F18" w:rsidRPr="009E5F18" w:rsidRDefault="009E5F18" w:rsidP="009E5F1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b/>
                <w:bCs/>
                <w:iCs/>
                <w:sz w:val="25"/>
                <w:szCs w:val="25"/>
              </w:rPr>
            </w:pPr>
            <w:r w:rsidRPr="009E5F18">
              <w:rPr>
                <w:b/>
                <w:bCs/>
              </w:rPr>
              <w:t>цілісні майнові комплекси підприємств водопровідно-каналізаційного господарства.</w:t>
            </w:r>
          </w:p>
        </w:tc>
      </w:tr>
    </w:tbl>
    <w:p w14:paraId="4C8B69F6" w14:textId="77777777" w:rsidR="000F501D" w:rsidRPr="00C8554D" w:rsidRDefault="000F501D" w:rsidP="000F501D">
      <w:pPr>
        <w:pStyle w:val="a3"/>
        <w:tabs>
          <w:tab w:val="left" w:pos="0"/>
          <w:tab w:val="left" w:pos="650"/>
        </w:tabs>
        <w:spacing w:before="0"/>
        <w:ind w:firstLine="0"/>
        <w:rPr>
          <w:rFonts w:ascii="Times New Roman" w:hAnsi="Times New Roman"/>
          <w:b/>
          <w:snapToGrid w:val="0"/>
          <w:sz w:val="25"/>
          <w:szCs w:val="25"/>
        </w:rPr>
      </w:pPr>
    </w:p>
    <w:p w14:paraId="1B6CEFB1" w14:textId="48F4E803" w:rsidR="00CB6787" w:rsidRDefault="00CB6787" w:rsidP="000F501D">
      <w:pPr>
        <w:pStyle w:val="a3"/>
        <w:tabs>
          <w:tab w:val="left" w:pos="0"/>
          <w:tab w:val="left" w:pos="650"/>
        </w:tabs>
        <w:spacing w:before="0"/>
        <w:ind w:firstLine="0"/>
        <w:rPr>
          <w:rFonts w:ascii="Times New Roman" w:hAnsi="Times New Roman"/>
          <w:b/>
          <w:snapToGrid w:val="0"/>
          <w:sz w:val="25"/>
          <w:szCs w:val="25"/>
        </w:rPr>
      </w:pPr>
    </w:p>
    <w:sectPr w:rsidR="00CB6787" w:rsidSect="00CB6787">
      <w:headerReference w:type="even" r:id="rId15"/>
      <w:headerReference w:type="default" r:id="rId16"/>
      <w:pgSz w:w="16838" w:h="11906" w:orient="landscape"/>
      <w:pgMar w:top="354" w:right="737" w:bottom="851" w:left="737" w:header="720" w:footer="720" w:gutter="0"/>
      <w:cols w:space="34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243C83" w14:textId="77777777" w:rsidR="00013673" w:rsidRDefault="00013673">
      <w:r>
        <w:separator/>
      </w:r>
    </w:p>
  </w:endnote>
  <w:endnote w:type="continuationSeparator" w:id="0">
    <w:p w14:paraId="70D956E0" w14:textId="77777777" w:rsidR="00013673" w:rsidRDefault="0001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5D388A" w14:textId="77777777" w:rsidR="00013673" w:rsidRDefault="00013673">
      <w:r>
        <w:separator/>
      </w:r>
    </w:p>
  </w:footnote>
  <w:footnote w:type="continuationSeparator" w:id="0">
    <w:p w14:paraId="17E8282E" w14:textId="77777777" w:rsidR="00013673" w:rsidRDefault="0001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7FE2A" w14:textId="77777777" w:rsidR="005E7BDB" w:rsidRDefault="005E7BDB" w:rsidP="0099574B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3EE512B" w14:textId="77777777" w:rsidR="005E7BDB" w:rsidRDefault="005E7BDB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3FA56" w14:textId="14970BC2" w:rsidR="005E7BDB" w:rsidRDefault="005E7BDB" w:rsidP="0099574B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592358">
      <w:rPr>
        <w:rStyle w:val="ae"/>
        <w:noProof/>
      </w:rPr>
      <w:t>2</w:t>
    </w:r>
    <w:r>
      <w:rPr>
        <w:rStyle w:val="ae"/>
      </w:rPr>
      <w:fldChar w:fldCharType="end"/>
    </w:r>
  </w:p>
  <w:p w14:paraId="09F774EF" w14:textId="77777777" w:rsidR="005E7BDB" w:rsidRDefault="005E7BDB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30"/>
  <w:drawingGridVerticalSpacing w:val="17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931"/>
    <w:rsid w:val="00002179"/>
    <w:rsid w:val="00006EE9"/>
    <w:rsid w:val="0000741F"/>
    <w:rsid w:val="000129F3"/>
    <w:rsid w:val="00013673"/>
    <w:rsid w:val="0001542A"/>
    <w:rsid w:val="00015988"/>
    <w:rsid w:val="0002404A"/>
    <w:rsid w:val="00026865"/>
    <w:rsid w:val="000340FD"/>
    <w:rsid w:val="000431B9"/>
    <w:rsid w:val="00043269"/>
    <w:rsid w:val="0004562C"/>
    <w:rsid w:val="00047A03"/>
    <w:rsid w:val="000514D7"/>
    <w:rsid w:val="00051991"/>
    <w:rsid w:val="00056712"/>
    <w:rsid w:val="000603A9"/>
    <w:rsid w:val="00061D45"/>
    <w:rsid w:val="00077AB3"/>
    <w:rsid w:val="00091A6F"/>
    <w:rsid w:val="00096D4C"/>
    <w:rsid w:val="000A06FE"/>
    <w:rsid w:val="000A1AB9"/>
    <w:rsid w:val="000A45EA"/>
    <w:rsid w:val="000A4FDC"/>
    <w:rsid w:val="000A52EF"/>
    <w:rsid w:val="000A7AB6"/>
    <w:rsid w:val="000B01B4"/>
    <w:rsid w:val="000B5D8B"/>
    <w:rsid w:val="000B65C6"/>
    <w:rsid w:val="000C050B"/>
    <w:rsid w:val="000C1882"/>
    <w:rsid w:val="000C3D61"/>
    <w:rsid w:val="000C64E6"/>
    <w:rsid w:val="000C7986"/>
    <w:rsid w:val="000D196B"/>
    <w:rsid w:val="000E4B6E"/>
    <w:rsid w:val="000E6FA1"/>
    <w:rsid w:val="000F28E7"/>
    <w:rsid w:val="000F3234"/>
    <w:rsid w:val="000F501D"/>
    <w:rsid w:val="000F6A31"/>
    <w:rsid w:val="000F7AB3"/>
    <w:rsid w:val="00110FC6"/>
    <w:rsid w:val="00111CEB"/>
    <w:rsid w:val="00111F28"/>
    <w:rsid w:val="0012476D"/>
    <w:rsid w:val="00144B60"/>
    <w:rsid w:val="00144DEE"/>
    <w:rsid w:val="00152C53"/>
    <w:rsid w:val="00153F3F"/>
    <w:rsid w:val="00157BE2"/>
    <w:rsid w:val="0016076E"/>
    <w:rsid w:val="0016231C"/>
    <w:rsid w:val="00162C67"/>
    <w:rsid w:val="00162FE6"/>
    <w:rsid w:val="001633FA"/>
    <w:rsid w:val="0016749B"/>
    <w:rsid w:val="0017256B"/>
    <w:rsid w:val="00173D46"/>
    <w:rsid w:val="00176940"/>
    <w:rsid w:val="001778EC"/>
    <w:rsid w:val="001816EA"/>
    <w:rsid w:val="00183DFC"/>
    <w:rsid w:val="001854E1"/>
    <w:rsid w:val="00186518"/>
    <w:rsid w:val="00186A89"/>
    <w:rsid w:val="001929EF"/>
    <w:rsid w:val="00192D4D"/>
    <w:rsid w:val="001935CF"/>
    <w:rsid w:val="00193D53"/>
    <w:rsid w:val="001B1F1C"/>
    <w:rsid w:val="001B2BB0"/>
    <w:rsid w:val="001B3795"/>
    <w:rsid w:val="001B7BB1"/>
    <w:rsid w:val="001C76C2"/>
    <w:rsid w:val="001D12EC"/>
    <w:rsid w:val="001D5DDB"/>
    <w:rsid w:val="001E2731"/>
    <w:rsid w:val="001E3671"/>
    <w:rsid w:val="001E7AE9"/>
    <w:rsid w:val="001F12F4"/>
    <w:rsid w:val="001F56CD"/>
    <w:rsid w:val="001F580B"/>
    <w:rsid w:val="00200578"/>
    <w:rsid w:val="0020320D"/>
    <w:rsid w:val="002039C9"/>
    <w:rsid w:val="002122B6"/>
    <w:rsid w:val="002136B4"/>
    <w:rsid w:val="00221B84"/>
    <w:rsid w:val="002225CB"/>
    <w:rsid w:val="00230D22"/>
    <w:rsid w:val="00234DE4"/>
    <w:rsid w:val="0023731A"/>
    <w:rsid w:val="002405F7"/>
    <w:rsid w:val="00244C3B"/>
    <w:rsid w:val="00250056"/>
    <w:rsid w:val="00253466"/>
    <w:rsid w:val="00266CC0"/>
    <w:rsid w:val="00275BD2"/>
    <w:rsid w:val="0027615A"/>
    <w:rsid w:val="002805D0"/>
    <w:rsid w:val="0028138F"/>
    <w:rsid w:val="00281A5D"/>
    <w:rsid w:val="00282FCF"/>
    <w:rsid w:val="002877EF"/>
    <w:rsid w:val="0029129B"/>
    <w:rsid w:val="00292CCC"/>
    <w:rsid w:val="0029591E"/>
    <w:rsid w:val="00295E73"/>
    <w:rsid w:val="002A4FAE"/>
    <w:rsid w:val="002A73E2"/>
    <w:rsid w:val="002B045F"/>
    <w:rsid w:val="002C5DA7"/>
    <w:rsid w:val="002D4867"/>
    <w:rsid w:val="002D6E74"/>
    <w:rsid w:val="002D7C42"/>
    <w:rsid w:val="002E44B8"/>
    <w:rsid w:val="002E6529"/>
    <w:rsid w:val="00304AE7"/>
    <w:rsid w:val="00305FB6"/>
    <w:rsid w:val="00312097"/>
    <w:rsid w:val="003159AF"/>
    <w:rsid w:val="00321D3C"/>
    <w:rsid w:val="003247B9"/>
    <w:rsid w:val="00327C73"/>
    <w:rsid w:val="003320F1"/>
    <w:rsid w:val="00333B35"/>
    <w:rsid w:val="00336D63"/>
    <w:rsid w:val="00342C98"/>
    <w:rsid w:val="00344E63"/>
    <w:rsid w:val="0034735D"/>
    <w:rsid w:val="00347476"/>
    <w:rsid w:val="003524D0"/>
    <w:rsid w:val="003611BB"/>
    <w:rsid w:val="00367234"/>
    <w:rsid w:val="003675D2"/>
    <w:rsid w:val="0037064C"/>
    <w:rsid w:val="0037314E"/>
    <w:rsid w:val="003769DC"/>
    <w:rsid w:val="0037752F"/>
    <w:rsid w:val="00380201"/>
    <w:rsid w:val="00383013"/>
    <w:rsid w:val="003845A9"/>
    <w:rsid w:val="003849E0"/>
    <w:rsid w:val="003857A4"/>
    <w:rsid w:val="00390B56"/>
    <w:rsid w:val="003B164B"/>
    <w:rsid w:val="003B3278"/>
    <w:rsid w:val="003B5C2D"/>
    <w:rsid w:val="003B6E0E"/>
    <w:rsid w:val="003C12F3"/>
    <w:rsid w:val="003D1D6E"/>
    <w:rsid w:val="003D4555"/>
    <w:rsid w:val="003E3862"/>
    <w:rsid w:val="003E625D"/>
    <w:rsid w:val="003E6FF6"/>
    <w:rsid w:val="003F3A40"/>
    <w:rsid w:val="00400930"/>
    <w:rsid w:val="00401CC3"/>
    <w:rsid w:val="00403C6C"/>
    <w:rsid w:val="00407F09"/>
    <w:rsid w:val="00410CED"/>
    <w:rsid w:val="00412A3D"/>
    <w:rsid w:val="004138E8"/>
    <w:rsid w:val="00416BF6"/>
    <w:rsid w:val="00422D0F"/>
    <w:rsid w:val="00423F5D"/>
    <w:rsid w:val="0042452E"/>
    <w:rsid w:val="00430651"/>
    <w:rsid w:val="004308B1"/>
    <w:rsid w:val="00432742"/>
    <w:rsid w:val="0043711D"/>
    <w:rsid w:val="00437604"/>
    <w:rsid w:val="0043781B"/>
    <w:rsid w:val="0044164D"/>
    <w:rsid w:val="00442B44"/>
    <w:rsid w:val="0044420F"/>
    <w:rsid w:val="00445320"/>
    <w:rsid w:val="004466B4"/>
    <w:rsid w:val="00455318"/>
    <w:rsid w:val="0045714A"/>
    <w:rsid w:val="004574F3"/>
    <w:rsid w:val="00470986"/>
    <w:rsid w:val="00471062"/>
    <w:rsid w:val="00474499"/>
    <w:rsid w:val="00474C69"/>
    <w:rsid w:val="00477EA9"/>
    <w:rsid w:val="00480AA1"/>
    <w:rsid w:val="004853B2"/>
    <w:rsid w:val="00487C6D"/>
    <w:rsid w:val="00490299"/>
    <w:rsid w:val="00490570"/>
    <w:rsid w:val="0049098E"/>
    <w:rsid w:val="00490C72"/>
    <w:rsid w:val="00494FD9"/>
    <w:rsid w:val="004964E2"/>
    <w:rsid w:val="004970A1"/>
    <w:rsid w:val="004A1D10"/>
    <w:rsid w:val="004A43E6"/>
    <w:rsid w:val="004A57A9"/>
    <w:rsid w:val="004A5ACD"/>
    <w:rsid w:val="004B39E1"/>
    <w:rsid w:val="004B514D"/>
    <w:rsid w:val="004B5CBA"/>
    <w:rsid w:val="004B5CCD"/>
    <w:rsid w:val="004B7F48"/>
    <w:rsid w:val="004C08FA"/>
    <w:rsid w:val="004C3FB7"/>
    <w:rsid w:val="004C57D9"/>
    <w:rsid w:val="004D4921"/>
    <w:rsid w:val="004D7C1A"/>
    <w:rsid w:val="004E3B44"/>
    <w:rsid w:val="004E6DDC"/>
    <w:rsid w:val="00502574"/>
    <w:rsid w:val="00504865"/>
    <w:rsid w:val="0050580C"/>
    <w:rsid w:val="00506042"/>
    <w:rsid w:val="005143AD"/>
    <w:rsid w:val="00515C65"/>
    <w:rsid w:val="00525D9C"/>
    <w:rsid w:val="0053008D"/>
    <w:rsid w:val="0053017D"/>
    <w:rsid w:val="00534EB6"/>
    <w:rsid w:val="005352E0"/>
    <w:rsid w:val="00535E2D"/>
    <w:rsid w:val="00536B85"/>
    <w:rsid w:val="0054283D"/>
    <w:rsid w:val="0054522B"/>
    <w:rsid w:val="005461B9"/>
    <w:rsid w:val="0055654D"/>
    <w:rsid w:val="00565F01"/>
    <w:rsid w:val="005758BE"/>
    <w:rsid w:val="0058529C"/>
    <w:rsid w:val="00592358"/>
    <w:rsid w:val="00597403"/>
    <w:rsid w:val="005A1A52"/>
    <w:rsid w:val="005A35E9"/>
    <w:rsid w:val="005A4C42"/>
    <w:rsid w:val="005A78AC"/>
    <w:rsid w:val="005B073B"/>
    <w:rsid w:val="005B2E19"/>
    <w:rsid w:val="005B33BF"/>
    <w:rsid w:val="005B5931"/>
    <w:rsid w:val="005B7B15"/>
    <w:rsid w:val="005C3427"/>
    <w:rsid w:val="005C4B1F"/>
    <w:rsid w:val="005D77D6"/>
    <w:rsid w:val="005E0D13"/>
    <w:rsid w:val="005E4FE4"/>
    <w:rsid w:val="005E7BDB"/>
    <w:rsid w:val="00602516"/>
    <w:rsid w:val="00605997"/>
    <w:rsid w:val="00620EFD"/>
    <w:rsid w:val="0063031C"/>
    <w:rsid w:val="00630DE3"/>
    <w:rsid w:val="00634DB8"/>
    <w:rsid w:val="00636068"/>
    <w:rsid w:val="00636B7C"/>
    <w:rsid w:val="00657F41"/>
    <w:rsid w:val="00660308"/>
    <w:rsid w:val="00660658"/>
    <w:rsid w:val="00670529"/>
    <w:rsid w:val="00675C0C"/>
    <w:rsid w:val="00676ED1"/>
    <w:rsid w:val="006773A6"/>
    <w:rsid w:val="006779E9"/>
    <w:rsid w:val="00680F37"/>
    <w:rsid w:val="00682BEF"/>
    <w:rsid w:val="00683FDB"/>
    <w:rsid w:val="00685D71"/>
    <w:rsid w:val="006879B4"/>
    <w:rsid w:val="006922FA"/>
    <w:rsid w:val="00693A07"/>
    <w:rsid w:val="006A3E34"/>
    <w:rsid w:val="006A4B04"/>
    <w:rsid w:val="006B09AF"/>
    <w:rsid w:val="006B0CF1"/>
    <w:rsid w:val="006B1FE3"/>
    <w:rsid w:val="006B42A2"/>
    <w:rsid w:val="006C35DC"/>
    <w:rsid w:val="006D46F8"/>
    <w:rsid w:val="006D4EC2"/>
    <w:rsid w:val="006D5F0B"/>
    <w:rsid w:val="006D7C66"/>
    <w:rsid w:val="006E2DD4"/>
    <w:rsid w:val="006E460D"/>
    <w:rsid w:val="006F0656"/>
    <w:rsid w:val="006F1BCB"/>
    <w:rsid w:val="006F2463"/>
    <w:rsid w:val="006F30FD"/>
    <w:rsid w:val="006F3F7A"/>
    <w:rsid w:val="00701798"/>
    <w:rsid w:val="00701CFF"/>
    <w:rsid w:val="00703644"/>
    <w:rsid w:val="0070421A"/>
    <w:rsid w:val="00716CEB"/>
    <w:rsid w:val="00723E21"/>
    <w:rsid w:val="00731206"/>
    <w:rsid w:val="00732B7C"/>
    <w:rsid w:val="00734B6D"/>
    <w:rsid w:val="00740694"/>
    <w:rsid w:val="00742D41"/>
    <w:rsid w:val="00742FD9"/>
    <w:rsid w:val="00744599"/>
    <w:rsid w:val="00744901"/>
    <w:rsid w:val="00745D24"/>
    <w:rsid w:val="00747C11"/>
    <w:rsid w:val="00751D55"/>
    <w:rsid w:val="00753474"/>
    <w:rsid w:val="00753479"/>
    <w:rsid w:val="00753977"/>
    <w:rsid w:val="0076005F"/>
    <w:rsid w:val="00773137"/>
    <w:rsid w:val="0077545E"/>
    <w:rsid w:val="0077574B"/>
    <w:rsid w:val="00776B82"/>
    <w:rsid w:val="00777A7E"/>
    <w:rsid w:val="00782D0F"/>
    <w:rsid w:val="00783B60"/>
    <w:rsid w:val="0078446B"/>
    <w:rsid w:val="00793F7F"/>
    <w:rsid w:val="00794D8D"/>
    <w:rsid w:val="007A01D3"/>
    <w:rsid w:val="007A3261"/>
    <w:rsid w:val="007A5401"/>
    <w:rsid w:val="007A7016"/>
    <w:rsid w:val="007D1B79"/>
    <w:rsid w:val="007D76E9"/>
    <w:rsid w:val="007E0563"/>
    <w:rsid w:val="007E34C9"/>
    <w:rsid w:val="007E45F5"/>
    <w:rsid w:val="007E4FC3"/>
    <w:rsid w:val="007E7BB2"/>
    <w:rsid w:val="007F1A48"/>
    <w:rsid w:val="007F28FC"/>
    <w:rsid w:val="00801C6C"/>
    <w:rsid w:val="00802D67"/>
    <w:rsid w:val="00805CAF"/>
    <w:rsid w:val="00811D93"/>
    <w:rsid w:val="00824B29"/>
    <w:rsid w:val="00827141"/>
    <w:rsid w:val="00827A30"/>
    <w:rsid w:val="008331AC"/>
    <w:rsid w:val="00836DF5"/>
    <w:rsid w:val="0084060A"/>
    <w:rsid w:val="008459B1"/>
    <w:rsid w:val="00846D3D"/>
    <w:rsid w:val="008478EA"/>
    <w:rsid w:val="00857FDB"/>
    <w:rsid w:val="00867C7E"/>
    <w:rsid w:val="00870590"/>
    <w:rsid w:val="008745B2"/>
    <w:rsid w:val="008751A2"/>
    <w:rsid w:val="00880DA4"/>
    <w:rsid w:val="00885C65"/>
    <w:rsid w:val="0088766F"/>
    <w:rsid w:val="008A20DF"/>
    <w:rsid w:val="008A335B"/>
    <w:rsid w:val="008A5C0C"/>
    <w:rsid w:val="008B28E3"/>
    <w:rsid w:val="008B4E32"/>
    <w:rsid w:val="008B5ADA"/>
    <w:rsid w:val="008B670B"/>
    <w:rsid w:val="008B6BFE"/>
    <w:rsid w:val="008B6DE7"/>
    <w:rsid w:val="008C0810"/>
    <w:rsid w:val="008C14CF"/>
    <w:rsid w:val="008C20BA"/>
    <w:rsid w:val="008C477B"/>
    <w:rsid w:val="008D281F"/>
    <w:rsid w:val="008E0717"/>
    <w:rsid w:val="008E383B"/>
    <w:rsid w:val="008F0981"/>
    <w:rsid w:val="008F15FA"/>
    <w:rsid w:val="008F356F"/>
    <w:rsid w:val="008F4A83"/>
    <w:rsid w:val="0090346C"/>
    <w:rsid w:val="009066CD"/>
    <w:rsid w:val="00907E10"/>
    <w:rsid w:val="0091134C"/>
    <w:rsid w:val="00911B30"/>
    <w:rsid w:val="009123E1"/>
    <w:rsid w:val="0092284C"/>
    <w:rsid w:val="0092751C"/>
    <w:rsid w:val="009361DE"/>
    <w:rsid w:val="00936406"/>
    <w:rsid w:val="00940ECC"/>
    <w:rsid w:val="0094683D"/>
    <w:rsid w:val="009506C4"/>
    <w:rsid w:val="00954C7E"/>
    <w:rsid w:val="00965667"/>
    <w:rsid w:val="009703FE"/>
    <w:rsid w:val="00970C49"/>
    <w:rsid w:val="00970FB6"/>
    <w:rsid w:val="009724AA"/>
    <w:rsid w:val="0097416E"/>
    <w:rsid w:val="0097565E"/>
    <w:rsid w:val="009764A3"/>
    <w:rsid w:val="0098066A"/>
    <w:rsid w:val="00990905"/>
    <w:rsid w:val="00995084"/>
    <w:rsid w:val="0099574B"/>
    <w:rsid w:val="009A3BE6"/>
    <w:rsid w:val="009A663A"/>
    <w:rsid w:val="009A6EBB"/>
    <w:rsid w:val="009B4C34"/>
    <w:rsid w:val="009B5F21"/>
    <w:rsid w:val="009C0CF2"/>
    <w:rsid w:val="009D359F"/>
    <w:rsid w:val="009D72BA"/>
    <w:rsid w:val="009D7A8A"/>
    <w:rsid w:val="009E01F2"/>
    <w:rsid w:val="009E19ED"/>
    <w:rsid w:val="009E5A30"/>
    <w:rsid w:val="009E5F18"/>
    <w:rsid w:val="009E7EB8"/>
    <w:rsid w:val="009F3FD6"/>
    <w:rsid w:val="009F4101"/>
    <w:rsid w:val="009F70CF"/>
    <w:rsid w:val="009F7550"/>
    <w:rsid w:val="00A0140B"/>
    <w:rsid w:val="00A14D6D"/>
    <w:rsid w:val="00A1624C"/>
    <w:rsid w:val="00A17709"/>
    <w:rsid w:val="00A177AD"/>
    <w:rsid w:val="00A22698"/>
    <w:rsid w:val="00A2504E"/>
    <w:rsid w:val="00A25AAF"/>
    <w:rsid w:val="00A27261"/>
    <w:rsid w:val="00A317AB"/>
    <w:rsid w:val="00A3390B"/>
    <w:rsid w:val="00A34B11"/>
    <w:rsid w:val="00A359A3"/>
    <w:rsid w:val="00A35FF7"/>
    <w:rsid w:val="00A36E07"/>
    <w:rsid w:val="00A374D3"/>
    <w:rsid w:val="00A40CCD"/>
    <w:rsid w:val="00A424BA"/>
    <w:rsid w:val="00A467A1"/>
    <w:rsid w:val="00A47FD9"/>
    <w:rsid w:val="00A5128D"/>
    <w:rsid w:val="00A60120"/>
    <w:rsid w:val="00A62339"/>
    <w:rsid w:val="00A67FA4"/>
    <w:rsid w:val="00A718C4"/>
    <w:rsid w:val="00A7254B"/>
    <w:rsid w:val="00A832DD"/>
    <w:rsid w:val="00A87980"/>
    <w:rsid w:val="00A9186D"/>
    <w:rsid w:val="00A93F0C"/>
    <w:rsid w:val="00A943BA"/>
    <w:rsid w:val="00A94616"/>
    <w:rsid w:val="00AA1848"/>
    <w:rsid w:val="00AA5251"/>
    <w:rsid w:val="00AA54E4"/>
    <w:rsid w:val="00AA7DA5"/>
    <w:rsid w:val="00AB0F9E"/>
    <w:rsid w:val="00AB40C3"/>
    <w:rsid w:val="00AB4441"/>
    <w:rsid w:val="00AB5C8F"/>
    <w:rsid w:val="00AC4C23"/>
    <w:rsid w:val="00AE280E"/>
    <w:rsid w:val="00AF18E7"/>
    <w:rsid w:val="00B066C9"/>
    <w:rsid w:val="00B0685C"/>
    <w:rsid w:val="00B131A9"/>
    <w:rsid w:val="00B1339B"/>
    <w:rsid w:val="00B1387C"/>
    <w:rsid w:val="00B13A89"/>
    <w:rsid w:val="00B15D24"/>
    <w:rsid w:val="00B2350C"/>
    <w:rsid w:val="00B30C9E"/>
    <w:rsid w:val="00B30EF4"/>
    <w:rsid w:val="00B31987"/>
    <w:rsid w:val="00B32410"/>
    <w:rsid w:val="00B325D0"/>
    <w:rsid w:val="00B343EE"/>
    <w:rsid w:val="00B514D5"/>
    <w:rsid w:val="00B65313"/>
    <w:rsid w:val="00B67844"/>
    <w:rsid w:val="00B71839"/>
    <w:rsid w:val="00B7420A"/>
    <w:rsid w:val="00B7430A"/>
    <w:rsid w:val="00B744EE"/>
    <w:rsid w:val="00B75C64"/>
    <w:rsid w:val="00B75C74"/>
    <w:rsid w:val="00B77C0C"/>
    <w:rsid w:val="00B828DD"/>
    <w:rsid w:val="00B90E9B"/>
    <w:rsid w:val="00B94787"/>
    <w:rsid w:val="00B96603"/>
    <w:rsid w:val="00BA56F5"/>
    <w:rsid w:val="00BB4064"/>
    <w:rsid w:val="00BB415A"/>
    <w:rsid w:val="00BB6375"/>
    <w:rsid w:val="00BC6297"/>
    <w:rsid w:val="00BD6B6D"/>
    <w:rsid w:val="00BD6F9E"/>
    <w:rsid w:val="00BD7C0E"/>
    <w:rsid w:val="00BD7F9B"/>
    <w:rsid w:val="00BE069B"/>
    <w:rsid w:val="00BE18A9"/>
    <w:rsid w:val="00BF025D"/>
    <w:rsid w:val="00BF2D50"/>
    <w:rsid w:val="00BF355D"/>
    <w:rsid w:val="00BF48B8"/>
    <w:rsid w:val="00C01602"/>
    <w:rsid w:val="00C07F90"/>
    <w:rsid w:val="00C132C7"/>
    <w:rsid w:val="00C20A28"/>
    <w:rsid w:val="00C21CF7"/>
    <w:rsid w:val="00C31730"/>
    <w:rsid w:val="00C33AB3"/>
    <w:rsid w:val="00C35669"/>
    <w:rsid w:val="00C55BD1"/>
    <w:rsid w:val="00C70797"/>
    <w:rsid w:val="00C8014B"/>
    <w:rsid w:val="00C8248F"/>
    <w:rsid w:val="00C82FC6"/>
    <w:rsid w:val="00C8554D"/>
    <w:rsid w:val="00CA0FAB"/>
    <w:rsid w:val="00CA2B3E"/>
    <w:rsid w:val="00CA5F0C"/>
    <w:rsid w:val="00CB15BE"/>
    <w:rsid w:val="00CB6787"/>
    <w:rsid w:val="00CD1F53"/>
    <w:rsid w:val="00CE3248"/>
    <w:rsid w:val="00CE50EA"/>
    <w:rsid w:val="00CE544E"/>
    <w:rsid w:val="00CF3958"/>
    <w:rsid w:val="00D0427E"/>
    <w:rsid w:val="00D04D89"/>
    <w:rsid w:val="00D15113"/>
    <w:rsid w:val="00D16747"/>
    <w:rsid w:val="00D171F9"/>
    <w:rsid w:val="00D279A5"/>
    <w:rsid w:val="00D34DE0"/>
    <w:rsid w:val="00D36AE7"/>
    <w:rsid w:val="00D433EB"/>
    <w:rsid w:val="00D46FFA"/>
    <w:rsid w:val="00D47EE5"/>
    <w:rsid w:val="00D50EFC"/>
    <w:rsid w:val="00D53279"/>
    <w:rsid w:val="00D53835"/>
    <w:rsid w:val="00D53DE3"/>
    <w:rsid w:val="00D5541E"/>
    <w:rsid w:val="00D5543B"/>
    <w:rsid w:val="00D600B7"/>
    <w:rsid w:val="00D73CEB"/>
    <w:rsid w:val="00D757E6"/>
    <w:rsid w:val="00D81769"/>
    <w:rsid w:val="00DA083A"/>
    <w:rsid w:val="00DA65AF"/>
    <w:rsid w:val="00DB145B"/>
    <w:rsid w:val="00DB2462"/>
    <w:rsid w:val="00DB36B2"/>
    <w:rsid w:val="00DB43B0"/>
    <w:rsid w:val="00DB79CC"/>
    <w:rsid w:val="00DC1D67"/>
    <w:rsid w:val="00DC6BC0"/>
    <w:rsid w:val="00DD145C"/>
    <w:rsid w:val="00DD48EB"/>
    <w:rsid w:val="00DF3781"/>
    <w:rsid w:val="00DF4CD1"/>
    <w:rsid w:val="00E064A0"/>
    <w:rsid w:val="00E06EA4"/>
    <w:rsid w:val="00E11DA2"/>
    <w:rsid w:val="00E145E2"/>
    <w:rsid w:val="00E20A0F"/>
    <w:rsid w:val="00E21242"/>
    <w:rsid w:val="00E21F36"/>
    <w:rsid w:val="00E319EE"/>
    <w:rsid w:val="00E32B82"/>
    <w:rsid w:val="00E32BB7"/>
    <w:rsid w:val="00E33783"/>
    <w:rsid w:val="00E37B43"/>
    <w:rsid w:val="00E43446"/>
    <w:rsid w:val="00E46852"/>
    <w:rsid w:val="00E4740C"/>
    <w:rsid w:val="00E50330"/>
    <w:rsid w:val="00E554CB"/>
    <w:rsid w:val="00E56379"/>
    <w:rsid w:val="00E6139A"/>
    <w:rsid w:val="00E615CA"/>
    <w:rsid w:val="00E644CF"/>
    <w:rsid w:val="00E650B2"/>
    <w:rsid w:val="00E652CD"/>
    <w:rsid w:val="00E66BF5"/>
    <w:rsid w:val="00E66EC7"/>
    <w:rsid w:val="00E856F9"/>
    <w:rsid w:val="00E85774"/>
    <w:rsid w:val="00E8611F"/>
    <w:rsid w:val="00E8621C"/>
    <w:rsid w:val="00E910F9"/>
    <w:rsid w:val="00E97822"/>
    <w:rsid w:val="00EA0091"/>
    <w:rsid w:val="00EA334D"/>
    <w:rsid w:val="00EA341A"/>
    <w:rsid w:val="00EB1016"/>
    <w:rsid w:val="00EB1742"/>
    <w:rsid w:val="00EB26BD"/>
    <w:rsid w:val="00EB5563"/>
    <w:rsid w:val="00EC3AF0"/>
    <w:rsid w:val="00EC7931"/>
    <w:rsid w:val="00ED044F"/>
    <w:rsid w:val="00ED6126"/>
    <w:rsid w:val="00ED7843"/>
    <w:rsid w:val="00EE570C"/>
    <w:rsid w:val="00EE63CD"/>
    <w:rsid w:val="00EF058E"/>
    <w:rsid w:val="00EF1811"/>
    <w:rsid w:val="00EF4B14"/>
    <w:rsid w:val="00EF7F16"/>
    <w:rsid w:val="00F04502"/>
    <w:rsid w:val="00F06E36"/>
    <w:rsid w:val="00F141CF"/>
    <w:rsid w:val="00F150DD"/>
    <w:rsid w:val="00F17E14"/>
    <w:rsid w:val="00F22A4B"/>
    <w:rsid w:val="00F26CF9"/>
    <w:rsid w:val="00F347D5"/>
    <w:rsid w:val="00F420C7"/>
    <w:rsid w:val="00F433DA"/>
    <w:rsid w:val="00F43582"/>
    <w:rsid w:val="00F43CEE"/>
    <w:rsid w:val="00F47E1A"/>
    <w:rsid w:val="00F47F24"/>
    <w:rsid w:val="00F62F4C"/>
    <w:rsid w:val="00F66972"/>
    <w:rsid w:val="00F74F87"/>
    <w:rsid w:val="00F7666F"/>
    <w:rsid w:val="00F814A0"/>
    <w:rsid w:val="00F826F8"/>
    <w:rsid w:val="00F83110"/>
    <w:rsid w:val="00F852BE"/>
    <w:rsid w:val="00FA007A"/>
    <w:rsid w:val="00FA543A"/>
    <w:rsid w:val="00FA7625"/>
    <w:rsid w:val="00FA7B7C"/>
    <w:rsid w:val="00FC0311"/>
    <w:rsid w:val="00FC4FAE"/>
    <w:rsid w:val="00FC64AE"/>
    <w:rsid w:val="00FD001D"/>
    <w:rsid w:val="00FD1421"/>
    <w:rsid w:val="00FD17B9"/>
    <w:rsid w:val="00FD1C22"/>
    <w:rsid w:val="00FE1DAF"/>
    <w:rsid w:val="00FE65A3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DBF610"/>
  <w14:defaultImageDpi w14:val="0"/>
  <w15:docId w15:val="{FC5C8192-A263-BF42-BF2C-7D515367D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i/>
      <w:sz w:val="26"/>
      <w:szCs w:val="26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D47EE5"/>
    <w:pPr>
      <w:keepNext/>
      <w:spacing w:before="240" w:after="60"/>
      <w:outlineLvl w:val="0"/>
    </w:pPr>
    <w:rPr>
      <w:rFonts w:ascii="Arial" w:hAnsi="Arial" w:cs="Arial"/>
      <w:b/>
      <w:bCs/>
      <w:i w:val="0"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275BD2"/>
    <w:pPr>
      <w:keepNext/>
      <w:spacing w:before="240" w:after="60"/>
      <w:outlineLvl w:val="2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i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i/>
      <w:sz w:val="26"/>
      <w:szCs w:val="26"/>
      <w:lang w:val="uk-UA"/>
    </w:rPr>
  </w:style>
  <w:style w:type="table" w:styleId="11">
    <w:name w:val="Table Classic 1"/>
    <w:basedOn w:val="a1"/>
    <w:uiPriority w:val="99"/>
    <w:rsid w:val="00AF18E7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3">
    <w:name w:val="Нормальний текст"/>
    <w:basedOn w:val="a"/>
    <w:uiPriority w:val="99"/>
    <w:rsid w:val="00EC7931"/>
    <w:pPr>
      <w:spacing w:before="120"/>
      <w:ind w:firstLine="567"/>
      <w:jc w:val="both"/>
    </w:pPr>
    <w:rPr>
      <w:rFonts w:ascii="Antiqua" w:hAnsi="Antiqua"/>
      <w:i w:val="0"/>
      <w:szCs w:val="20"/>
    </w:rPr>
  </w:style>
  <w:style w:type="table" w:styleId="a4">
    <w:name w:val="Table Grid"/>
    <w:basedOn w:val="a1"/>
    <w:uiPriority w:val="99"/>
    <w:rsid w:val="00D47EE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rsid w:val="00D47EE5"/>
    <w:pPr>
      <w:jc w:val="center"/>
    </w:pPr>
    <w:rPr>
      <w:b/>
      <w:i w:val="0"/>
      <w:sz w:val="28"/>
      <w:szCs w:val="20"/>
    </w:rPr>
  </w:style>
  <w:style w:type="character" w:customStyle="1" w:styleId="a6">
    <w:name w:val="Основний текст Знак"/>
    <w:basedOn w:val="a0"/>
    <w:link w:val="a5"/>
    <w:uiPriority w:val="99"/>
    <w:semiHidden/>
    <w:rPr>
      <w:i/>
      <w:sz w:val="26"/>
      <w:szCs w:val="26"/>
      <w:lang w:val="uk-UA"/>
    </w:rPr>
  </w:style>
  <w:style w:type="paragraph" w:styleId="a7">
    <w:name w:val="Balloon Text"/>
    <w:basedOn w:val="a"/>
    <w:link w:val="a8"/>
    <w:uiPriority w:val="99"/>
    <w:semiHidden/>
    <w:rsid w:val="00D47EE5"/>
    <w:rPr>
      <w:rFonts w:ascii="Tahoma" w:hAnsi="Tahoma" w:cs="Tahoma"/>
      <w:i w:val="0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Pr>
      <w:i/>
      <w:sz w:val="18"/>
      <w:szCs w:val="18"/>
      <w:lang w:val="uk-UA"/>
    </w:rPr>
  </w:style>
  <w:style w:type="paragraph" w:styleId="31">
    <w:name w:val="Body Text Indent 3"/>
    <w:basedOn w:val="a"/>
    <w:link w:val="32"/>
    <w:uiPriority w:val="99"/>
    <w:rsid w:val="00D47EE5"/>
    <w:pPr>
      <w:spacing w:after="120"/>
      <w:ind w:left="283"/>
    </w:pPr>
    <w:rPr>
      <w:i w:val="0"/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Pr>
      <w:i/>
      <w:sz w:val="16"/>
      <w:szCs w:val="16"/>
      <w:lang w:val="uk-UA"/>
    </w:rPr>
  </w:style>
  <w:style w:type="paragraph" w:styleId="a9">
    <w:name w:val="footer"/>
    <w:basedOn w:val="a"/>
    <w:link w:val="aa"/>
    <w:uiPriority w:val="99"/>
    <w:rsid w:val="00D47EE5"/>
    <w:pPr>
      <w:tabs>
        <w:tab w:val="center" w:pos="4819"/>
        <w:tab w:val="right" w:pos="9639"/>
      </w:tabs>
    </w:pPr>
    <w:rPr>
      <w:i w:val="0"/>
      <w:sz w:val="24"/>
      <w:szCs w:val="24"/>
    </w:rPr>
  </w:style>
  <w:style w:type="character" w:customStyle="1" w:styleId="aa">
    <w:name w:val="Нижній колонтитул Знак"/>
    <w:basedOn w:val="a0"/>
    <w:link w:val="a9"/>
    <w:uiPriority w:val="99"/>
    <w:semiHidden/>
    <w:rPr>
      <w:i/>
      <w:sz w:val="26"/>
      <w:szCs w:val="26"/>
      <w:lang w:val="uk-UA"/>
    </w:rPr>
  </w:style>
  <w:style w:type="paragraph" w:styleId="ab">
    <w:name w:val="Normal (Web)"/>
    <w:basedOn w:val="a"/>
    <w:uiPriority w:val="99"/>
    <w:rsid w:val="00D47EE5"/>
    <w:pPr>
      <w:spacing w:before="100" w:beforeAutospacing="1" w:after="100" w:afterAutospacing="1"/>
    </w:pPr>
    <w:rPr>
      <w:i w:val="0"/>
      <w:sz w:val="24"/>
      <w:szCs w:val="24"/>
      <w:lang w:eastAsia="uk-UA"/>
    </w:rPr>
  </w:style>
  <w:style w:type="paragraph" w:styleId="ac">
    <w:name w:val="header"/>
    <w:basedOn w:val="a"/>
    <w:link w:val="ad"/>
    <w:uiPriority w:val="99"/>
    <w:rsid w:val="00442B44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semiHidden/>
    <w:rPr>
      <w:i/>
      <w:sz w:val="26"/>
      <w:szCs w:val="26"/>
      <w:lang w:val="uk-UA"/>
    </w:rPr>
  </w:style>
  <w:style w:type="character" w:styleId="ae">
    <w:name w:val="page number"/>
    <w:basedOn w:val="a0"/>
    <w:uiPriority w:val="99"/>
    <w:rsid w:val="00442B44"/>
    <w:rPr>
      <w:rFonts w:cs="Times New Roman"/>
    </w:rPr>
  </w:style>
  <w:style w:type="paragraph" w:styleId="HTML">
    <w:name w:val="HTML Preformatted"/>
    <w:basedOn w:val="a"/>
    <w:link w:val="HTML0"/>
    <w:uiPriority w:val="99"/>
    <w:rsid w:val="001623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i w:val="0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Pr>
      <w:rFonts w:ascii="Courier New" w:hAnsi="Courier New" w:cs="Courier New"/>
      <w:i/>
      <w:sz w:val="20"/>
      <w:szCs w:val="20"/>
      <w:lang w:val="uk-UA"/>
    </w:rPr>
  </w:style>
  <w:style w:type="character" w:styleId="af">
    <w:name w:val="Hyperlink"/>
    <w:basedOn w:val="a0"/>
    <w:uiPriority w:val="99"/>
    <w:rsid w:val="0016231C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9E5F18"/>
    <w:pPr>
      <w:spacing w:before="100" w:beforeAutospacing="1" w:after="100" w:afterAutospacing="1"/>
    </w:pPr>
    <w:rPr>
      <w:i w:val="0"/>
      <w:sz w:val="24"/>
      <w:szCs w:val="24"/>
    </w:rPr>
  </w:style>
  <w:style w:type="character" w:customStyle="1" w:styleId="apple-converted-space">
    <w:name w:val="apple-converted-space"/>
    <w:basedOn w:val="a0"/>
    <w:rsid w:val="009E5F18"/>
  </w:style>
  <w:style w:type="character" w:customStyle="1" w:styleId="rvts46">
    <w:name w:val="rvts46"/>
    <w:basedOn w:val="a0"/>
    <w:rsid w:val="009E5F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944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4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zakon.rada.gov.ua/laws/show/147/98-%D0%B2%D1%80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zakon.rada.gov.ua/laws/show/147/98-%D0%B2%D1%80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laws/show/147/98-%D0%B2%D1%80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zakon.rada.gov.ua/laws/show/147/98-%D0%B2%D1%80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147/98-%D0%B2%D1%80" TargetMode="External"/><Relationship Id="rId14" Type="http://schemas.openxmlformats.org/officeDocument/2006/relationships/hyperlink" Target="https://zakon.rada.gov.ua/laws/show/147/98-%D0%B2%D1%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028D65-192F-4AEB-A528-A595A561F7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B665B1-F328-49F4-B609-9C7F6B836D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C5525F-72B5-4279-85D2-837F16028C2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4278</Words>
  <Characters>2439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2021-09-15T12:07:00Z</dcterms:created>
  <dcterms:modified xsi:type="dcterms:W3CDTF">2021-09-15T12:07:00Z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