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E00EB7" w14:textId="17ACA971" w:rsidR="00F95F07" w:rsidRDefault="00382F83" w:rsidP="009C67C3">
      <w:pPr>
        <w:autoSpaceDE w:val="0"/>
        <w:autoSpaceDN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3518DDDC" w14:textId="77777777" w:rsidR="009C67C3" w:rsidRDefault="009C67C3" w:rsidP="009C67C3">
      <w:pPr>
        <w:autoSpaceDE w:val="0"/>
        <w:autoSpaceDN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7CA156EC" w14:textId="7E80500C" w:rsidR="00F95F07" w:rsidRDefault="00F7064B" w:rsidP="00F7064B">
      <w:pPr>
        <w:autoSpaceDE w:val="0"/>
        <w:autoSpaceDN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проє</w:t>
      </w:r>
      <w:r w:rsidR="00382F83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</w:p>
    <w:p w14:paraId="549090C5" w14:textId="2A9A521F" w:rsidR="00F95F07" w:rsidRDefault="00382F83" w:rsidP="009C67C3">
      <w:pPr>
        <w:keepNext/>
        <w:widowControl w:val="0"/>
        <w:spacing w:after="0" w:line="240" w:lineRule="auto"/>
        <w:ind w:hanging="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9C67C3" w:rsidRPr="009C67C3">
        <w:rPr>
          <w:rFonts w:ascii="Times New Roman" w:hAnsi="Times New Roman"/>
          <w:b/>
          <w:sz w:val="28"/>
          <w:szCs w:val="28"/>
        </w:rPr>
        <w:t xml:space="preserve">Про внесення змін </w:t>
      </w:r>
      <w:r w:rsidR="00EB37B9">
        <w:rPr>
          <w:rFonts w:ascii="Times New Roman" w:hAnsi="Times New Roman"/>
          <w:b/>
          <w:sz w:val="28"/>
          <w:szCs w:val="28"/>
        </w:rPr>
        <w:t xml:space="preserve">до деяких законів України щодо </w:t>
      </w:r>
      <w:r w:rsidR="009C67C3" w:rsidRPr="009C67C3">
        <w:rPr>
          <w:rFonts w:ascii="Times New Roman" w:hAnsi="Times New Roman"/>
          <w:b/>
          <w:sz w:val="28"/>
          <w:szCs w:val="28"/>
        </w:rPr>
        <w:t>розвитку систем накопичення енергії</w:t>
      </w:r>
      <w:r w:rsidR="000D5DE0" w:rsidRPr="000D5DE0">
        <w:rPr>
          <w:rFonts w:ascii="Times New Roman" w:hAnsi="Times New Roman"/>
          <w:b/>
          <w:sz w:val="28"/>
          <w:szCs w:val="28"/>
        </w:rPr>
        <w:t>».</w:t>
      </w:r>
    </w:p>
    <w:p w14:paraId="0A6EBB92" w14:textId="77777777" w:rsidR="009C67C3" w:rsidRDefault="009C67C3" w:rsidP="009C67C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7994A58" w14:textId="60146B8C" w:rsidR="00F95F07" w:rsidRDefault="00382F83" w:rsidP="009C67C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Обґрунтування н</w:t>
      </w:r>
      <w:r w:rsidR="000D5DE0">
        <w:rPr>
          <w:rFonts w:ascii="Times New Roman" w:hAnsi="Times New Roman"/>
          <w:b/>
          <w:sz w:val="28"/>
          <w:szCs w:val="28"/>
        </w:rPr>
        <w:t>еобхідності прийняття законопрое</w:t>
      </w:r>
      <w:r>
        <w:rPr>
          <w:rFonts w:ascii="Times New Roman" w:hAnsi="Times New Roman"/>
          <w:b/>
          <w:sz w:val="28"/>
          <w:szCs w:val="28"/>
        </w:rPr>
        <w:t>кту</w:t>
      </w:r>
    </w:p>
    <w:p w14:paraId="3301F238" w14:textId="47C29A49" w:rsidR="00F11BE0" w:rsidRDefault="00F11BE0" w:rsidP="009C67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FD69EB1" w14:textId="77777777" w:rsidR="00F11BE0" w:rsidRPr="008A75C5" w:rsidRDefault="00F11BE0" w:rsidP="009C67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1BE0">
        <w:rPr>
          <w:rFonts w:ascii="Times New Roman" w:hAnsi="Times New Roman"/>
          <w:sz w:val="28"/>
          <w:szCs w:val="28"/>
        </w:rPr>
        <w:t xml:space="preserve">За прогнозом Bloomberg New Energy Finance, до 2040 року потужність акумулюючих систем у світі збільшиться в 120 разів, а сукупний попит на акумулятори досягне </w:t>
      </w:r>
      <w:r w:rsidRPr="008A75C5">
        <w:rPr>
          <w:rFonts w:ascii="Times New Roman" w:hAnsi="Times New Roman"/>
          <w:sz w:val="28"/>
          <w:szCs w:val="28"/>
        </w:rPr>
        <w:t>позначки 4584 ГВт*год по ємності.</w:t>
      </w:r>
    </w:p>
    <w:p w14:paraId="34524A0E" w14:textId="77777777" w:rsidR="00F11BE0" w:rsidRPr="008A75C5" w:rsidRDefault="00F11BE0" w:rsidP="009C67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75C5">
        <w:rPr>
          <w:rFonts w:ascii="Times New Roman" w:hAnsi="Times New Roman"/>
          <w:sz w:val="28"/>
          <w:szCs w:val="28"/>
        </w:rPr>
        <w:t>Однією з причин швидкого розвитку ринку систем зберігання є зростання потужностей відновлюваної енергетики, яка до 2040 року має забезпечувати 50% світового виробництва електроенергії і 19-25% всього енергоспоживання. Інтеграція ВДЕ в енергосистеми стане одним з основних стимулів розвитку технології накопичувачів, здатних вирішувати головну проблему зеленої енергетики - нерівномірність вироблення електроенергії.</w:t>
      </w:r>
    </w:p>
    <w:p w14:paraId="7931EF90" w14:textId="4C5BBAA2" w:rsidR="001A66CE" w:rsidRPr="008A75C5" w:rsidRDefault="001A66CE" w:rsidP="001A66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75C5">
        <w:rPr>
          <w:rFonts w:ascii="Times New Roman" w:hAnsi="Times New Roman"/>
          <w:sz w:val="28"/>
          <w:szCs w:val="28"/>
        </w:rPr>
        <w:t xml:space="preserve">Основне завдання систем накопичення </w:t>
      </w:r>
      <w:r w:rsidR="0078553F">
        <w:rPr>
          <w:rFonts w:ascii="Times New Roman" w:hAnsi="Times New Roman"/>
          <w:sz w:val="28"/>
          <w:szCs w:val="28"/>
        </w:rPr>
        <w:t xml:space="preserve">енергії (energy storage) — це </w:t>
      </w:r>
      <w:r w:rsidRPr="008A75C5">
        <w:rPr>
          <w:rFonts w:ascii="Times New Roman" w:hAnsi="Times New Roman"/>
          <w:sz w:val="28"/>
          <w:szCs w:val="28"/>
        </w:rPr>
        <w:t xml:space="preserve"> оптимізаці</w:t>
      </w:r>
      <w:r w:rsidR="0078553F">
        <w:rPr>
          <w:rFonts w:ascii="Times New Roman" w:hAnsi="Times New Roman"/>
          <w:sz w:val="28"/>
          <w:szCs w:val="28"/>
        </w:rPr>
        <w:t>я</w:t>
      </w:r>
      <w:r w:rsidRPr="008A75C5">
        <w:rPr>
          <w:rFonts w:ascii="Times New Roman" w:hAnsi="Times New Roman"/>
          <w:sz w:val="28"/>
          <w:szCs w:val="28"/>
        </w:rPr>
        <w:t xml:space="preserve"> виробництва електроенергії за рахунок вирівнювання графіка навантаження як на електростанцію, так і на електроенергетичну інфраструктуру. Системи накопичення енергії допомагають зберігати надійну роботу енергосистеми в цілому. За </w:t>
      </w:r>
      <w:r w:rsidR="00126A2F" w:rsidRPr="008A75C5">
        <w:rPr>
          <w:rFonts w:ascii="Times New Roman" w:hAnsi="Times New Roman"/>
          <w:sz w:val="28"/>
          <w:szCs w:val="28"/>
        </w:rPr>
        <w:t xml:space="preserve">їх </w:t>
      </w:r>
      <w:r w:rsidRPr="008A75C5">
        <w:rPr>
          <w:rFonts w:ascii="Times New Roman" w:hAnsi="Times New Roman"/>
          <w:sz w:val="28"/>
          <w:szCs w:val="28"/>
        </w:rPr>
        <w:t>допомогою відбувається більш легка інтеграція енергооб'єктів «зеленої» генерації в енергосистему України та забезпечується надійність виконання планового графіку видачі потужності в мережу.</w:t>
      </w:r>
    </w:p>
    <w:p w14:paraId="0CCF0CCB" w14:textId="5F7BA96D" w:rsidR="00F95F07" w:rsidRDefault="00382F83">
      <w:pPr>
        <w:pStyle w:val="ad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При розробці зазначеного</w:t>
      </w:r>
      <w:r w:rsidR="000D5DE0">
        <w:rPr>
          <w:rFonts w:ascii="Times New Roman" w:hAnsi="Times New Roman"/>
          <w:sz w:val="28"/>
          <w:szCs w:val="28"/>
          <w:lang w:eastAsia="uk-UA"/>
        </w:rPr>
        <w:t xml:space="preserve"> прое</w:t>
      </w:r>
      <w:r>
        <w:rPr>
          <w:rFonts w:ascii="Times New Roman" w:hAnsi="Times New Roman"/>
          <w:sz w:val="28"/>
          <w:szCs w:val="28"/>
          <w:lang w:eastAsia="uk-UA"/>
        </w:rPr>
        <w:t xml:space="preserve">кту Закону були враховані основні принципи правового регулювання систем </w:t>
      </w:r>
      <w:r w:rsidR="007E0F83">
        <w:rPr>
          <w:rFonts w:ascii="Times New Roman" w:hAnsi="Times New Roman"/>
          <w:sz w:val="28"/>
          <w:szCs w:val="28"/>
          <w:lang w:eastAsia="uk-UA"/>
        </w:rPr>
        <w:t>накопичення енергії</w:t>
      </w:r>
      <w:r>
        <w:rPr>
          <w:rFonts w:ascii="Times New Roman" w:hAnsi="Times New Roman"/>
          <w:sz w:val="28"/>
          <w:szCs w:val="28"/>
          <w:lang w:eastAsia="uk-UA"/>
        </w:rPr>
        <w:t xml:space="preserve"> в країнах ЄС, якими визначено, що таке система </w:t>
      </w:r>
      <w:r w:rsidR="007E0F83">
        <w:rPr>
          <w:rFonts w:ascii="Times New Roman" w:hAnsi="Times New Roman"/>
          <w:sz w:val="28"/>
          <w:szCs w:val="28"/>
          <w:lang w:eastAsia="uk-UA"/>
        </w:rPr>
        <w:t>накопичення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енергії, особливості застосування систем </w:t>
      </w:r>
      <w:r w:rsidR="007E0F83">
        <w:rPr>
          <w:rFonts w:ascii="Times New Roman" w:hAnsi="Times New Roman"/>
          <w:sz w:val="28"/>
          <w:szCs w:val="28"/>
          <w:lang w:eastAsia="uk-UA"/>
        </w:rPr>
        <w:t>накопичення енергії</w:t>
      </w:r>
      <w:r>
        <w:rPr>
          <w:rFonts w:ascii="Times New Roman" w:hAnsi="Times New Roman"/>
          <w:sz w:val="28"/>
          <w:szCs w:val="28"/>
          <w:lang w:eastAsia="uk-UA"/>
        </w:rPr>
        <w:t>, особливості взаємодії з оператором системи передачі та операторами системи розподілу.</w:t>
      </w:r>
    </w:p>
    <w:p w14:paraId="7E2A8EC6" w14:textId="77777777" w:rsidR="00F95F07" w:rsidRDefault="00F95F07">
      <w:pPr>
        <w:spacing w:after="12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1B449A0" w14:textId="77777777" w:rsidR="00F95F07" w:rsidRDefault="00382F8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Мета і шляхи її досягнення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90FE435" w14:textId="5A81722F" w:rsidR="0078553F" w:rsidRDefault="000D5DE0" w:rsidP="0078553F">
      <w:pPr>
        <w:pStyle w:val="ad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Метою прийняття прое</w:t>
      </w:r>
      <w:r w:rsidR="00382F83">
        <w:rPr>
          <w:rFonts w:ascii="Times New Roman" w:hAnsi="Times New Roman"/>
          <w:sz w:val="28"/>
          <w:szCs w:val="28"/>
        </w:rPr>
        <w:t xml:space="preserve">кту Закону є законодавче </w:t>
      </w:r>
      <w:r w:rsidR="00126A2F">
        <w:rPr>
          <w:rFonts w:ascii="Times New Roman" w:hAnsi="Times New Roman"/>
          <w:sz w:val="28"/>
          <w:szCs w:val="28"/>
        </w:rPr>
        <w:t xml:space="preserve">врегулювання діяльності з накопичення енергії та </w:t>
      </w:r>
      <w:r w:rsidR="00382F83">
        <w:rPr>
          <w:rFonts w:ascii="Times New Roman" w:hAnsi="Times New Roman"/>
          <w:sz w:val="28"/>
          <w:szCs w:val="28"/>
        </w:rPr>
        <w:t xml:space="preserve">визначення статусу систем </w:t>
      </w:r>
      <w:r w:rsidR="007E0F83">
        <w:rPr>
          <w:rFonts w:ascii="Times New Roman" w:hAnsi="Times New Roman"/>
          <w:sz w:val="28"/>
          <w:szCs w:val="28"/>
        </w:rPr>
        <w:t>накопичення</w:t>
      </w:r>
      <w:r w:rsidR="00382F83">
        <w:rPr>
          <w:rFonts w:ascii="Times New Roman" w:hAnsi="Times New Roman"/>
          <w:sz w:val="28"/>
          <w:szCs w:val="28"/>
        </w:rPr>
        <w:t xml:space="preserve"> енергії</w:t>
      </w:r>
      <w:r w:rsidR="00126A2F">
        <w:rPr>
          <w:rFonts w:ascii="Times New Roman" w:hAnsi="Times New Roman"/>
          <w:sz w:val="28"/>
          <w:szCs w:val="28"/>
        </w:rPr>
        <w:t xml:space="preserve"> та оператора системи накопичення енергії</w:t>
      </w:r>
      <w:r w:rsidR="00382F83">
        <w:rPr>
          <w:rFonts w:ascii="Times New Roman" w:hAnsi="Times New Roman"/>
          <w:sz w:val="28"/>
          <w:szCs w:val="28"/>
        </w:rPr>
        <w:t xml:space="preserve">.  </w:t>
      </w:r>
    </w:p>
    <w:p w14:paraId="1611D082" w14:textId="23F07E5C" w:rsidR="00F95F07" w:rsidRDefault="00382F8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Прийняття Закону забезпечить використання систем</w:t>
      </w:r>
      <w:r w:rsidR="007E0F83">
        <w:rPr>
          <w:rFonts w:ascii="Times New Roman" w:hAnsi="Times New Roman"/>
          <w:sz w:val="28"/>
          <w:szCs w:val="28"/>
        </w:rPr>
        <w:t xml:space="preserve"> накопичення енергії</w:t>
      </w:r>
      <w:r>
        <w:rPr>
          <w:rFonts w:ascii="Times New Roman" w:hAnsi="Times New Roman"/>
          <w:sz w:val="28"/>
          <w:szCs w:val="28"/>
        </w:rPr>
        <w:t xml:space="preserve">, збалансує роботу енергосистеми та підвищить стабільність електропостачання для споживачів.   </w:t>
      </w:r>
    </w:p>
    <w:p w14:paraId="4478D46E" w14:textId="77777777" w:rsidR="00F95F07" w:rsidRDefault="00F95F07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A7A6B8E" w14:textId="77777777" w:rsidR="00F95F07" w:rsidRDefault="00382F8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Загальна характеристика</w:t>
      </w:r>
      <w:r w:rsidR="000D5DE0">
        <w:rPr>
          <w:rFonts w:ascii="Times New Roman" w:hAnsi="Times New Roman"/>
          <w:b/>
          <w:sz w:val="28"/>
          <w:szCs w:val="28"/>
        </w:rPr>
        <w:t xml:space="preserve"> та основні положення законопрое</w:t>
      </w:r>
      <w:r>
        <w:rPr>
          <w:rFonts w:ascii="Times New Roman" w:hAnsi="Times New Roman"/>
          <w:b/>
          <w:sz w:val="28"/>
          <w:szCs w:val="28"/>
        </w:rPr>
        <w:t>кту</w:t>
      </w:r>
    </w:p>
    <w:p w14:paraId="332A14A2" w14:textId="22DDADC8" w:rsidR="00A40CEC" w:rsidRDefault="00A40CEC" w:rsidP="008A75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Законопроектом п</w:t>
      </w:r>
      <w:r w:rsidRPr="008A75C5">
        <w:rPr>
          <w:rFonts w:ascii="Times New Roman" w:hAnsi="Times New Roman"/>
          <w:sz w:val="28"/>
          <w:szCs w:val="28"/>
          <w:lang w:eastAsia="uk-UA"/>
        </w:rPr>
        <w:t>ідготовлені</w:t>
      </w:r>
      <w:r>
        <w:rPr>
          <w:rFonts w:ascii="Times New Roman" w:hAnsi="Times New Roman"/>
          <w:sz w:val="28"/>
          <w:szCs w:val="28"/>
          <w:lang w:eastAsia="uk-UA"/>
        </w:rPr>
        <w:t xml:space="preserve"> зміни до Закону України «Про ринок електричної енергії» та Закону України «</w:t>
      </w:r>
      <w:r w:rsidRPr="00126A2F">
        <w:rPr>
          <w:rFonts w:ascii="Times New Roman" w:hAnsi="Times New Roman"/>
          <w:sz w:val="28"/>
          <w:szCs w:val="28"/>
          <w:lang w:eastAsia="uk-UA"/>
        </w:rPr>
        <w:t>Про Національну комісію, що здійснює державне регулювання у сферах енергетики та комунальних послуг</w:t>
      </w:r>
      <w:r>
        <w:rPr>
          <w:rFonts w:ascii="Times New Roman" w:hAnsi="Times New Roman"/>
          <w:sz w:val="28"/>
          <w:szCs w:val="28"/>
          <w:lang w:eastAsia="uk-UA"/>
        </w:rPr>
        <w:t xml:space="preserve">» в частині </w:t>
      </w:r>
      <w:r w:rsidR="00EC49B2">
        <w:rPr>
          <w:rFonts w:ascii="Times New Roman" w:hAnsi="Times New Roman"/>
          <w:sz w:val="28"/>
          <w:szCs w:val="28"/>
          <w:lang w:eastAsia="uk-UA"/>
        </w:rPr>
        <w:t xml:space="preserve">визначення </w:t>
      </w:r>
      <w:r w:rsidR="00EC49B2" w:rsidRPr="00A84414">
        <w:rPr>
          <w:rFonts w:ascii="Times New Roman" w:hAnsi="Times New Roman"/>
          <w:sz w:val="28"/>
          <w:szCs w:val="28"/>
        </w:rPr>
        <w:t xml:space="preserve">повноважень Регулятора </w:t>
      </w:r>
      <w:r w:rsidR="00EC49B2">
        <w:rPr>
          <w:rFonts w:ascii="Times New Roman" w:hAnsi="Times New Roman"/>
          <w:sz w:val="28"/>
          <w:szCs w:val="28"/>
        </w:rPr>
        <w:t xml:space="preserve">на </w:t>
      </w:r>
      <w:r w:rsidR="00EC49B2" w:rsidRPr="00A84414">
        <w:rPr>
          <w:rFonts w:ascii="Times New Roman" w:hAnsi="Times New Roman"/>
          <w:sz w:val="28"/>
          <w:szCs w:val="28"/>
        </w:rPr>
        <w:t>діяльн</w:t>
      </w:r>
      <w:r w:rsidR="00EC49B2">
        <w:rPr>
          <w:rFonts w:ascii="Times New Roman" w:hAnsi="Times New Roman"/>
          <w:sz w:val="28"/>
          <w:szCs w:val="28"/>
        </w:rPr>
        <w:t>ість</w:t>
      </w:r>
      <w:r w:rsidR="00EC49B2" w:rsidRPr="00A84414">
        <w:rPr>
          <w:rFonts w:ascii="Times New Roman" w:hAnsi="Times New Roman"/>
          <w:sz w:val="28"/>
          <w:szCs w:val="28"/>
        </w:rPr>
        <w:t xml:space="preserve"> з накопичення енергії</w:t>
      </w:r>
      <w:r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14:paraId="3D7E8212" w14:textId="77777777" w:rsidR="00A40CEC" w:rsidRPr="00A40CEC" w:rsidRDefault="00A40CEC" w:rsidP="00A40CEC">
      <w:pPr>
        <w:spacing w:before="120"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A40CEC">
        <w:rPr>
          <w:rFonts w:ascii="Times New Roman" w:hAnsi="Times New Roman"/>
          <w:sz w:val="28"/>
          <w:szCs w:val="28"/>
          <w:lang w:eastAsia="uk-UA"/>
        </w:rPr>
        <w:lastRenderedPageBreak/>
        <w:t>Зокрема, доопрацьованим законопроектом:</w:t>
      </w:r>
      <w:r w:rsidRPr="00A40CEC">
        <w:rPr>
          <w:rFonts w:ascii="Times New Roman" w:eastAsia="Calibri" w:hAnsi="Times New Roman"/>
          <w:sz w:val="28"/>
          <w:szCs w:val="28"/>
        </w:rPr>
        <w:t xml:space="preserve"> </w:t>
      </w:r>
    </w:p>
    <w:p w14:paraId="3950C003" w14:textId="77777777" w:rsidR="00A40CEC" w:rsidRPr="00A40CEC" w:rsidRDefault="00A40CEC" w:rsidP="00A40CEC">
      <w:pPr>
        <w:pStyle w:val="a3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CEC">
        <w:rPr>
          <w:rFonts w:ascii="Times New Roman" w:hAnsi="Times New Roman" w:cs="Times New Roman"/>
          <w:sz w:val="28"/>
          <w:szCs w:val="28"/>
          <w:lang w:val="uk-UA"/>
        </w:rPr>
        <w:t>вводяться нові терміни: система накопичення енергії, оператор системи накопичення енергії та повністю інтегровані елементи мережі;</w:t>
      </w:r>
    </w:p>
    <w:p w14:paraId="69E2F3E7" w14:textId="77777777" w:rsidR="00A40CEC" w:rsidRPr="00A40CEC" w:rsidRDefault="00A40CEC" w:rsidP="00A40CEC">
      <w:pPr>
        <w:pStyle w:val="a3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CEC">
        <w:rPr>
          <w:rFonts w:ascii="Times New Roman" w:hAnsi="Times New Roman" w:cs="Times New Roman"/>
          <w:sz w:val="28"/>
          <w:szCs w:val="28"/>
          <w:lang w:val="uk-UA"/>
        </w:rPr>
        <w:t>створюється новий учасник на ринку електричної енергії - оператор системи накопичення енергії та визначаються його права та обов’язки;</w:t>
      </w:r>
    </w:p>
    <w:p w14:paraId="42B3C354" w14:textId="77777777" w:rsidR="00A40CEC" w:rsidRPr="00A40CEC" w:rsidRDefault="00A40CEC" w:rsidP="00A40CEC">
      <w:pPr>
        <w:pStyle w:val="a3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CEC">
        <w:rPr>
          <w:rFonts w:ascii="Times New Roman" w:hAnsi="Times New Roman" w:cs="Times New Roman"/>
          <w:sz w:val="28"/>
          <w:szCs w:val="28"/>
          <w:lang w:val="uk-UA"/>
        </w:rPr>
        <w:t>врегульовується питання ліцензування діяльності з накопичення енергії;</w:t>
      </w:r>
    </w:p>
    <w:p w14:paraId="05594243" w14:textId="77777777" w:rsidR="00A40CEC" w:rsidRPr="00A40CEC" w:rsidRDefault="00A40CEC" w:rsidP="00A40CEC">
      <w:pPr>
        <w:pStyle w:val="a3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CEC">
        <w:rPr>
          <w:rFonts w:ascii="Times New Roman" w:hAnsi="Times New Roman" w:cs="Times New Roman"/>
          <w:sz w:val="28"/>
          <w:szCs w:val="28"/>
          <w:lang w:val="uk-UA"/>
        </w:rPr>
        <w:t>врегульовується питання можливості використання системи накопичення енергії споживачами, а також виробниками електричної енергії, зокрема, виробниками електричної енергії з відновлювальних джерел енергії;</w:t>
      </w:r>
    </w:p>
    <w:p w14:paraId="4C4FC886" w14:textId="3CCAC00C" w:rsidR="00A40CEC" w:rsidRPr="00A40CEC" w:rsidRDefault="00A40CEC" w:rsidP="00A40CEC">
      <w:pPr>
        <w:pStyle w:val="a3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0CEC">
        <w:rPr>
          <w:rFonts w:ascii="Times New Roman" w:hAnsi="Times New Roman" w:cs="Times New Roman"/>
          <w:sz w:val="28"/>
          <w:szCs w:val="28"/>
          <w:lang w:val="uk-UA"/>
        </w:rPr>
        <w:t>встановлюється загальна заборона для оператора системи передачі та операторів систем розподілу провадити діяльність з накопичення енергії</w:t>
      </w:r>
      <w:r w:rsidR="00EC49B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DCA85DE" w14:textId="77777777" w:rsidR="00A40CEC" w:rsidRPr="00A40CEC" w:rsidRDefault="00A40CEC" w:rsidP="00A40CE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70BE246" w14:textId="77777777" w:rsidR="00F95F07" w:rsidRDefault="00F95F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DF493BD" w14:textId="77777777" w:rsidR="00F95F07" w:rsidRDefault="00382F8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14:paraId="4AD47A53" w14:textId="77777777" w:rsidR="00F95F07" w:rsidRDefault="00382F8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У цій сфері правового регулювання діють такі нормативно-правові акти:</w:t>
      </w:r>
    </w:p>
    <w:p w14:paraId="57B6E11C" w14:textId="77777777" w:rsidR="00F95F07" w:rsidRDefault="00382F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ринок електричної енергії»;</w:t>
      </w:r>
    </w:p>
    <w:p w14:paraId="69A6592F" w14:textId="1C9BDE53" w:rsidR="00126A2F" w:rsidRDefault="00126A2F" w:rsidP="00126A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Закон України «Про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Національну комісію, що здійснює державне регулювання у сферах енергетики та комунальних послуг»</w:t>
      </w:r>
      <w:r w:rsidR="00EC49B2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14:paraId="43C86454" w14:textId="77777777" w:rsidR="00F95F07" w:rsidRDefault="00F95F07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9BDC879" w14:textId="77777777" w:rsidR="00F95F07" w:rsidRDefault="00382F8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14:paraId="00C0C19F" w14:textId="77777777" w:rsidR="00F95F07" w:rsidRDefault="00382F83">
      <w:pPr>
        <w:pStyle w:val="a6"/>
        <w:tabs>
          <w:tab w:val="left" w:pos="567"/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Прийняття цього Закону не потребуватиме додаткових видатків із Державного бюджету України.</w:t>
      </w:r>
    </w:p>
    <w:p w14:paraId="7DD0A762" w14:textId="77777777" w:rsidR="00F95F07" w:rsidRDefault="00F95F0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8B24467" w14:textId="77777777" w:rsidR="00F95F07" w:rsidRDefault="00382F8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Прогнозовані соціально-економічні та ін</w:t>
      </w:r>
      <w:r w:rsidR="000D5DE0">
        <w:rPr>
          <w:rFonts w:ascii="Times New Roman" w:hAnsi="Times New Roman"/>
          <w:b/>
          <w:sz w:val="28"/>
          <w:szCs w:val="28"/>
        </w:rPr>
        <w:t>ші наслідки прийняття законопрое</w:t>
      </w:r>
      <w:r>
        <w:rPr>
          <w:rFonts w:ascii="Times New Roman" w:hAnsi="Times New Roman"/>
          <w:b/>
          <w:sz w:val="28"/>
          <w:szCs w:val="28"/>
        </w:rPr>
        <w:t>кту</w:t>
      </w:r>
    </w:p>
    <w:p w14:paraId="79F6F4B6" w14:textId="4CBFD291" w:rsidR="00F95F07" w:rsidRDefault="000D5DE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Прийняття цього прое</w:t>
      </w:r>
      <w:r w:rsidR="00382F83">
        <w:rPr>
          <w:rFonts w:ascii="Times New Roman" w:hAnsi="Times New Roman"/>
          <w:sz w:val="28"/>
          <w:szCs w:val="28"/>
          <w:lang w:eastAsia="ru-RU"/>
        </w:rPr>
        <w:t>кту Закону забезпечить використання систем</w:t>
      </w:r>
      <w:r w:rsidR="007E0F83">
        <w:rPr>
          <w:rFonts w:ascii="Times New Roman" w:hAnsi="Times New Roman"/>
          <w:sz w:val="28"/>
          <w:szCs w:val="28"/>
          <w:lang w:eastAsia="ru-RU"/>
        </w:rPr>
        <w:t xml:space="preserve"> накопичення енергії</w:t>
      </w:r>
      <w:r w:rsidR="00382F83">
        <w:rPr>
          <w:rFonts w:ascii="Times New Roman" w:hAnsi="Times New Roman"/>
          <w:sz w:val="28"/>
          <w:szCs w:val="28"/>
          <w:lang w:eastAsia="ru-RU"/>
        </w:rPr>
        <w:t xml:space="preserve">, збалансує роботу енергосистеми та підвищить стабільність електропостачання для споживачів.   </w:t>
      </w:r>
    </w:p>
    <w:tbl>
      <w:tblPr>
        <w:tblStyle w:val="a5"/>
        <w:tblW w:w="197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1"/>
        <w:gridCol w:w="5151"/>
        <w:gridCol w:w="5151"/>
        <w:gridCol w:w="4345"/>
      </w:tblGrid>
      <w:tr w:rsidR="00382F83" w14:paraId="6F8C1FB4" w14:textId="77777777" w:rsidTr="00382F83">
        <w:tc>
          <w:tcPr>
            <w:tcW w:w="5151" w:type="dxa"/>
          </w:tcPr>
          <w:p w14:paraId="1216ED65" w14:textId="77777777" w:rsidR="00382F83" w:rsidRPr="00FF7007" w:rsidRDefault="00382F83" w:rsidP="00382F83">
            <w:pPr>
              <w:spacing w:after="120"/>
              <w:ind w:firstLine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49DF829" w14:textId="77777777" w:rsidR="00382F83" w:rsidRPr="00FF7007" w:rsidRDefault="00382F83" w:rsidP="00382F83">
            <w:pPr>
              <w:spacing w:after="120"/>
              <w:ind w:firstLine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B4606C7" w14:textId="1A4BEC87" w:rsidR="00382F83" w:rsidRPr="00FF7007" w:rsidRDefault="00173919" w:rsidP="00382F83">
            <w:pPr>
              <w:spacing w:after="1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Народні</w:t>
            </w:r>
            <w:r w:rsidR="00382F83" w:rsidRPr="00FF70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депутат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="00382F83" w:rsidRPr="00FF70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України                                         </w:t>
            </w:r>
          </w:p>
        </w:tc>
        <w:tc>
          <w:tcPr>
            <w:tcW w:w="5151" w:type="dxa"/>
          </w:tcPr>
          <w:p w14:paraId="187EB785" w14:textId="77777777" w:rsidR="00382F83" w:rsidRPr="00FF7007" w:rsidRDefault="00382F83" w:rsidP="00382F83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05317C5" w14:textId="77777777" w:rsidR="00382F83" w:rsidRPr="00FF7007" w:rsidRDefault="00382F83" w:rsidP="00382F83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EC3D216" w14:textId="36513467" w:rsidR="00382F83" w:rsidRPr="00FF7007" w:rsidRDefault="00382F83" w:rsidP="00382F83">
            <w:pPr>
              <w:spacing w:after="120"/>
              <w:ind w:firstLine="7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151" w:type="dxa"/>
          </w:tcPr>
          <w:p w14:paraId="595F5096" w14:textId="77777777" w:rsidR="00382F83" w:rsidRDefault="00382F83" w:rsidP="00382F83">
            <w:pPr>
              <w:spacing w:after="120"/>
              <w:ind w:firstLine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345" w:type="dxa"/>
          </w:tcPr>
          <w:p w14:paraId="38A365FB" w14:textId="77777777" w:rsidR="00382F83" w:rsidRDefault="00382F83" w:rsidP="00382F83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6DA92E34" w14:textId="77777777" w:rsidR="00F95F07" w:rsidRDefault="00F95F07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F95F07" w:rsidSect="007A5ACB">
      <w:pgSz w:w="11906" w:h="16838"/>
      <w:pgMar w:top="993" w:right="850" w:bottom="850" w:left="156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63F54" w14:textId="77777777" w:rsidR="00CE101B" w:rsidRDefault="00CE101B">
      <w:pPr>
        <w:spacing w:after="0" w:line="240" w:lineRule="auto"/>
      </w:pPr>
      <w:r>
        <w:separator/>
      </w:r>
    </w:p>
  </w:endnote>
  <w:endnote w:type="continuationSeparator" w:id="0">
    <w:p w14:paraId="436E67D5" w14:textId="77777777" w:rsidR="00CE101B" w:rsidRDefault="00CE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0D5348" w14:textId="77777777" w:rsidR="00CE101B" w:rsidRDefault="00CE101B">
      <w:pPr>
        <w:spacing w:after="0" w:line="240" w:lineRule="auto"/>
      </w:pPr>
      <w:r>
        <w:separator/>
      </w:r>
    </w:p>
  </w:footnote>
  <w:footnote w:type="continuationSeparator" w:id="0">
    <w:p w14:paraId="4ADECDB0" w14:textId="77777777" w:rsidR="00CE101B" w:rsidRDefault="00CE1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91B3D"/>
    <w:multiLevelType w:val="hybridMultilevel"/>
    <w:tmpl w:val="54A00A8A"/>
    <w:styleLink w:val="ImportedStyle1"/>
    <w:lvl w:ilvl="0" w:tplc="C846A4DE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1DA7948">
      <w:start w:val="1"/>
      <w:numFmt w:val="bullet"/>
      <w:lvlText w:val="o"/>
      <w:lvlJc w:val="left"/>
      <w:pPr>
        <w:ind w:left="144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126FDC6">
      <w:start w:val="1"/>
      <w:numFmt w:val="bullet"/>
      <w:lvlText w:val="▪"/>
      <w:lvlJc w:val="left"/>
      <w:pPr>
        <w:ind w:left="21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A82CEF0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FDA98F2">
      <w:start w:val="1"/>
      <w:numFmt w:val="bullet"/>
      <w:lvlText w:val="o"/>
      <w:lvlJc w:val="left"/>
      <w:pPr>
        <w:ind w:left="360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BAC8C8">
      <w:start w:val="1"/>
      <w:numFmt w:val="bullet"/>
      <w:lvlText w:val="▪"/>
      <w:lvlJc w:val="left"/>
      <w:pPr>
        <w:ind w:left="432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04E632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7806BA">
      <w:start w:val="1"/>
      <w:numFmt w:val="bullet"/>
      <w:lvlText w:val="o"/>
      <w:lvlJc w:val="left"/>
      <w:pPr>
        <w:ind w:left="57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E047BA">
      <w:start w:val="1"/>
      <w:numFmt w:val="bullet"/>
      <w:lvlText w:val="▪"/>
      <w:lvlJc w:val="left"/>
      <w:pPr>
        <w:ind w:left="648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CBE1E89"/>
    <w:multiLevelType w:val="hybridMultilevel"/>
    <w:tmpl w:val="A88C96DC"/>
    <w:lvl w:ilvl="0" w:tplc="D29E6CF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DA3632D"/>
    <w:multiLevelType w:val="hybridMultilevel"/>
    <w:tmpl w:val="54A00A8A"/>
    <w:numStyleLink w:val="ImportedStyle1"/>
  </w:abstractNum>
  <w:abstractNum w:abstractNumId="3" w15:restartNumberingAfterBreak="0">
    <w:nsid w:val="44106883"/>
    <w:multiLevelType w:val="hybridMultilevel"/>
    <w:tmpl w:val="6EB0CCFA"/>
    <w:lvl w:ilvl="0" w:tplc="04220001">
      <w:start w:val="1"/>
      <w:numFmt w:val="bullet"/>
      <w:lvlText w:val="·"/>
      <w:lvlJc w:val="left"/>
      <w:pPr>
        <w:ind w:left="1069" w:hanging="360"/>
      </w:pPr>
      <w:rPr>
        <w:rFonts w:ascii="Symbol" w:eastAsia="Times New Roman" w:hAnsi="Symbol" w:hint="default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C3C36FA"/>
    <w:multiLevelType w:val="hybridMultilevel"/>
    <w:tmpl w:val="83A61F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98473E"/>
    <w:multiLevelType w:val="hybridMultilevel"/>
    <w:tmpl w:val="C0FC10EA"/>
    <w:lvl w:ilvl="0" w:tplc="04220001">
      <w:start w:val="1"/>
      <w:numFmt w:val="bullet"/>
      <w:lvlText w:val="·"/>
      <w:lvlJc w:val="left"/>
      <w:pPr>
        <w:ind w:left="142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lvl w:ilvl="0" w:tplc="4EFEB7CC">
        <w:start w:val="1"/>
        <w:numFmt w:val="bullet"/>
        <w:lvlText w:val="·"/>
        <w:lvlJc w:val="left"/>
        <w:pPr>
          <w:ind w:left="720" w:hanging="360"/>
        </w:pPr>
        <w:rPr>
          <w:rFonts w:ascii="Symbol" w:eastAsia="Times New Roman" w:hAnsi="Symbol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87"/>
    <w:rsid w:val="00070006"/>
    <w:rsid w:val="00085234"/>
    <w:rsid w:val="000D5DE0"/>
    <w:rsid w:val="00111B91"/>
    <w:rsid w:val="00126A2F"/>
    <w:rsid w:val="00173919"/>
    <w:rsid w:val="001A42B0"/>
    <w:rsid w:val="001A66CE"/>
    <w:rsid w:val="00382F83"/>
    <w:rsid w:val="003E7487"/>
    <w:rsid w:val="00543EAB"/>
    <w:rsid w:val="00576AF9"/>
    <w:rsid w:val="005C4589"/>
    <w:rsid w:val="005F1E31"/>
    <w:rsid w:val="00764C0B"/>
    <w:rsid w:val="0078553F"/>
    <w:rsid w:val="007A5ACB"/>
    <w:rsid w:val="007E0F83"/>
    <w:rsid w:val="00867011"/>
    <w:rsid w:val="008A75C5"/>
    <w:rsid w:val="009C67C3"/>
    <w:rsid w:val="00A40CEC"/>
    <w:rsid w:val="00A84414"/>
    <w:rsid w:val="00AA0ABB"/>
    <w:rsid w:val="00B91887"/>
    <w:rsid w:val="00BC626F"/>
    <w:rsid w:val="00C71F64"/>
    <w:rsid w:val="00C94CEA"/>
    <w:rsid w:val="00CE101B"/>
    <w:rsid w:val="00D03446"/>
    <w:rsid w:val="00DA0363"/>
    <w:rsid w:val="00EB37B9"/>
    <w:rsid w:val="00EC49B2"/>
    <w:rsid w:val="00F11BE0"/>
    <w:rsid w:val="00F7064B"/>
    <w:rsid w:val="00F9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761D93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60" w:line="259" w:lineRule="auto"/>
      <w:ind w:left="720"/>
    </w:pPr>
    <w:rPr>
      <w:rFonts w:cs="Calibri"/>
      <w:color w:val="000000"/>
      <w:u w:color="000000"/>
      <w:lang w:val="ru-RU" w:eastAsia="ru-RU"/>
    </w:rPr>
  </w:style>
  <w:style w:type="table" w:styleId="a5">
    <w:name w:val="Table Grid"/>
    <w:basedOn w:val="a1"/>
    <w:uiPriority w:val="99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7">
    <w:name w:val="header"/>
    <w:basedOn w:val="a"/>
    <w:link w:val="a8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paragraph" w:styleId="a9">
    <w:name w:val="footer"/>
    <w:basedOn w:val="a"/>
    <w:link w:val="aa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Pr>
      <w:rFonts w:ascii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Нижній колонтитул Знак"/>
    <w:basedOn w:val="a0"/>
    <w:link w:val="a9"/>
    <w:uiPriority w:val="99"/>
    <w:locked/>
    <w:rPr>
      <w:rFonts w:ascii="Calibri" w:hAnsi="Calibri" w:cs="Times New Roman"/>
    </w:rPr>
  </w:style>
  <w:style w:type="paragraph" w:styleId="ad">
    <w:name w:val="No Spacing"/>
    <w:uiPriority w:val="1"/>
    <w:qFormat/>
    <w:pPr>
      <w:spacing w:after="0" w:line="240" w:lineRule="auto"/>
    </w:pPr>
    <w:rPr>
      <w:rFonts w:cs="Times New Roman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rtejustify">
    <w:name w:val="rtejustify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4">
    <w:name w:val="Абзац списку Знак"/>
    <w:link w:val="a3"/>
    <w:uiPriority w:val="34"/>
    <w:locked/>
    <w:rPr>
      <w:rFonts w:ascii="Calibri" w:hAnsi="Calibri"/>
      <w:color w:val="000000"/>
      <w:u w:color="000000"/>
      <w:lang w:val="ru-RU" w:eastAsia="ru-RU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D20529-0A7B-4752-A523-A46F7A1BD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5FCA87-D3EB-4D4D-9685-56B4B0EC02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A09461-713C-46B8-A00C-B852655563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2452</Words>
  <Characters>1398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2021-09-17T12:59:00Z</dcterms:created>
  <dcterms:modified xsi:type="dcterms:W3CDTF">2021-09-17T12:59:00Z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