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090" w:rsidRPr="00F2535B" w:rsidRDefault="00E564A2" w:rsidP="00367C3A">
      <w:pPr>
        <w:spacing w:after="0" w:line="240" w:lineRule="auto"/>
        <w:jc w:val="center"/>
        <w:rPr>
          <w:rFonts w:ascii="Times New Roman" w:eastAsia="Times New Roman" w:hAnsi="Times New Roman" w:cs="Times New Roman"/>
          <w:b/>
          <w:sz w:val="28"/>
          <w:szCs w:val="28"/>
        </w:rPr>
      </w:pPr>
      <w:bookmarkStart w:id="0" w:name="_gjdgxs" w:colFirst="0" w:colLast="0"/>
      <w:bookmarkStart w:id="1" w:name="_GoBack"/>
      <w:bookmarkEnd w:id="0"/>
      <w:bookmarkEnd w:id="1"/>
      <w:r w:rsidRPr="00F2535B">
        <w:rPr>
          <w:rFonts w:ascii="Times New Roman" w:eastAsia="Times New Roman" w:hAnsi="Times New Roman" w:cs="Times New Roman"/>
          <w:b/>
          <w:sz w:val="28"/>
          <w:szCs w:val="28"/>
        </w:rPr>
        <w:t>ПОРІВНЯЛЬНА ТАБЛИЦЯ</w:t>
      </w:r>
    </w:p>
    <w:p w:rsidR="00367C3A" w:rsidRDefault="00E564A2" w:rsidP="00CA6F72">
      <w:pPr>
        <w:spacing w:after="0" w:line="240" w:lineRule="auto"/>
        <w:jc w:val="center"/>
        <w:rPr>
          <w:rFonts w:ascii="Times New Roman" w:eastAsia="Times New Roman" w:hAnsi="Times New Roman" w:cs="Times New Roman"/>
          <w:b/>
          <w:color w:val="000000" w:themeColor="text1"/>
          <w:sz w:val="28"/>
          <w:szCs w:val="28"/>
        </w:rPr>
      </w:pPr>
      <w:r w:rsidRPr="00F2535B">
        <w:rPr>
          <w:rFonts w:ascii="Times New Roman" w:eastAsia="Times New Roman" w:hAnsi="Times New Roman" w:cs="Times New Roman"/>
          <w:b/>
          <w:sz w:val="28"/>
          <w:szCs w:val="28"/>
        </w:rPr>
        <w:t xml:space="preserve">до проекту Закону України </w:t>
      </w:r>
      <w:r w:rsidR="00D6567F" w:rsidRPr="00F2535B">
        <w:rPr>
          <w:rFonts w:ascii="Times New Roman" w:eastAsia="Times New Roman" w:hAnsi="Times New Roman" w:cs="Times New Roman"/>
          <w:b/>
          <w:sz w:val="28"/>
          <w:szCs w:val="28"/>
        </w:rPr>
        <w:t xml:space="preserve"> </w:t>
      </w:r>
      <w:r w:rsidR="00F2535B">
        <w:rPr>
          <w:rFonts w:ascii="Times New Roman" w:eastAsia="Times New Roman" w:hAnsi="Times New Roman" w:cs="Times New Roman"/>
          <w:b/>
          <w:sz w:val="28"/>
          <w:szCs w:val="28"/>
        </w:rPr>
        <w:t>"</w:t>
      </w:r>
      <w:r w:rsidR="00CA5463" w:rsidRPr="00F2535B">
        <w:rPr>
          <w:rFonts w:ascii="Times New Roman" w:eastAsia="Times New Roman" w:hAnsi="Times New Roman" w:cs="Times New Roman"/>
          <w:b/>
          <w:color w:val="000000" w:themeColor="text1"/>
          <w:sz w:val="28"/>
          <w:szCs w:val="28"/>
        </w:rPr>
        <w:t xml:space="preserve">Про внесення змін до </w:t>
      </w:r>
      <w:r w:rsidR="00423E6C" w:rsidRPr="00423E6C">
        <w:rPr>
          <w:rFonts w:ascii="Times New Roman" w:hAnsi="Times New Roman"/>
          <w:b/>
          <w:sz w:val="28"/>
          <w:szCs w:val="28"/>
        </w:rPr>
        <w:t>розділу XX "Перехідні положення"</w:t>
      </w:r>
      <w:r w:rsidR="00423E6C">
        <w:rPr>
          <w:rFonts w:ascii="Times New Roman" w:hAnsi="Times New Roman"/>
          <w:sz w:val="28"/>
          <w:szCs w:val="28"/>
        </w:rPr>
        <w:t xml:space="preserve"> </w:t>
      </w:r>
      <w:r w:rsidR="00CA5463" w:rsidRPr="00F2535B">
        <w:rPr>
          <w:rFonts w:ascii="Times New Roman" w:eastAsia="Times New Roman" w:hAnsi="Times New Roman" w:cs="Times New Roman"/>
          <w:b/>
          <w:color w:val="000000" w:themeColor="text1"/>
          <w:sz w:val="28"/>
          <w:szCs w:val="28"/>
        </w:rPr>
        <w:t xml:space="preserve">Податкового кодексу України </w:t>
      </w:r>
    </w:p>
    <w:p w:rsidR="00391090" w:rsidRPr="00F2535B" w:rsidRDefault="00423E6C" w:rsidP="00CA6F7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color w:val="000000" w:themeColor="text1"/>
          <w:sz w:val="28"/>
          <w:szCs w:val="28"/>
        </w:rPr>
        <w:t>у зв'</w:t>
      </w:r>
      <w:r w:rsidR="00CA5463" w:rsidRPr="00F2535B">
        <w:rPr>
          <w:rFonts w:ascii="Times New Roman" w:eastAsia="Times New Roman" w:hAnsi="Times New Roman" w:cs="Times New Roman"/>
          <w:b/>
          <w:color w:val="000000" w:themeColor="text1"/>
          <w:sz w:val="28"/>
          <w:szCs w:val="28"/>
        </w:rPr>
        <w:t xml:space="preserve">язку з прийняттям Закону України </w:t>
      </w:r>
      <w:r w:rsidR="00F2535B">
        <w:rPr>
          <w:rFonts w:ascii="Times New Roman" w:eastAsia="Times New Roman" w:hAnsi="Times New Roman" w:cs="Times New Roman"/>
          <w:b/>
          <w:color w:val="000000" w:themeColor="text1"/>
          <w:sz w:val="28"/>
          <w:szCs w:val="28"/>
        </w:rPr>
        <w:t>"</w:t>
      </w:r>
      <w:r w:rsidR="00CA5463" w:rsidRPr="00F2535B">
        <w:rPr>
          <w:rFonts w:ascii="Times New Roman" w:eastAsia="Times New Roman" w:hAnsi="Times New Roman" w:cs="Times New Roman"/>
          <w:b/>
          <w:color w:val="000000" w:themeColor="text1"/>
          <w:sz w:val="28"/>
          <w:szCs w:val="28"/>
        </w:rPr>
        <w:t xml:space="preserve">Про соціальний і правовий захист осіб, </w:t>
      </w:r>
      <w:r w:rsidR="00D85165" w:rsidRPr="00D85165">
        <w:rPr>
          <w:rFonts w:ascii="Times New Roman" w:eastAsia="Times New Roman" w:hAnsi="Times New Roman" w:cs="Times New Roman"/>
          <w:b/>
          <w:color w:val="000000" w:themeColor="text1"/>
          <w:sz w:val="28"/>
          <w:szCs w:val="28"/>
        </w:rPr>
        <w:t>стосовно яких встановлено факт позбавлення особистої</w:t>
      </w:r>
      <w:r w:rsidR="00CA5463" w:rsidRPr="00F2535B">
        <w:rPr>
          <w:rFonts w:ascii="Times New Roman" w:eastAsia="Times New Roman" w:hAnsi="Times New Roman" w:cs="Times New Roman"/>
          <w:b/>
          <w:color w:val="000000" w:themeColor="text1"/>
          <w:sz w:val="28"/>
          <w:szCs w:val="28"/>
        </w:rPr>
        <w:t xml:space="preserve"> свободи внаслідок збройної агресії проти України</w:t>
      </w:r>
      <w:r w:rsidR="00D85165">
        <w:rPr>
          <w:rFonts w:ascii="Times New Roman" w:eastAsia="Times New Roman" w:hAnsi="Times New Roman" w:cs="Times New Roman"/>
          <w:b/>
          <w:color w:val="000000" w:themeColor="text1"/>
          <w:sz w:val="28"/>
          <w:szCs w:val="28"/>
        </w:rPr>
        <w:t xml:space="preserve">, </w:t>
      </w:r>
      <w:r w:rsidR="00D85165" w:rsidRPr="00D85165">
        <w:rPr>
          <w:rFonts w:ascii="Times New Roman" w:eastAsia="Times New Roman" w:hAnsi="Times New Roman" w:cs="Times New Roman"/>
          <w:b/>
          <w:color w:val="000000" w:themeColor="text1"/>
          <w:sz w:val="28"/>
          <w:szCs w:val="28"/>
        </w:rPr>
        <w:t>та членів їх сімей</w:t>
      </w:r>
      <w:r w:rsidR="00F2535B">
        <w:rPr>
          <w:rFonts w:ascii="Times New Roman" w:eastAsia="Times New Roman" w:hAnsi="Times New Roman" w:cs="Times New Roman"/>
          <w:b/>
          <w:color w:val="000000" w:themeColor="text1"/>
          <w:sz w:val="28"/>
          <w:szCs w:val="28"/>
        </w:rPr>
        <w:t>"</w:t>
      </w:r>
    </w:p>
    <w:p w:rsidR="00367C3A" w:rsidRPr="00F2535B" w:rsidRDefault="00367C3A">
      <w:pPr>
        <w:spacing w:after="0" w:line="240" w:lineRule="auto"/>
        <w:jc w:val="center"/>
        <w:rPr>
          <w:rFonts w:ascii="Times New Roman" w:eastAsia="Times New Roman" w:hAnsi="Times New Roman" w:cs="Times New Roman"/>
          <w:b/>
          <w:sz w:val="28"/>
          <w:szCs w:val="28"/>
        </w:rPr>
      </w:pPr>
    </w:p>
    <w:tbl>
      <w:tblPr>
        <w:tblStyle w:val="a5"/>
        <w:tblW w:w="15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64"/>
        <w:gridCol w:w="7564"/>
      </w:tblGrid>
      <w:tr w:rsidR="001B10A7" w:rsidRPr="00F2535B">
        <w:tc>
          <w:tcPr>
            <w:tcW w:w="7564" w:type="dxa"/>
          </w:tcPr>
          <w:p w:rsidR="00391090" w:rsidRPr="00F2535B" w:rsidRDefault="008E23CE" w:rsidP="00F253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eastAsia="Times New Roman" w:hAnsi="Times New Roman" w:cs="Times New Roman"/>
                <w:b/>
                <w:sz w:val="28"/>
                <w:szCs w:val="28"/>
              </w:rPr>
            </w:pPr>
            <w:r w:rsidRPr="00F2535B">
              <w:rPr>
                <w:rFonts w:ascii="Times New Roman" w:eastAsia="Times New Roman" w:hAnsi="Times New Roman" w:cs="Times New Roman"/>
                <w:b/>
                <w:sz w:val="28"/>
                <w:szCs w:val="28"/>
              </w:rPr>
              <w:t>Чинна редакція</w:t>
            </w:r>
          </w:p>
        </w:tc>
        <w:tc>
          <w:tcPr>
            <w:tcW w:w="7564" w:type="dxa"/>
          </w:tcPr>
          <w:p w:rsidR="00391090" w:rsidRPr="00F2535B" w:rsidRDefault="00F2535B" w:rsidP="00F253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eastAsia="Times New Roman" w:hAnsi="Times New Roman" w:cs="Times New Roman"/>
                <w:sz w:val="28"/>
                <w:szCs w:val="28"/>
              </w:rPr>
            </w:pPr>
            <w:r w:rsidRPr="000F3ED4">
              <w:rPr>
                <w:rFonts w:ascii="Times New Roman" w:hAnsi="Times New Roman" w:cs="Times New Roman"/>
                <w:b/>
                <w:sz w:val="28"/>
                <w:szCs w:val="28"/>
              </w:rPr>
              <w:t>Редакція з урахуванням пропонованих змін</w:t>
            </w:r>
          </w:p>
        </w:tc>
      </w:tr>
      <w:tr w:rsidR="001B10A7" w:rsidRPr="00F2535B">
        <w:tc>
          <w:tcPr>
            <w:tcW w:w="15128" w:type="dxa"/>
            <w:gridSpan w:val="2"/>
          </w:tcPr>
          <w:p w:rsidR="00391090" w:rsidRPr="00F2535B" w:rsidRDefault="00F91655" w:rsidP="00A02F9E">
            <w:pPr>
              <w:widowControl w:val="0"/>
              <w:spacing w:before="120" w:after="120"/>
              <w:ind w:firstLine="29"/>
              <w:jc w:val="center"/>
              <w:rPr>
                <w:rFonts w:ascii="Times New Roman" w:eastAsia="Times New Roman" w:hAnsi="Times New Roman" w:cs="Times New Roman"/>
                <w:b/>
                <w:sz w:val="28"/>
                <w:szCs w:val="28"/>
              </w:rPr>
            </w:pPr>
            <w:r w:rsidRPr="00F2535B">
              <w:rPr>
                <w:rFonts w:ascii="Times New Roman" w:eastAsia="Times New Roman" w:hAnsi="Times New Roman" w:cs="Times New Roman"/>
                <w:b/>
                <w:color w:val="000000" w:themeColor="text1"/>
                <w:sz w:val="28"/>
                <w:szCs w:val="28"/>
              </w:rPr>
              <w:t>Податковий кодекс України</w:t>
            </w:r>
          </w:p>
        </w:tc>
      </w:tr>
      <w:tr w:rsidR="006E58CE" w:rsidRPr="00F2535B">
        <w:tc>
          <w:tcPr>
            <w:tcW w:w="7564" w:type="dxa"/>
          </w:tcPr>
          <w:p w:rsidR="006E58CE" w:rsidRPr="006E58CE" w:rsidRDefault="006E58CE" w:rsidP="006E58CE">
            <w:pPr>
              <w:pBdr>
                <w:top w:val="nil"/>
                <w:left w:val="nil"/>
                <w:bottom w:val="nil"/>
                <w:right w:val="nil"/>
                <w:between w:val="nil"/>
              </w:pBdr>
              <w:shd w:val="clear" w:color="auto" w:fill="FFFFFF"/>
              <w:spacing w:before="120" w:after="120"/>
              <w:ind w:firstLine="567"/>
              <w:jc w:val="both"/>
              <w:rPr>
                <w:rFonts w:ascii="Times New Roman" w:eastAsia="Times New Roman" w:hAnsi="Times New Roman" w:cs="Times New Roman"/>
                <w:sz w:val="28"/>
                <w:szCs w:val="28"/>
                <w:highlight w:val="white"/>
              </w:rPr>
            </w:pPr>
            <w:r w:rsidRPr="006E58CE">
              <w:rPr>
                <w:rFonts w:ascii="Times New Roman" w:eastAsia="Times New Roman" w:hAnsi="Times New Roman" w:cs="Times New Roman"/>
                <w:sz w:val="28"/>
                <w:szCs w:val="28"/>
              </w:rPr>
              <w:t>Р</w:t>
            </w:r>
            <w:r>
              <w:rPr>
                <w:rFonts w:ascii="Times New Roman" w:eastAsia="Times New Roman" w:hAnsi="Times New Roman" w:cs="Times New Roman"/>
                <w:sz w:val="28"/>
                <w:szCs w:val="28"/>
              </w:rPr>
              <w:t>озділ</w:t>
            </w:r>
            <w:r w:rsidRPr="006E58CE">
              <w:rPr>
                <w:rFonts w:ascii="Times New Roman" w:eastAsia="Times New Roman" w:hAnsi="Times New Roman" w:cs="Times New Roman"/>
                <w:sz w:val="28"/>
                <w:szCs w:val="28"/>
              </w:rPr>
              <w:t xml:space="preserve"> XX. </w:t>
            </w:r>
            <w:r>
              <w:rPr>
                <w:rFonts w:ascii="Times New Roman" w:eastAsia="Times New Roman" w:hAnsi="Times New Roman" w:cs="Times New Roman"/>
                <w:sz w:val="28"/>
                <w:szCs w:val="28"/>
              </w:rPr>
              <w:t xml:space="preserve"> Перехідні положення</w:t>
            </w:r>
          </w:p>
        </w:tc>
        <w:tc>
          <w:tcPr>
            <w:tcW w:w="7564" w:type="dxa"/>
          </w:tcPr>
          <w:p w:rsidR="006E58CE" w:rsidRPr="00F2535B" w:rsidRDefault="006E58CE" w:rsidP="006E58CE">
            <w:pPr>
              <w:widowControl w:val="0"/>
              <w:spacing w:before="120" w:after="120"/>
              <w:ind w:firstLine="567"/>
              <w:jc w:val="both"/>
              <w:rPr>
                <w:rFonts w:ascii="Times New Roman" w:eastAsia="Times New Roman" w:hAnsi="Times New Roman" w:cs="Times New Roman"/>
                <w:color w:val="000000"/>
                <w:sz w:val="28"/>
                <w:szCs w:val="28"/>
              </w:rPr>
            </w:pPr>
            <w:r w:rsidRPr="006E58CE">
              <w:rPr>
                <w:rFonts w:ascii="Times New Roman" w:eastAsia="Times New Roman" w:hAnsi="Times New Roman" w:cs="Times New Roman"/>
                <w:sz w:val="28"/>
                <w:szCs w:val="28"/>
              </w:rPr>
              <w:t>Р</w:t>
            </w:r>
            <w:r>
              <w:rPr>
                <w:rFonts w:ascii="Times New Roman" w:eastAsia="Times New Roman" w:hAnsi="Times New Roman" w:cs="Times New Roman"/>
                <w:sz w:val="28"/>
                <w:szCs w:val="28"/>
              </w:rPr>
              <w:t>озділ</w:t>
            </w:r>
            <w:r w:rsidRPr="006E58CE">
              <w:rPr>
                <w:rFonts w:ascii="Times New Roman" w:eastAsia="Times New Roman" w:hAnsi="Times New Roman" w:cs="Times New Roman"/>
                <w:sz w:val="28"/>
                <w:szCs w:val="28"/>
              </w:rPr>
              <w:t xml:space="preserve"> XX. </w:t>
            </w:r>
            <w:r>
              <w:rPr>
                <w:rFonts w:ascii="Times New Roman" w:eastAsia="Times New Roman" w:hAnsi="Times New Roman" w:cs="Times New Roman"/>
                <w:sz w:val="28"/>
                <w:szCs w:val="28"/>
              </w:rPr>
              <w:t xml:space="preserve"> Перехідні положення</w:t>
            </w:r>
          </w:p>
        </w:tc>
      </w:tr>
      <w:tr w:rsidR="006E58CE" w:rsidRPr="00F2535B">
        <w:tc>
          <w:tcPr>
            <w:tcW w:w="7564" w:type="dxa"/>
          </w:tcPr>
          <w:p w:rsidR="006E58CE" w:rsidRDefault="006E58CE" w:rsidP="0085277C">
            <w:pPr>
              <w:pBdr>
                <w:top w:val="nil"/>
                <w:left w:val="nil"/>
                <w:bottom w:val="nil"/>
                <w:right w:val="nil"/>
                <w:between w:val="nil"/>
              </w:pBdr>
              <w:shd w:val="clear" w:color="auto" w:fill="FFFFFF"/>
              <w:spacing w:before="120"/>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t xml:space="preserve">Підрозділ 1. Особливості справляння податку на доходи </w:t>
            </w:r>
            <w:r>
              <w:rPr>
                <w:rFonts w:ascii="Times New Roman" w:eastAsia="Times New Roman" w:hAnsi="Times New Roman" w:cs="Times New Roman"/>
                <w:sz w:val="28"/>
                <w:szCs w:val="28"/>
              </w:rPr>
              <w:t xml:space="preserve">       </w:t>
            </w:r>
          </w:p>
          <w:p w:rsidR="006E58CE" w:rsidRP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E58CE">
              <w:rPr>
                <w:rFonts w:ascii="Times New Roman" w:eastAsia="Times New Roman" w:hAnsi="Times New Roman" w:cs="Times New Roman"/>
                <w:sz w:val="28"/>
                <w:szCs w:val="28"/>
              </w:rPr>
              <w:t xml:space="preserve">фізичних осіб </w:t>
            </w:r>
          </w:p>
          <w:p w:rsidR="006E58CE" w:rsidRPr="006E58CE" w:rsidRDefault="006E58CE" w:rsidP="0085277C">
            <w:pPr>
              <w:pBdr>
                <w:top w:val="nil"/>
                <w:left w:val="nil"/>
                <w:bottom w:val="nil"/>
                <w:right w:val="nil"/>
                <w:between w:val="nil"/>
              </w:pBd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6E58CE">
              <w:rPr>
                <w:rFonts w:ascii="Times New Roman" w:eastAsia="Times New Roman" w:hAnsi="Times New Roman" w:cs="Times New Roman"/>
                <w:sz w:val="28"/>
                <w:szCs w:val="28"/>
              </w:rPr>
              <w:t>Податок на доходи фізичних осіб, нарахований, але не сплачений податковим агентом до бюджету всупереч порядку, що діяв до набрання чинності цим Кодексом, на дату набрання чинності цим Кодексом вважається податковим боргом за узгодженим податковим зобов'язанням та підлягає відображенню у податковому розрахунку за результатами першого звітного кварталу, протягом якого набирає чинності цей Кодекс, а також стягується з податкового агента із застосуванням заходів відповідальності, передбачених цим Кодексом.</w:t>
            </w:r>
          </w:p>
          <w:p w:rsidR="006E58CE" w:rsidRPr="006E58CE" w:rsidRDefault="006E58CE" w:rsidP="006E58CE">
            <w:pPr>
              <w:pBdr>
                <w:top w:val="nil"/>
                <w:left w:val="nil"/>
                <w:bottom w:val="nil"/>
                <w:right w:val="nil"/>
                <w:between w:val="nil"/>
              </w:pBdr>
              <w:shd w:val="clear" w:color="auto" w:fill="FFFFFF"/>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E58CE" w:rsidRP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t>17. До загального місячного (річного) оподатковуваного доходу платника податку на доходи фізичних осіб не включаються:</w:t>
            </w:r>
          </w:p>
          <w:p w:rsidR="006E58CE" w:rsidRP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t xml:space="preserve">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w:t>
            </w:r>
            <w:r w:rsidRPr="006E58CE">
              <w:rPr>
                <w:rFonts w:ascii="Times New Roman" w:eastAsia="Times New Roman" w:hAnsi="Times New Roman" w:cs="Times New Roman"/>
                <w:sz w:val="28"/>
                <w:szCs w:val="28"/>
              </w:rPr>
              <w:lastRenderedPageBreak/>
              <w:t>єдиного внеску відповідно до пункту 9</w:t>
            </w:r>
            <w:r w:rsidR="00693305">
              <w:rPr>
                <w:rFonts w:ascii="Times New Roman" w:eastAsia="Times New Roman" w:hAnsi="Times New Roman" w:cs="Times New Roman"/>
                <w:sz w:val="28"/>
                <w:szCs w:val="28"/>
              </w:rPr>
              <w:t>-</w:t>
            </w:r>
            <w:r w:rsidRPr="006E58CE">
              <w:rPr>
                <w:rFonts w:ascii="Times New Roman" w:eastAsia="Times New Roman" w:hAnsi="Times New Roman" w:cs="Times New Roman"/>
                <w:sz w:val="28"/>
                <w:szCs w:val="28"/>
              </w:rPr>
              <w:t>15 розділу VIII Закону України "Про збір та облік єдиного внеску на загальнообов'язкове державне соціальне страхування";</w:t>
            </w:r>
          </w:p>
          <w:p w:rsid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t>суми, списані відповідно до пунктів 2</w:t>
            </w:r>
            <w:r w:rsidR="00693305">
              <w:rPr>
                <w:rFonts w:ascii="Times New Roman" w:eastAsia="Times New Roman" w:hAnsi="Times New Roman" w:cs="Times New Roman"/>
                <w:sz w:val="28"/>
                <w:szCs w:val="28"/>
              </w:rPr>
              <w:t>-</w:t>
            </w:r>
            <w:r w:rsidRPr="006E58CE">
              <w:rPr>
                <w:rFonts w:ascii="Times New Roman" w:eastAsia="Times New Roman" w:hAnsi="Times New Roman" w:cs="Times New Roman"/>
                <w:sz w:val="28"/>
                <w:szCs w:val="28"/>
              </w:rPr>
              <w:t>3 та 2</w:t>
            </w:r>
            <w:r w:rsidR="00693305">
              <w:rPr>
                <w:rFonts w:ascii="Times New Roman" w:eastAsia="Times New Roman" w:hAnsi="Times New Roman" w:cs="Times New Roman"/>
                <w:sz w:val="28"/>
                <w:szCs w:val="28"/>
              </w:rPr>
              <w:t>-</w:t>
            </w:r>
            <w:r w:rsidRPr="006E58CE">
              <w:rPr>
                <w:rFonts w:ascii="Times New Roman" w:eastAsia="Times New Roman" w:hAnsi="Times New Roman" w:cs="Times New Roman"/>
                <w:sz w:val="28"/>
                <w:szCs w:val="28"/>
              </w:rPr>
              <w:t xml:space="preserve">4 </w:t>
            </w:r>
            <w:r w:rsidR="003A5D10">
              <w:rPr>
                <w:rFonts w:ascii="Times New Roman" w:eastAsia="Times New Roman" w:hAnsi="Times New Roman" w:cs="Times New Roman"/>
                <w:sz w:val="28"/>
                <w:szCs w:val="28"/>
              </w:rPr>
              <w:t xml:space="preserve">   </w:t>
            </w:r>
            <w:r w:rsidRPr="006E58CE">
              <w:rPr>
                <w:rFonts w:ascii="Times New Roman" w:eastAsia="Times New Roman" w:hAnsi="Times New Roman" w:cs="Times New Roman"/>
                <w:sz w:val="28"/>
                <w:szCs w:val="28"/>
              </w:rPr>
              <w:t>підрозділу 10 розділу XX цього Кодексу.</w:t>
            </w:r>
          </w:p>
          <w:p w:rsidR="00693305" w:rsidRDefault="00693305"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rPr>
            </w:pPr>
          </w:p>
          <w:p w:rsidR="006E58CE" w:rsidRP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highlight w:val="white"/>
              </w:rPr>
            </w:pPr>
            <w:r w:rsidRPr="006E58CE">
              <w:rPr>
                <w:rFonts w:ascii="Times New Roman" w:eastAsia="Times New Roman" w:hAnsi="Times New Roman" w:cs="Times New Roman"/>
                <w:b/>
                <w:sz w:val="28"/>
                <w:szCs w:val="28"/>
              </w:rPr>
              <w:t>Пункт відсутній.</w:t>
            </w:r>
          </w:p>
        </w:tc>
        <w:tc>
          <w:tcPr>
            <w:tcW w:w="7564" w:type="dxa"/>
          </w:tcPr>
          <w:p w:rsidR="006E58CE" w:rsidRDefault="006E58CE" w:rsidP="0085277C">
            <w:pPr>
              <w:pBdr>
                <w:top w:val="nil"/>
                <w:left w:val="nil"/>
                <w:bottom w:val="nil"/>
                <w:right w:val="nil"/>
                <w:between w:val="nil"/>
              </w:pBdr>
              <w:shd w:val="clear" w:color="auto" w:fill="FFFFFF"/>
              <w:spacing w:before="120"/>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lastRenderedPageBreak/>
              <w:t xml:space="preserve">Підрозділ 1. Особливості справляння податку на доходи </w:t>
            </w:r>
            <w:r>
              <w:rPr>
                <w:rFonts w:ascii="Times New Roman" w:eastAsia="Times New Roman" w:hAnsi="Times New Roman" w:cs="Times New Roman"/>
                <w:sz w:val="28"/>
                <w:szCs w:val="28"/>
              </w:rPr>
              <w:t xml:space="preserve">       </w:t>
            </w:r>
          </w:p>
          <w:p w:rsid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E58CE">
              <w:rPr>
                <w:rFonts w:ascii="Times New Roman" w:eastAsia="Times New Roman" w:hAnsi="Times New Roman" w:cs="Times New Roman"/>
                <w:sz w:val="28"/>
                <w:szCs w:val="28"/>
              </w:rPr>
              <w:t xml:space="preserve">фізичних осіб </w:t>
            </w:r>
          </w:p>
          <w:p w:rsidR="006E58CE" w:rsidRPr="006E58CE" w:rsidRDefault="006E58CE" w:rsidP="0085277C">
            <w:pPr>
              <w:pBdr>
                <w:top w:val="nil"/>
                <w:left w:val="nil"/>
                <w:bottom w:val="nil"/>
                <w:right w:val="nil"/>
                <w:between w:val="nil"/>
              </w:pBdr>
              <w:shd w:val="clear" w:color="auto" w:fill="FFFFFF"/>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6E58CE">
              <w:rPr>
                <w:rFonts w:ascii="Times New Roman" w:eastAsia="Times New Roman" w:hAnsi="Times New Roman" w:cs="Times New Roman"/>
                <w:sz w:val="28"/>
                <w:szCs w:val="28"/>
              </w:rPr>
              <w:t>Податок на доходи фізичних осіб, нарахований, але не сплачений податковим агентом до бюджету всупереч порядку, що діяв до набрання чинності цим Кодексом, на дату набрання чинності цим Кодексом вважається податковим боргом за узгодженим податковим зобов'язанням та підлягає відображенню у податковому розрахунку за результатами першого звітного кварталу, протягом якого набирає чинності цей Кодекс, а також стягується з податкового агента із застосуванням заходів відповідальності, передбачених цим Кодексом.</w:t>
            </w:r>
          </w:p>
          <w:p w:rsidR="006E58CE" w:rsidRPr="006E58CE" w:rsidRDefault="006E58CE" w:rsidP="006E58CE">
            <w:pPr>
              <w:pBdr>
                <w:top w:val="nil"/>
                <w:left w:val="nil"/>
                <w:bottom w:val="nil"/>
                <w:right w:val="nil"/>
                <w:between w:val="nil"/>
              </w:pBdr>
              <w:shd w:val="clear" w:color="auto" w:fill="FFFFFF"/>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E58CE" w:rsidRP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t>17. До загального місячного (річного) оподатковуваного доходу платника податку на доходи фізичних осіб не включаються:</w:t>
            </w:r>
          </w:p>
          <w:p w:rsidR="006E58CE" w:rsidRPr="006E58CE" w:rsidRDefault="006E58CE" w:rsidP="006E58CE">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t xml:space="preserve">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w:t>
            </w:r>
            <w:r w:rsidRPr="006E58CE">
              <w:rPr>
                <w:rFonts w:ascii="Times New Roman" w:eastAsia="Times New Roman" w:hAnsi="Times New Roman" w:cs="Times New Roman"/>
                <w:sz w:val="28"/>
                <w:szCs w:val="28"/>
              </w:rPr>
              <w:lastRenderedPageBreak/>
              <w:t>єдиног</w:t>
            </w:r>
            <w:r w:rsidR="00693305">
              <w:rPr>
                <w:rFonts w:ascii="Times New Roman" w:eastAsia="Times New Roman" w:hAnsi="Times New Roman" w:cs="Times New Roman"/>
                <w:sz w:val="28"/>
                <w:szCs w:val="28"/>
              </w:rPr>
              <w:t>о внеску відповідно до пункту 9-1</w:t>
            </w:r>
            <w:r w:rsidRPr="006E58CE">
              <w:rPr>
                <w:rFonts w:ascii="Times New Roman" w:eastAsia="Times New Roman" w:hAnsi="Times New Roman" w:cs="Times New Roman"/>
                <w:sz w:val="28"/>
                <w:szCs w:val="28"/>
              </w:rPr>
              <w:t>5 розділу VIII Закону України "Про збір та облік єдиного внеску на загальнообов'язкове державне соціальне страхування";</w:t>
            </w:r>
          </w:p>
          <w:p w:rsidR="006E58CE" w:rsidRDefault="006E58CE" w:rsidP="006E58CE">
            <w:pPr>
              <w:widowControl w:val="0"/>
              <w:ind w:firstLine="567"/>
              <w:jc w:val="both"/>
              <w:rPr>
                <w:rFonts w:ascii="Times New Roman" w:eastAsia="Times New Roman" w:hAnsi="Times New Roman" w:cs="Times New Roman"/>
                <w:sz w:val="28"/>
                <w:szCs w:val="28"/>
              </w:rPr>
            </w:pPr>
            <w:r w:rsidRPr="006E58CE">
              <w:rPr>
                <w:rFonts w:ascii="Times New Roman" w:eastAsia="Times New Roman" w:hAnsi="Times New Roman" w:cs="Times New Roman"/>
                <w:sz w:val="28"/>
                <w:szCs w:val="28"/>
              </w:rPr>
              <w:t>суми, списані відповідно до пунктів 2</w:t>
            </w:r>
            <w:r w:rsidR="00693305">
              <w:rPr>
                <w:rFonts w:ascii="Times New Roman" w:eastAsia="Times New Roman" w:hAnsi="Times New Roman" w:cs="Times New Roman"/>
                <w:sz w:val="28"/>
                <w:szCs w:val="28"/>
              </w:rPr>
              <w:t>-</w:t>
            </w:r>
            <w:r w:rsidRPr="006E58CE">
              <w:rPr>
                <w:rFonts w:ascii="Times New Roman" w:eastAsia="Times New Roman" w:hAnsi="Times New Roman" w:cs="Times New Roman"/>
                <w:sz w:val="28"/>
                <w:szCs w:val="28"/>
              </w:rPr>
              <w:t>3 та 2</w:t>
            </w:r>
            <w:r w:rsidR="00693305">
              <w:rPr>
                <w:rFonts w:ascii="Times New Roman" w:eastAsia="Times New Roman" w:hAnsi="Times New Roman" w:cs="Times New Roman"/>
                <w:sz w:val="28"/>
                <w:szCs w:val="28"/>
              </w:rPr>
              <w:t>-</w:t>
            </w:r>
            <w:r w:rsidRPr="006E58CE">
              <w:rPr>
                <w:rFonts w:ascii="Times New Roman" w:eastAsia="Times New Roman" w:hAnsi="Times New Roman" w:cs="Times New Roman"/>
                <w:sz w:val="28"/>
                <w:szCs w:val="28"/>
              </w:rPr>
              <w:t>4 підрозділу 10 розділу XX цього Кодексу.</w:t>
            </w:r>
          </w:p>
          <w:p w:rsidR="006E58CE" w:rsidRPr="006E58CE" w:rsidRDefault="006E58CE" w:rsidP="006E58CE">
            <w:pPr>
              <w:widowControl w:val="0"/>
              <w:spacing w:after="120"/>
              <w:ind w:firstLine="567"/>
              <w:jc w:val="both"/>
              <w:rPr>
                <w:rFonts w:ascii="Times New Roman" w:eastAsia="Times New Roman" w:hAnsi="Times New Roman" w:cs="Times New Roman"/>
                <w:b/>
                <w:color w:val="000000"/>
                <w:sz w:val="28"/>
                <w:szCs w:val="28"/>
              </w:rPr>
            </w:pPr>
            <w:r w:rsidRPr="006E58CE">
              <w:rPr>
                <w:rFonts w:ascii="Times New Roman" w:hAnsi="Times New Roman"/>
                <w:b/>
                <w:sz w:val="28"/>
                <w:szCs w:val="28"/>
              </w:rPr>
              <w:t>18. До загального місячного (річного) оподатковуваного доходу платника податку на доходи фізичних осіб не включається дохід, виплачений (наданий) за рахунок коштів державного бюджету відповідно до Закону України "Про соціальний і правовий захист осіб, стосовно яких встановлено факт позбавлення особистої свободи внаслідок збройної агресії проти України, та членів їх сімей"</w:t>
            </w:r>
            <w:r>
              <w:rPr>
                <w:rFonts w:ascii="Times New Roman" w:hAnsi="Times New Roman"/>
                <w:b/>
                <w:sz w:val="28"/>
                <w:szCs w:val="28"/>
              </w:rPr>
              <w:t>.</w:t>
            </w:r>
          </w:p>
        </w:tc>
      </w:tr>
      <w:tr w:rsidR="001B10A7" w:rsidRPr="00F2535B">
        <w:tc>
          <w:tcPr>
            <w:tcW w:w="7564" w:type="dxa"/>
          </w:tcPr>
          <w:p w:rsidR="008411B6" w:rsidRPr="00F2535B" w:rsidRDefault="006E58CE" w:rsidP="0085277C">
            <w:pPr>
              <w:widowControl w:val="0"/>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w:t>
            </w:r>
            <w:r w:rsidR="008411B6" w:rsidRPr="00F2535B">
              <w:rPr>
                <w:rFonts w:ascii="Times New Roman" w:eastAsia="Times New Roman" w:hAnsi="Times New Roman" w:cs="Times New Roman"/>
                <w:color w:val="000000"/>
                <w:sz w:val="28"/>
                <w:szCs w:val="28"/>
              </w:rPr>
              <w:t>ідрозділ 10</w:t>
            </w:r>
            <w:r>
              <w:rPr>
                <w:rFonts w:ascii="Times New Roman" w:eastAsia="Times New Roman" w:hAnsi="Times New Roman" w:cs="Times New Roman"/>
                <w:color w:val="000000"/>
                <w:sz w:val="28"/>
                <w:szCs w:val="28"/>
              </w:rPr>
              <w:t xml:space="preserve">. Інші </w:t>
            </w:r>
            <w:r w:rsidR="005A1857">
              <w:rPr>
                <w:rFonts w:ascii="Times New Roman" w:eastAsia="Times New Roman" w:hAnsi="Times New Roman" w:cs="Times New Roman"/>
                <w:color w:val="000000"/>
                <w:sz w:val="28"/>
                <w:szCs w:val="28"/>
              </w:rPr>
              <w:t xml:space="preserve">перехідні </w:t>
            </w:r>
            <w:r>
              <w:rPr>
                <w:rFonts w:ascii="Times New Roman" w:eastAsia="Times New Roman" w:hAnsi="Times New Roman" w:cs="Times New Roman"/>
                <w:color w:val="000000"/>
                <w:sz w:val="28"/>
                <w:szCs w:val="28"/>
              </w:rPr>
              <w:t>положення</w:t>
            </w:r>
            <w:r w:rsidR="008411B6" w:rsidRPr="00F2535B">
              <w:rPr>
                <w:rFonts w:ascii="Times New Roman" w:eastAsia="Times New Roman" w:hAnsi="Times New Roman" w:cs="Times New Roman"/>
                <w:color w:val="000000"/>
                <w:sz w:val="28"/>
                <w:szCs w:val="28"/>
              </w:rPr>
              <w:t xml:space="preserve"> </w:t>
            </w:r>
          </w:p>
          <w:p w:rsidR="000168BF" w:rsidRDefault="005A1857" w:rsidP="0085277C">
            <w:pPr>
              <w:pBdr>
                <w:top w:val="nil"/>
                <w:left w:val="nil"/>
                <w:bottom w:val="nil"/>
                <w:right w:val="nil"/>
                <w:between w:val="nil"/>
              </w:pBdr>
              <w:shd w:val="clear" w:color="auto" w:fill="FFFFFF"/>
              <w:spacing w:before="120"/>
              <w:ind w:firstLine="567"/>
              <w:jc w:val="both"/>
              <w:rPr>
                <w:rFonts w:ascii="Times New Roman" w:eastAsia="Times New Roman" w:hAnsi="Times New Roman" w:cs="Times New Roman"/>
                <w:sz w:val="28"/>
                <w:szCs w:val="28"/>
                <w:highlight w:val="white"/>
              </w:rPr>
            </w:pPr>
            <w:r w:rsidRPr="005A1857">
              <w:rPr>
                <w:rFonts w:ascii="Times New Roman" w:eastAsia="Times New Roman" w:hAnsi="Times New Roman" w:cs="Times New Roman"/>
                <w:sz w:val="28"/>
                <w:szCs w:val="28"/>
              </w:rPr>
              <w:t>1. Встановити, що погашення простроченої заборгованості суб'єкта господарювання перед державою (Автономною Республікою Крим чи територіальною громадою міста) за кредитом (позикою), залученим державою (Автономною Республікою Крим чи територіальною громадою міста) або під державну (місцеву) гарантію, а також за кредитом з бюджету (включаючи плату за користування такими кредитами (позиками) та пеню) здійснюється у порядку, визначеному главою 9 розділу II цього Кодексу.</w:t>
            </w:r>
          </w:p>
          <w:p w:rsidR="00001D32" w:rsidRPr="00F2535B" w:rsidRDefault="008411B6">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highlight w:val="white"/>
              </w:rPr>
            </w:pPr>
            <w:r w:rsidRPr="00F2535B">
              <w:rPr>
                <w:rFonts w:ascii="Times New Roman" w:eastAsia="Times New Roman" w:hAnsi="Times New Roman" w:cs="Times New Roman"/>
                <w:sz w:val="28"/>
                <w:szCs w:val="28"/>
                <w:highlight w:val="white"/>
              </w:rPr>
              <w:t>…</w:t>
            </w:r>
          </w:p>
          <w:p w:rsidR="005A1857" w:rsidRP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5A1857">
              <w:rPr>
                <w:rFonts w:ascii="Times New Roman" w:eastAsia="Times New Roman" w:hAnsi="Times New Roman" w:cs="Times New Roman"/>
                <w:sz w:val="28"/>
                <w:szCs w:val="28"/>
              </w:rPr>
              <w:t>16-1. Тимчасово, до набрання чинності рішенням Верховної Ради України про завершення реформи Збройних Сил України, встановлюється військовий збір.</w:t>
            </w:r>
          </w:p>
          <w:p w:rsidR="005A1857" w:rsidRP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p>
          <w:p w:rsidR="008411B6" w:rsidRP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1.1. </w:t>
            </w:r>
            <w:r w:rsidRPr="005A1857">
              <w:rPr>
                <w:rFonts w:ascii="Times New Roman" w:eastAsia="Times New Roman" w:hAnsi="Times New Roman" w:cs="Times New Roman"/>
                <w:sz w:val="28"/>
                <w:szCs w:val="28"/>
              </w:rPr>
              <w:t>Платниками збору є особи, визначені пунктом 162.1 статті 162 цього Кодексу.</w:t>
            </w:r>
          </w:p>
          <w:p w:rsidR="005A1857" w:rsidRDefault="005A1857" w:rsidP="005A1857">
            <w:pPr>
              <w:pBdr>
                <w:top w:val="nil"/>
                <w:left w:val="nil"/>
                <w:bottom w:val="nil"/>
                <w:right w:val="nil"/>
                <w:between w:val="nil"/>
              </w:pBdr>
              <w:shd w:val="clear" w:color="auto" w:fill="FFFFFF"/>
              <w:ind w:left="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5A1857">
              <w:rPr>
                <w:rFonts w:ascii="Times New Roman" w:eastAsia="Times New Roman" w:hAnsi="Times New Roman" w:cs="Times New Roman"/>
                <w:sz w:val="28"/>
                <w:szCs w:val="28"/>
              </w:rPr>
              <w:t xml:space="preserve">1.10. Звільняються від оподаткування військовим збором доходи, зазначені в пунктах 13, 15, 16 </w:t>
            </w:r>
            <w:r w:rsidRPr="005A1857">
              <w:rPr>
                <w:rFonts w:ascii="Times New Roman" w:eastAsia="Times New Roman" w:hAnsi="Times New Roman" w:cs="Times New Roman"/>
                <w:b/>
                <w:sz w:val="28"/>
                <w:szCs w:val="28"/>
              </w:rPr>
              <w:t xml:space="preserve">і </w:t>
            </w:r>
            <w:r w:rsidRPr="005A1857">
              <w:rPr>
                <w:rFonts w:ascii="Times New Roman" w:eastAsia="Times New Roman" w:hAnsi="Times New Roman" w:cs="Times New Roman"/>
                <w:sz w:val="28"/>
                <w:szCs w:val="28"/>
              </w:rPr>
              <w:t>17 підрозділу 1 цього розділу.</w:t>
            </w:r>
          </w:p>
          <w:p w:rsidR="003A1245" w:rsidRPr="005A1857" w:rsidRDefault="003A1245"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p>
          <w:p w:rsidR="00391090" w:rsidRDefault="003A1245" w:rsidP="000168BF">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3A1245">
              <w:rPr>
                <w:rFonts w:ascii="Times New Roman" w:eastAsia="Times New Roman" w:hAnsi="Times New Roman" w:cs="Times New Roman"/>
                <w:sz w:val="28"/>
                <w:szCs w:val="28"/>
              </w:rPr>
              <w:t>63. Центральний орган виконавчої влади, що реалізує державну митну політику, центральний орган виконавчої влади, що реалізує державну податкову політику, та центральний орган виконавчої влади, що забезпечує формування та реалізує державну інвестиційну політику, здійснюють автоматичний обмін інформацією, що міститься / має міститися в реєстрі інвестиційних проектів із значними інвестиціями, в тому числі щодо наданого відповідно до пункту 76 підрозділу 2 цього розділу звільнення від оподаткування податком на додану вартість, в обсязі та порядку, визначених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p>
          <w:p w:rsidR="003A1245" w:rsidRPr="003A1245" w:rsidRDefault="003A1245" w:rsidP="000168BF">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rPr>
            </w:pPr>
            <w:r w:rsidRPr="003A1245">
              <w:rPr>
                <w:rFonts w:ascii="Times New Roman" w:eastAsia="Times New Roman" w:hAnsi="Times New Roman" w:cs="Times New Roman"/>
                <w:b/>
                <w:sz w:val="28"/>
                <w:szCs w:val="28"/>
              </w:rPr>
              <w:t>Пункт відсутній.</w:t>
            </w:r>
          </w:p>
        </w:tc>
        <w:tc>
          <w:tcPr>
            <w:tcW w:w="7564" w:type="dxa"/>
          </w:tcPr>
          <w:p w:rsidR="008411B6" w:rsidRPr="00F2535B" w:rsidRDefault="006E58CE" w:rsidP="0085277C">
            <w:pPr>
              <w:widowControl w:val="0"/>
              <w:spacing w:before="12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w:t>
            </w:r>
            <w:r w:rsidR="00F91655" w:rsidRPr="00F2535B">
              <w:rPr>
                <w:rFonts w:ascii="Times New Roman" w:eastAsia="Times New Roman" w:hAnsi="Times New Roman" w:cs="Times New Roman"/>
                <w:color w:val="000000"/>
                <w:sz w:val="28"/>
                <w:szCs w:val="28"/>
              </w:rPr>
              <w:t>ідрозділ 10</w:t>
            </w:r>
            <w:r>
              <w:rPr>
                <w:rFonts w:ascii="Times New Roman" w:eastAsia="Times New Roman" w:hAnsi="Times New Roman" w:cs="Times New Roman"/>
                <w:color w:val="000000"/>
                <w:sz w:val="28"/>
                <w:szCs w:val="28"/>
              </w:rPr>
              <w:t>.</w:t>
            </w:r>
            <w:r w:rsidR="00F91655" w:rsidRPr="00F2535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Інші</w:t>
            </w:r>
            <w:r w:rsidR="00F91655" w:rsidRPr="00F2535B">
              <w:rPr>
                <w:rFonts w:ascii="Times New Roman" w:eastAsia="Times New Roman" w:hAnsi="Times New Roman" w:cs="Times New Roman"/>
                <w:color w:val="000000"/>
                <w:sz w:val="28"/>
                <w:szCs w:val="28"/>
              </w:rPr>
              <w:t xml:space="preserve"> </w:t>
            </w:r>
            <w:r w:rsidR="005A1857">
              <w:rPr>
                <w:rFonts w:ascii="Times New Roman" w:eastAsia="Times New Roman" w:hAnsi="Times New Roman" w:cs="Times New Roman"/>
                <w:color w:val="000000"/>
                <w:sz w:val="28"/>
                <w:szCs w:val="28"/>
              </w:rPr>
              <w:t>перехідні</w:t>
            </w:r>
            <w:r w:rsidR="005A1857" w:rsidRPr="00F2535B">
              <w:rPr>
                <w:rFonts w:ascii="Times New Roman" w:eastAsia="Times New Roman" w:hAnsi="Times New Roman" w:cs="Times New Roman"/>
                <w:color w:val="000000"/>
                <w:sz w:val="28"/>
                <w:szCs w:val="28"/>
              </w:rPr>
              <w:t xml:space="preserve"> </w:t>
            </w:r>
            <w:r w:rsidR="00F91655" w:rsidRPr="00F2535B">
              <w:rPr>
                <w:rFonts w:ascii="Times New Roman" w:eastAsia="Times New Roman" w:hAnsi="Times New Roman" w:cs="Times New Roman"/>
                <w:color w:val="000000"/>
                <w:sz w:val="28"/>
                <w:szCs w:val="28"/>
              </w:rPr>
              <w:t xml:space="preserve">положення </w:t>
            </w:r>
          </w:p>
          <w:p w:rsidR="005A1857" w:rsidRDefault="005A1857" w:rsidP="0085277C">
            <w:pPr>
              <w:pBdr>
                <w:top w:val="nil"/>
                <w:left w:val="nil"/>
                <w:bottom w:val="nil"/>
                <w:right w:val="nil"/>
                <w:between w:val="nil"/>
              </w:pBdr>
              <w:shd w:val="clear" w:color="auto" w:fill="FFFFFF"/>
              <w:spacing w:before="120"/>
              <w:ind w:firstLine="567"/>
              <w:jc w:val="both"/>
              <w:rPr>
                <w:rFonts w:ascii="Times New Roman" w:eastAsia="Times New Roman" w:hAnsi="Times New Roman" w:cs="Times New Roman"/>
                <w:sz w:val="28"/>
                <w:szCs w:val="28"/>
                <w:highlight w:val="white"/>
              </w:rPr>
            </w:pPr>
            <w:r w:rsidRPr="005A1857">
              <w:rPr>
                <w:rFonts w:ascii="Times New Roman" w:eastAsia="Times New Roman" w:hAnsi="Times New Roman" w:cs="Times New Roman"/>
                <w:sz w:val="28"/>
                <w:szCs w:val="28"/>
              </w:rPr>
              <w:t>1. Встановити, що погашення простроченої заборгованості суб'єкта господарювання перед державою (Автономною Республікою Крим чи територіальною громадою міста) за кредитом (позикою), залученим державою (Автономною Республікою Крим чи територіальною громадою міста) або під державну (місцеву) гарантію, а також за кредитом з бюджету (включаючи плату за користування такими кредитами (позиками) та пеню) здійснюється у порядку, визначеному главою 9 розділу II цього Кодексу.</w:t>
            </w:r>
          </w:p>
          <w:p w:rsidR="008411B6" w:rsidRPr="00F2535B" w:rsidRDefault="008411B6" w:rsidP="00F91655">
            <w:pPr>
              <w:widowControl w:val="0"/>
              <w:ind w:firstLine="567"/>
              <w:jc w:val="both"/>
              <w:rPr>
                <w:rFonts w:ascii="Times New Roman" w:eastAsia="Times New Roman" w:hAnsi="Times New Roman" w:cs="Times New Roman"/>
                <w:color w:val="000000"/>
                <w:sz w:val="28"/>
                <w:szCs w:val="28"/>
              </w:rPr>
            </w:pPr>
            <w:r w:rsidRPr="00F2535B">
              <w:rPr>
                <w:rFonts w:ascii="Times New Roman" w:eastAsia="Times New Roman" w:hAnsi="Times New Roman" w:cs="Times New Roman"/>
                <w:color w:val="000000"/>
                <w:sz w:val="28"/>
                <w:szCs w:val="28"/>
              </w:rPr>
              <w:t>…</w:t>
            </w:r>
          </w:p>
          <w:p w:rsidR="005A1857" w:rsidRP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5A1857">
              <w:rPr>
                <w:rFonts w:ascii="Times New Roman" w:eastAsia="Times New Roman" w:hAnsi="Times New Roman" w:cs="Times New Roman"/>
                <w:sz w:val="28"/>
                <w:szCs w:val="28"/>
              </w:rPr>
              <w:t>16-1. Тимчасово, до набрання чинності рішенням Верховної Ради України про завершення реформи Збройних Сил України, встановлюється військовий збір.</w:t>
            </w:r>
          </w:p>
          <w:p w:rsidR="005A1857" w:rsidRP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p>
          <w:p w:rsidR="005A1857" w:rsidRP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highlight w:val="white"/>
              </w:rPr>
            </w:pPr>
            <w:r w:rsidRPr="005A1857">
              <w:rPr>
                <w:rFonts w:ascii="Times New Roman" w:eastAsia="Times New Roman" w:hAnsi="Times New Roman" w:cs="Times New Roman"/>
                <w:sz w:val="28"/>
                <w:szCs w:val="28"/>
              </w:rPr>
              <w:lastRenderedPageBreak/>
              <w:t>1.1. Платниками збору є особи, визначені пунктом 162.1 статті 162 цього Кодексу.</w:t>
            </w:r>
          </w:p>
          <w:p w:rsidR="008411B6" w:rsidRPr="00F2535B" w:rsidRDefault="005A1857" w:rsidP="00F91655">
            <w:pPr>
              <w:widowControl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A1857" w:rsidRDefault="005A1857"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5A1857">
              <w:rPr>
                <w:rFonts w:ascii="Times New Roman" w:eastAsia="Times New Roman" w:hAnsi="Times New Roman" w:cs="Times New Roman"/>
                <w:sz w:val="28"/>
                <w:szCs w:val="28"/>
              </w:rPr>
              <w:t>1.10. Звільняються від оподаткування військовим збором доходи, зазначені в пунктах 13, 15, 16</w:t>
            </w:r>
            <w:r w:rsidRPr="005A1857">
              <w:rPr>
                <w:rFonts w:ascii="Times New Roman" w:eastAsia="Times New Roman" w:hAnsi="Times New Roman" w:cs="Times New Roman"/>
                <w:b/>
                <w:sz w:val="28"/>
                <w:szCs w:val="28"/>
              </w:rPr>
              <w:t>,</w:t>
            </w:r>
            <w:r w:rsidRPr="005A1857">
              <w:rPr>
                <w:rFonts w:ascii="Times New Roman" w:eastAsia="Times New Roman" w:hAnsi="Times New Roman" w:cs="Times New Roman"/>
                <w:sz w:val="28"/>
                <w:szCs w:val="28"/>
              </w:rPr>
              <w:t xml:space="preserve"> 17</w:t>
            </w:r>
            <w:r>
              <w:rPr>
                <w:rFonts w:ascii="Times New Roman" w:eastAsia="Times New Roman" w:hAnsi="Times New Roman" w:cs="Times New Roman"/>
                <w:sz w:val="28"/>
                <w:szCs w:val="28"/>
              </w:rPr>
              <w:t xml:space="preserve"> </w:t>
            </w:r>
            <w:r w:rsidRPr="005A1857">
              <w:rPr>
                <w:rFonts w:ascii="Times New Roman" w:eastAsia="Times New Roman" w:hAnsi="Times New Roman" w:cs="Times New Roman"/>
                <w:b/>
                <w:sz w:val="28"/>
                <w:szCs w:val="28"/>
              </w:rPr>
              <w:t>і 18</w:t>
            </w:r>
            <w:r w:rsidRPr="005A1857">
              <w:rPr>
                <w:rFonts w:ascii="Times New Roman" w:eastAsia="Times New Roman" w:hAnsi="Times New Roman" w:cs="Times New Roman"/>
                <w:sz w:val="28"/>
                <w:szCs w:val="28"/>
              </w:rPr>
              <w:t xml:space="preserve"> підрозділу 1 цього розділу.</w:t>
            </w:r>
          </w:p>
          <w:p w:rsidR="003A1245" w:rsidRPr="005A1857" w:rsidRDefault="003A1245" w:rsidP="005A1857">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391090" w:rsidRDefault="003A1245" w:rsidP="000168BF">
            <w:pPr>
              <w:widowControl w:val="0"/>
              <w:ind w:firstLine="567"/>
              <w:jc w:val="both"/>
              <w:rPr>
                <w:rFonts w:ascii="Times New Roman" w:eastAsia="Times New Roman" w:hAnsi="Times New Roman" w:cs="Times New Roman"/>
                <w:sz w:val="28"/>
                <w:szCs w:val="28"/>
              </w:rPr>
            </w:pPr>
            <w:r w:rsidRPr="003A1245">
              <w:rPr>
                <w:rFonts w:ascii="Times New Roman" w:eastAsia="Times New Roman" w:hAnsi="Times New Roman" w:cs="Times New Roman"/>
                <w:sz w:val="28"/>
                <w:szCs w:val="28"/>
              </w:rPr>
              <w:t>63. Центральний орган виконавчої влади, що реалізує державну митну політику, центральний орган виконавчої влади, що реалізує державну податкову політику, та центральний орган виконавчої влади, що забезпечує формування та реалізує державну інвестиційну політику, здійснюють автоматичний обмін інформацією, що міститься / має міститися в реєстрі інвестиційних проектів із значними інвестиціями, в тому числі щодо наданого відповідно до пункту 76 підрозділу 2 цього розділу звільнення від оподаткування податком на додану вартість, в обсязі та порядку, визначених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p>
          <w:p w:rsidR="00DE7A3D" w:rsidRPr="00DE7A3D" w:rsidRDefault="003A1245" w:rsidP="00DE7A3D">
            <w:pPr>
              <w:widowControl w:val="0"/>
              <w:ind w:firstLine="720"/>
              <w:jc w:val="both"/>
              <w:rPr>
                <w:rFonts w:ascii="Times New Roman" w:hAnsi="Times New Roman"/>
                <w:b/>
                <w:sz w:val="28"/>
                <w:szCs w:val="28"/>
              </w:rPr>
            </w:pPr>
            <w:r w:rsidRPr="003A1245">
              <w:rPr>
                <w:rFonts w:ascii="Times New Roman" w:hAnsi="Times New Roman"/>
                <w:b/>
                <w:sz w:val="28"/>
                <w:szCs w:val="28"/>
              </w:rPr>
              <w:t xml:space="preserve">64. </w:t>
            </w:r>
            <w:r w:rsidR="00DE7A3D" w:rsidRPr="00DE7A3D">
              <w:rPr>
                <w:rFonts w:ascii="Times New Roman" w:hAnsi="Times New Roman"/>
                <w:b/>
                <w:sz w:val="28"/>
                <w:szCs w:val="28"/>
              </w:rPr>
              <w:t xml:space="preserve">Установити, що особи, стосовно яких встановлено факт позбавлення особистої свободи внаслідок збройної агресії проти України, на час позбавлення особистої свободи та протягом шести місяців після звільнення з місць несвободи  звільняються від обов'язку подання податкової звітності та </w:t>
            </w:r>
            <w:r w:rsidR="00FB3F4E" w:rsidRPr="00FB3F4E">
              <w:rPr>
                <w:rFonts w:ascii="Times New Roman" w:hAnsi="Times New Roman"/>
                <w:b/>
                <w:sz w:val="28"/>
                <w:szCs w:val="28"/>
              </w:rPr>
              <w:t xml:space="preserve">в цей період </w:t>
            </w:r>
            <w:r w:rsidR="00DE7A3D" w:rsidRPr="00DE7A3D">
              <w:rPr>
                <w:rFonts w:ascii="Times New Roman" w:hAnsi="Times New Roman"/>
                <w:b/>
                <w:sz w:val="28"/>
                <w:szCs w:val="28"/>
              </w:rPr>
              <w:t xml:space="preserve">до них не застосовуються штрафні санкції (фінансові санкції, штрафи) за неподання такої звітності, а також не </w:t>
            </w:r>
            <w:r w:rsidR="00DE7A3D" w:rsidRPr="00DE7A3D">
              <w:rPr>
                <w:rFonts w:ascii="Times New Roman" w:hAnsi="Times New Roman"/>
                <w:b/>
                <w:sz w:val="28"/>
                <w:szCs w:val="28"/>
              </w:rPr>
              <w:lastRenderedPageBreak/>
              <w:t>застосовуються заходи, спрямовані на погашення (стягнення) грошових зобов'язань та/або податкового боргу".</w:t>
            </w:r>
          </w:p>
          <w:p w:rsidR="003A1245" w:rsidRPr="00F2535B" w:rsidRDefault="003A1245" w:rsidP="000168BF">
            <w:pPr>
              <w:widowControl w:val="0"/>
              <w:ind w:firstLine="567"/>
              <w:jc w:val="both"/>
              <w:rPr>
                <w:rFonts w:ascii="Times New Roman" w:eastAsia="Times New Roman" w:hAnsi="Times New Roman" w:cs="Times New Roman"/>
                <w:b/>
                <w:sz w:val="28"/>
                <w:szCs w:val="28"/>
              </w:rPr>
            </w:pPr>
          </w:p>
        </w:tc>
      </w:tr>
    </w:tbl>
    <w:p w:rsidR="00F2535B" w:rsidRDefault="00F2535B" w:rsidP="00F2535B">
      <w:pPr>
        <w:spacing w:after="0" w:line="240" w:lineRule="auto"/>
        <w:jc w:val="both"/>
        <w:rPr>
          <w:rFonts w:ascii="Times New Roman" w:eastAsia="Times New Roman" w:hAnsi="Times New Roman" w:cs="Times New Roman"/>
          <w:b/>
          <w:sz w:val="28"/>
          <w:szCs w:val="28"/>
        </w:rPr>
      </w:pPr>
      <w:r w:rsidRPr="00507016">
        <w:rPr>
          <w:rFonts w:ascii="Times New Roman" w:eastAsia="Times New Roman" w:hAnsi="Times New Roman" w:cs="Times New Roman"/>
          <w:b/>
          <w:sz w:val="28"/>
          <w:szCs w:val="28"/>
        </w:rPr>
        <w:lastRenderedPageBreak/>
        <w:t xml:space="preserve">    </w:t>
      </w:r>
      <w:r>
        <w:rPr>
          <w:rFonts w:ascii="Times New Roman" w:eastAsia="Times New Roman" w:hAnsi="Times New Roman" w:cs="Times New Roman"/>
          <w:b/>
          <w:sz w:val="28"/>
          <w:szCs w:val="28"/>
        </w:rPr>
        <w:t xml:space="preserve">          </w:t>
      </w:r>
    </w:p>
    <w:p w:rsidR="00367C3A" w:rsidRDefault="00367C3A" w:rsidP="00F2535B">
      <w:pPr>
        <w:spacing w:after="0" w:line="240" w:lineRule="auto"/>
        <w:jc w:val="both"/>
        <w:rPr>
          <w:rFonts w:ascii="Times New Roman" w:eastAsia="Times New Roman" w:hAnsi="Times New Roman" w:cs="Times New Roman"/>
          <w:b/>
          <w:sz w:val="28"/>
          <w:szCs w:val="28"/>
        </w:rPr>
      </w:pPr>
    </w:p>
    <w:p w:rsidR="003A5D10" w:rsidRPr="003A5D10" w:rsidRDefault="00F2535B" w:rsidP="0012188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507016">
        <w:rPr>
          <w:rFonts w:ascii="Times New Roman" w:eastAsia="Times New Roman" w:hAnsi="Times New Roman" w:cs="Times New Roman"/>
          <w:b/>
          <w:sz w:val="28"/>
          <w:szCs w:val="28"/>
        </w:rPr>
        <w:t xml:space="preserve"> </w:t>
      </w:r>
      <w:r w:rsidR="003A5D10" w:rsidRPr="003A5D10">
        <w:rPr>
          <w:rFonts w:ascii="Times New Roman" w:eastAsia="Times New Roman" w:hAnsi="Times New Roman" w:cs="Times New Roman"/>
          <w:sz w:val="28"/>
          <w:szCs w:val="28"/>
        </w:rPr>
        <w:t>Заступник Керівника</w:t>
      </w:r>
    </w:p>
    <w:p w:rsidR="00F2535B" w:rsidRPr="00507016" w:rsidRDefault="003A5D10" w:rsidP="0012188A">
      <w:pPr>
        <w:spacing w:after="0" w:line="240" w:lineRule="auto"/>
        <w:jc w:val="both"/>
        <w:rPr>
          <w:rFonts w:ascii="Times New Roman" w:eastAsia="Times New Roman" w:hAnsi="Times New Roman" w:cs="Times New Roman"/>
          <w:b/>
          <w:sz w:val="28"/>
          <w:szCs w:val="28"/>
        </w:rPr>
      </w:pPr>
      <w:r w:rsidRPr="003A5D10">
        <w:rPr>
          <w:rFonts w:ascii="Times New Roman" w:eastAsia="Times New Roman" w:hAnsi="Times New Roman" w:cs="Times New Roman"/>
          <w:sz w:val="28"/>
          <w:szCs w:val="28"/>
        </w:rPr>
        <w:t xml:space="preserve">          Офісу Президента України                                                                                                                      </w:t>
      </w:r>
      <w:r>
        <w:rPr>
          <w:rFonts w:ascii="Times New Roman" w:eastAsia="Times New Roman" w:hAnsi="Times New Roman" w:cs="Times New Roman"/>
          <w:b/>
          <w:sz w:val="28"/>
          <w:szCs w:val="28"/>
        </w:rPr>
        <w:t>К.Тимошенко</w:t>
      </w:r>
    </w:p>
    <w:p w:rsidR="00391090" w:rsidRPr="00F2535B" w:rsidRDefault="00391090">
      <w:pPr>
        <w:spacing w:line="240" w:lineRule="auto"/>
        <w:rPr>
          <w:rFonts w:ascii="Times New Roman" w:eastAsia="Times New Roman" w:hAnsi="Times New Roman" w:cs="Times New Roman"/>
          <w:sz w:val="28"/>
          <w:szCs w:val="28"/>
        </w:rPr>
      </w:pPr>
    </w:p>
    <w:sectPr w:rsidR="00391090" w:rsidRPr="00F2535B" w:rsidSect="00263CB7">
      <w:headerReference w:type="default" r:id="rId8"/>
      <w:pgSz w:w="16839" w:h="11907" w:orient="landscape" w:code="9"/>
      <w:pgMar w:top="1134" w:right="850" w:bottom="850" w:left="85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8EC" w:rsidRDefault="00AF68EC">
      <w:pPr>
        <w:spacing w:after="0" w:line="240" w:lineRule="auto"/>
      </w:pPr>
      <w:r>
        <w:separator/>
      </w:r>
    </w:p>
  </w:endnote>
  <w:endnote w:type="continuationSeparator" w:id="0">
    <w:p w:rsidR="00AF68EC" w:rsidRDefault="00AF6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8EC" w:rsidRDefault="00AF68EC">
      <w:pPr>
        <w:spacing w:after="0" w:line="240" w:lineRule="auto"/>
      </w:pPr>
      <w:r>
        <w:separator/>
      </w:r>
    </w:p>
  </w:footnote>
  <w:footnote w:type="continuationSeparator" w:id="0">
    <w:p w:rsidR="00AF68EC" w:rsidRDefault="00AF6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90" w:rsidRPr="005A1857" w:rsidRDefault="00E564A2">
    <w:pPr>
      <w:pBdr>
        <w:top w:val="nil"/>
        <w:left w:val="nil"/>
        <w:bottom w:val="nil"/>
        <w:right w:val="nil"/>
        <w:between w:val="nil"/>
      </w:pBdr>
      <w:tabs>
        <w:tab w:val="center" w:pos="4819"/>
        <w:tab w:val="right" w:pos="9639"/>
      </w:tabs>
      <w:spacing w:after="0" w:line="240" w:lineRule="auto"/>
      <w:jc w:val="center"/>
      <w:rPr>
        <w:rFonts w:ascii="Times New Roman" w:hAnsi="Times New Roman" w:cs="Times New Roman"/>
        <w:color w:val="000000"/>
        <w:sz w:val="28"/>
        <w:szCs w:val="28"/>
      </w:rPr>
    </w:pPr>
    <w:r w:rsidRPr="005A1857">
      <w:rPr>
        <w:rFonts w:ascii="Times New Roman" w:hAnsi="Times New Roman" w:cs="Times New Roman"/>
        <w:color w:val="000000"/>
        <w:sz w:val="28"/>
        <w:szCs w:val="28"/>
      </w:rPr>
      <w:fldChar w:fldCharType="begin"/>
    </w:r>
    <w:r w:rsidRPr="005A1857">
      <w:rPr>
        <w:rFonts w:ascii="Times New Roman" w:hAnsi="Times New Roman" w:cs="Times New Roman"/>
        <w:color w:val="000000"/>
        <w:sz w:val="28"/>
        <w:szCs w:val="28"/>
      </w:rPr>
      <w:instrText>PAGE</w:instrText>
    </w:r>
    <w:r w:rsidRPr="005A1857">
      <w:rPr>
        <w:rFonts w:ascii="Times New Roman" w:hAnsi="Times New Roman" w:cs="Times New Roman"/>
        <w:color w:val="000000"/>
        <w:sz w:val="28"/>
        <w:szCs w:val="28"/>
      </w:rPr>
      <w:fldChar w:fldCharType="separate"/>
    </w:r>
    <w:r w:rsidR="001B6DD6">
      <w:rPr>
        <w:rFonts w:ascii="Times New Roman" w:hAnsi="Times New Roman" w:cs="Times New Roman"/>
        <w:noProof/>
        <w:color w:val="000000"/>
        <w:sz w:val="28"/>
        <w:szCs w:val="28"/>
      </w:rPr>
      <w:t>2</w:t>
    </w:r>
    <w:r w:rsidRPr="005A1857">
      <w:rPr>
        <w:rFonts w:ascii="Times New Roman" w:hAnsi="Times New Roman" w:cs="Times New Roman"/>
        <w:color w:val="000000"/>
        <w:sz w:val="28"/>
        <w:szCs w:val="28"/>
      </w:rPr>
      <w:fldChar w:fldCharType="end"/>
    </w:r>
  </w:p>
  <w:p w:rsidR="00391090" w:rsidRDefault="00391090">
    <w:pPr>
      <w:pBdr>
        <w:top w:val="nil"/>
        <w:left w:val="nil"/>
        <w:bottom w:val="nil"/>
        <w:right w:val="nil"/>
        <w:between w:val="nil"/>
      </w:pBdr>
      <w:tabs>
        <w:tab w:val="center" w:pos="4819"/>
        <w:tab w:val="right" w:pos="9639"/>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54A"/>
    <w:multiLevelType w:val="hybridMultilevel"/>
    <w:tmpl w:val="78805580"/>
    <w:lvl w:ilvl="0" w:tplc="FFCE0C3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5701851"/>
    <w:multiLevelType w:val="multilevel"/>
    <w:tmpl w:val="1F846A3E"/>
    <w:lvl w:ilvl="0">
      <w:start w:val="1"/>
      <w:numFmt w:val="decimal"/>
      <w:lvlText w:val="%1."/>
      <w:lvlJc w:val="left"/>
      <w:pPr>
        <w:ind w:left="495" w:hanging="49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090"/>
    <w:rsid w:val="00000F45"/>
    <w:rsid w:val="00001D32"/>
    <w:rsid w:val="00016800"/>
    <w:rsid w:val="000168BF"/>
    <w:rsid w:val="000D390F"/>
    <w:rsid w:val="000E4D9C"/>
    <w:rsid w:val="0012188A"/>
    <w:rsid w:val="00141388"/>
    <w:rsid w:val="001B10A7"/>
    <w:rsid w:val="001B6DD6"/>
    <w:rsid w:val="00263CB7"/>
    <w:rsid w:val="00273561"/>
    <w:rsid w:val="00274997"/>
    <w:rsid w:val="00285562"/>
    <w:rsid w:val="002F3526"/>
    <w:rsid w:val="003355EA"/>
    <w:rsid w:val="0035646F"/>
    <w:rsid w:val="003644EF"/>
    <w:rsid w:val="00367C3A"/>
    <w:rsid w:val="00376026"/>
    <w:rsid w:val="00391090"/>
    <w:rsid w:val="003A1245"/>
    <w:rsid w:val="003A5D10"/>
    <w:rsid w:val="003B4B8F"/>
    <w:rsid w:val="00423E6C"/>
    <w:rsid w:val="00440A3C"/>
    <w:rsid w:val="00453A22"/>
    <w:rsid w:val="0047093D"/>
    <w:rsid w:val="004B6608"/>
    <w:rsid w:val="004E6891"/>
    <w:rsid w:val="005218D3"/>
    <w:rsid w:val="005407A0"/>
    <w:rsid w:val="00557D71"/>
    <w:rsid w:val="00562C27"/>
    <w:rsid w:val="00577DBB"/>
    <w:rsid w:val="005843CF"/>
    <w:rsid w:val="005A1857"/>
    <w:rsid w:val="005B435C"/>
    <w:rsid w:val="005D5153"/>
    <w:rsid w:val="005D5918"/>
    <w:rsid w:val="00693305"/>
    <w:rsid w:val="006E58CE"/>
    <w:rsid w:val="00762499"/>
    <w:rsid w:val="00797DCF"/>
    <w:rsid w:val="007C475D"/>
    <w:rsid w:val="007C6B41"/>
    <w:rsid w:val="008411B6"/>
    <w:rsid w:val="0085277C"/>
    <w:rsid w:val="008D66C9"/>
    <w:rsid w:val="008E23CE"/>
    <w:rsid w:val="008F73CF"/>
    <w:rsid w:val="009D00BD"/>
    <w:rsid w:val="009F217D"/>
    <w:rsid w:val="00A02F9E"/>
    <w:rsid w:val="00AE787C"/>
    <w:rsid w:val="00AF68EC"/>
    <w:rsid w:val="00B02593"/>
    <w:rsid w:val="00B96A52"/>
    <w:rsid w:val="00BE0BF6"/>
    <w:rsid w:val="00BF57E4"/>
    <w:rsid w:val="00C0716C"/>
    <w:rsid w:val="00C46758"/>
    <w:rsid w:val="00C478DB"/>
    <w:rsid w:val="00C60B8E"/>
    <w:rsid w:val="00C75626"/>
    <w:rsid w:val="00C9413B"/>
    <w:rsid w:val="00CA2441"/>
    <w:rsid w:val="00CA5463"/>
    <w:rsid w:val="00CA6F72"/>
    <w:rsid w:val="00CE3D73"/>
    <w:rsid w:val="00D6567F"/>
    <w:rsid w:val="00D73EA7"/>
    <w:rsid w:val="00D85165"/>
    <w:rsid w:val="00DC32E2"/>
    <w:rsid w:val="00DE7A3D"/>
    <w:rsid w:val="00E564A2"/>
    <w:rsid w:val="00E967CF"/>
    <w:rsid w:val="00EC4093"/>
    <w:rsid w:val="00F2535B"/>
    <w:rsid w:val="00F327AC"/>
    <w:rsid w:val="00F91655"/>
    <w:rsid w:val="00FB3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customStyle="1" w:styleId="rvps7">
    <w:name w:val="rvps7"/>
    <w:basedOn w:val="a"/>
    <w:rsid w:val="000168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16800"/>
  </w:style>
  <w:style w:type="character" w:customStyle="1" w:styleId="rvts37">
    <w:name w:val="rvts37"/>
    <w:basedOn w:val="a0"/>
    <w:rsid w:val="00016800"/>
  </w:style>
  <w:style w:type="paragraph" w:customStyle="1" w:styleId="rvps2">
    <w:name w:val="rvps2"/>
    <w:basedOn w:val="a"/>
    <w:rsid w:val="000168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Hyperlink"/>
    <w:basedOn w:val="a0"/>
    <w:uiPriority w:val="99"/>
    <w:semiHidden/>
    <w:unhideWhenUsed/>
    <w:rsid w:val="00016800"/>
    <w:rPr>
      <w:color w:val="0000FF"/>
      <w:u w:val="single"/>
    </w:rPr>
  </w:style>
  <w:style w:type="character" w:customStyle="1" w:styleId="rvts46">
    <w:name w:val="rvts46"/>
    <w:basedOn w:val="a0"/>
    <w:rsid w:val="00016800"/>
  </w:style>
  <w:style w:type="paragraph" w:styleId="a7">
    <w:name w:val="List Paragraph"/>
    <w:basedOn w:val="a"/>
    <w:uiPriority w:val="34"/>
    <w:qFormat/>
    <w:rsid w:val="006E58CE"/>
    <w:pPr>
      <w:ind w:left="720"/>
      <w:contextualSpacing/>
    </w:pPr>
  </w:style>
  <w:style w:type="paragraph" w:styleId="a8">
    <w:name w:val="header"/>
    <w:basedOn w:val="a"/>
    <w:link w:val="a9"/>
    <w:uiPriority w:val="99"/>
    <w:unhideWhenUsed/>
    <w:rsid w:val="005A1857"/>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5A1857"/>
  </w:style>
  <w:style w:type="paragraph" w:styleId="aa">
    <w:name w:val="footer"/>
    <w:basedOn w:val="a"/>
    <w:link w:val="ab"/>
    <w:uiPriority w:val="99"/>
    <w:unhideWhenUsed/>
    <w:rsid w:val="005A1857"/>
    <w:pPr>
      <w:tabs>
        <w:tab w:val="center" w:pos="4819"/>
        <w:tab w:val="right" w:pos="9639"/>
      </w:tabs>
      <w:spacing w:after="0" w:line="240" w:lineRule="auto"/>
    </w:pPr>
  </w:style>
  <w:style w:type="character" w:customStyle="1" w:styleId="ab">
    <w:name w:val="Нижній колонтитул Знак"/>
    <w:basedOn w:val="a0"/>
    <w:link w:val="aa"/>
    <w:uiPriority w:val="99"/>
    <w:rsid w:val="005A1857"/>
  </w:style>
  <w:style w:type="paragraph" w:styleId="ac">
    <w:name w:val="Balloon Text"/>
    <w:basedOn w:val="a"/>
    <w:link w:val="ad"/>
    <w:uiPriority w:val="99"/>
    <w:semiHidden/>
    <w:unhideWhenUsed/>
    <w:rsid w:val="00B96A52"/>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B96A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48338">
      <w:bodyDiv w:val="1"/>
      <w:marLeft w:val="0"/>
      <w:marRight w:val="0"/>
      <w:marTop w:val="0"/>
      <w:marBottom w:val="0"/>
      <w:divBdr>
        <w:top w:val="none" w:sz="0" w:space="0" w:color="auto"/>
        <w:left w:val="none" w:sz="0" w:space="0" w:color="auto"/>
        <w:bottom w:val="none" w:sz="0" w:space="0" w:color="auto"/>
        <w:right w:val="none" w:sz="0" w:space="0" w:color="auto"/>
      </w:divBdr>
    </w:div>
    <w:div w:id="1020011433">
      <w:bodyDiv w:val="1"/>
      <w:marLeft w:val="0"/>
      <w:marRight w:val="0"/>
      <w:marTop w:val="0"/>
      <w:marBottom w:val="0"/>
      <w:divBdr>
        <w:top w:val="none" w:sz="0" w:space="0" w:color="auto"/>
        <w:left w:val="none" w:sz="0" w:space="0" w:color="auto"/>
        <w:bottom w:val="none" w:sz="0" w:space="0" w:color="auto"/>
        <w:right w:val="none" w:sz="0" w:space="0" w:color="auto"/>
      </w:divBdr>
    </w:div>
    <w:div w:id="1205950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99348-BD29-481B-BF8C-87FE51805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4621</Words>
  <Characters>2634</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2021-09-27T12:29:00Z</dcterms:created>
  <dcterms:modified xsi:type="dcterms:W3CDTF">2021-09-27T12:29:00Z</dcterms:modified>
</cp:coreProperties>
</file>