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Pr="00D4331D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D4331D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D4331D" w:rsidRDefault="00F517EC" w:rsidP="00C44D75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AC15D7" w:rsidRPr="00346002" w:rsidRDefault="00F517EC" w:rsidP="00346002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proofErr w:type="spellStart"/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проєкту</w:t>
      </w:r>
      <w:proofErr w:type="spellEnd"/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«</w:t>
      </w:r>
      <w:r w:rsidR="00CF75C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Про </w:t>
      </w:r>
      <w:r w:rsidR="00CF75C3" w:rsidRPr="00CF75C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</w:t>
      </w:r>
      <w:r w:rsidR="00AC15D7" w:rsidRPr="00D4331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»</w:t>
      </w:r>
    </w:p>
    <w:p w:rsidR="00F517EC" w:rsidRPr="00D4331D" w:rsidRDefault="00AC15D7" w:rsidP="00C44D75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13C1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(реєстр. № </w:t>
      </w:r>
      <w:r w:rsidR="00456324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6070-1 від 05.10.2021</w:t>
      </w:r>
      <w:r w:rsidR="00F517EC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proofErr w:type="spellStart"/>
      <w:r w:rsidR="00F517EC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н.д</w:t>
      </w:r>
      <w:proofErr w:type="spellEnd"/>
      <w:r w:rsidR="00F517EC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 </w:t>
      </w:r>
      <w:proofErr w:type="spellStart"/>
      <w:r w:rsidR="00456324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Чорноморов</w:t>
      </w:r>
      <w:proofErr w:type="spellEnd"/>
      <w:r w:rsidR="00456324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А.О.</w:t>
      </w:r>
      <w:r w:rsidR="00F517EC"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та інші)</w:t>
      </w:r>
      <w:r w:rsidR="00F517EC" w:rsidRPr="00D4331D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D4331D" w:rsidRDefault="00F517EC" w:rsidP="00C44D75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517EC" w:rsidRPr="00D4331D" w:rsidRDefault="00F517EC" w:rsidP="00C44D75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F517EC" w:rsidRPr="00D4331D" w:rsidRDefault="00F517EC" w:rsidP="00C44D75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 Загальна характеристика </w:t>
      </w:r>
      <w:proofErr w:type="spellStart"/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8B7F7F" w:rsidRDefault="00F517EC" w:rsidP="00430F1D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розроблення </w:t>
      </w:r>
      <w:proofErr w:type="spellStart"/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Закону, як зазначено у пояснювальній записці, є</w:t>
      </w:r>
      <w:r w:rsidR="00B67B1A"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C56F5" w:rsidRPr="00DC56F5">
        <w:rPr>
          <w:rFonts w:ascii="Times New Roman" w:eastAsia="Times New Roman" w:hAnsi="Times New Roman"/>
          <w:sz w:val="28"/>
          <w:szCs w:val="28"/>
          <w:lang w:val="uk-UA" w:eastAsia="ru-RU"/>
        </w:rPr>
        <w:t>урегулювання на законодавчому рівні питань функціонування</w:t>
      </w:r>
      <w:r w:rsidR="00DC56F5" w:rsidRPr="00DC56F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 xml:space="preserve"> діяльності органів з оцінки відповідності </w:t>
      </w:r>
      <w:r w:rsidR="00FA0B5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 xml:space="preserve">та їх відповідності </w:t>
      </w:r>
      <w:r w:rsidR="00DC56F5" w:rsidRPr="00DC56F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>вимогам Технічного регламенту</w:t>
      </w:r>
      <w:r w:rsidR="00FA0B57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 xml:space="preserve"> щодо </w:t>
      </w:r>
      <w:r w:rsidR="00DC56F5" w:rsidRPr="00DC56F5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 xml:space="preserve"> </w:t>
      </w:r>
      <w:r w:rsidR="00DC56F5" w:rsidRPr="00DC56F5">
        <w:rPr>
          <w:rFonts w:ascii="Times New Roman" w:eastAsia="Times New Roman" w:hAnsi="Times New Roman"/>
          <w:bCs/>
          <w:sz w:val="28"/>
          <w:szCs w:val="28"/>
          <w:lang w:val="uk-UA"/>
        </w:rPr>
        <w:t>затвердження типу сільськогосподарських та лісогосподарських тракторів, їх причепів і змінних причіпних машин, систем, складових частин та окремих технічних вузлів</w:t>
      </w:r>
      <w:r w:rsidR="00430F1D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>, тощо.</w:t>
      </w:r>
    </w:p>
    <w:p w:rsidR="00430F1D" w:rsidRPr="00D4331D" w:rsidRDefault="00430F1D" w:rsidP="00430F1D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D4331D" w:rsidRDefault="00F517EC" w:rsidP="00C44D75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4331D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2.  </w:t>
      </w:r>
      <w:r w:rsidRPr="00D4331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Належність </w:t>
      </w:r>
      <w:proofErr w:type="spellStart"/>
      <w:r w:rsidRPr="00D4331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  <w:r w:rsidRPr="00D4331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F517EC" w:rsidRPr="00D4331D" w:rsidRDefault="00F517EC" w:rsidP="00C44D75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</w:t>
      </w:r>
      <w:proofErr w:type="spellStart"/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охоплюється:</w:t>
      </w:r>
    </w:p>
    <w:p w:rsidR="002247E9" w:rsidRPr="00D4331D" w:rsidRDefault="00F517EC" w:rsidP="00C44D75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247E9" w:rsidRPr="00D4331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Додатком  ХХХІІ до глави 7 «Транспорт» розділу V «Економічне і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</w:t>
      </w:r>
      <w:r w:rsidR="002247E9"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>(далі – Угода про асоціацію).</w:t>
      </w:r>
    </w:p>
    <w:p w:rsidR="008B7F7F" w:rsidRPr="00D4331D" w:rsidRDefault="008B7F7F" w:rsidP="00C44D75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331D">
        <w:rPr>
          <w:rFonts w:ascii="Times New Roman" w:hAnsi="Times New Roman"/>
          <w:i/>
          <w:sz w:val="28"/>
          <w:szCs w:val="28"/>
          <w:lang w:val="uk-UA"/>
        </w:rPr>
        <w:t xml:space="preserve">Директивою 2014/45/ЄС Європейського Парламенту і Ради </w:t>
      </w:r>
      <w:r w:rsidRPr="00D4331D">
        <w:rPr>
          <w:rFonts w:ascii="Times New Roman" w:hAnsi="Times New Roman"/>
          <w:i/>
          <w:sz w:val="28"/>
          <w:szCs w:val="28"/>
          <w:lang w:val="uk-UA"/>
        </w:rPr>
        <w:br/>
        <w:t xml:space="preserve">від 3 квітня 2014 року про періодичний технічний контроль придатності до експлуатації моторних транспортних засобів та їхніх причепів та про скасування Директиви 2009/40/ЄC </w:t>
      </w:r>
      <w:r w:rsidRPr="00D4331D">
        <w:rPr>
          <w:rFonts w:ascii="Times New Roman" w:hAnsi="Times New Roman"/>
          <w:sz w:val="28"/>
          <w:szCs w:val="28"/>
          <w:lang w:val="uk-UA"/>
        </w:rPr>
        <w:t xml:space="preserve">(далі – Директива 2014/45/ЄС).  </w:t>
      </w:r>
    </w:p>
    <w:p w:rsidR="00A5290D" w:rsidRPr="00D4331D" w:rsidRDefault="00A5290D" w:rsidP="00C44D75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331D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Регламентом 167/2013/ЄС Європейського Парламенту та Ради від 5 лютого 2013 року про схвалення та ринковий нагляд за сільськогосподарською та лісогосподарською технікою </w:t>
      </w:r>
      <w:r w:rsidRPr="00D4331D">
        <w:rPr>
          <w:rFonts w:ascii="Times New Roman" w:hAnsi="Times New Roman"/>
          <w:sz w:val="28"/>
          <w:szCs w:val="28"/>
          <w:lang w:val="uk-UA"/>
        </w:rPr>
        <w:t>(далі – Регламент 167/2013/ЄС).</w:t>
      </w:r>
    </w:p>
    <w:p w:rsidR="00F517EC" w:rsidRPr="00D4331D" w:rsidRDefault="00F517EC" w:rsidP="00C44D75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247E9" w:rsidRPr="00D4331D" w:rsidRDefault="00F517EC" w:rsidP="00C44D75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4331D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Відповідність </w:t>
      </w:r>
      <w:proofErr w:type="spellStart"/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міжнародно-правовим зобов’язанням України в сфері європейської інтеграції та праву ЄС.</w:t>
      </w:r>
    </w:p>
    <w:p w:rsidR="009655EC" w:rsidRPr="009655EC" w:rsidRDefault="009655EC" w:rsidP="009655EC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</w:t>
      </w:r>
      <w:r w:rsidRPr="009655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Pr="009655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пункту</w:t>
      </w:r>
      <w:r w:rsidR="002247E9" w:rsidRPr="009655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1</w:t>
      </w:r>
      <w:r w:rsidR="002247E9" w:rsidRPr="009655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53A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Додатку </w:t>
      </w:r>
      <w:r w:rsidR="002247E9" w:rsidRPr="009655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ХХХІІ</w:t>
      </w:r>
      <w:r w:rsidR="002247E9" w:rsidRPr="009655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247E9" w:rsidRPr="009655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глави 7 «Транспорт» розділу V «Економічне і галузеве співробітництво» Угоди про асоціацію</w:t>
      </w:r>
      <w:r w:rsidR="002247E9" w:rsidRPr="009655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Україна зобов’язується поступово наблизити своє законодавство до законодавства ЄС, а саме до </w:t>
      </w:r>
      <w:r w:rsidR="002247E9" w:rsidRPr="009655E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2009/40/ЄС</w:t>
      </w:r>
      <w:r w:rsidR="002247E9" w:rsidRPr="009655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Європейського Парламенту та </w:t>
      </w:r>
      <w:r w:rsidRPr="009655E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Ради від 6 травня 2009 року про </w:t>
      </w:r>
      <w:r w:rsidRPr="009655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перевірку технічного стану моторних транспортних засобів та їхніх причепів на придатність до експлуатування.</w:t>
      </w:r>
    </w:p>
    <w:p w:rsidR="005E4898" w:rsidRPr="00D4331D" w:rsidRDefault="005E4898" w:rsidP="00C44D75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655EC">
        <w:rPr>
          <w:rFonts w:ascii="Times New Roman" w:eastAsia="Times New Roman" w:hAnsi="Times New Roman"/>
          <w:sz w:val="28"/>
          <w:szCs w:val="28"/>
          <w:lang w:val="uk-UA"/>
        </w:rPr>
        <w:t xml:space="preserve">Угодою про асоціацію передбачено, що положення </w:t>
      </w:r>
      <w:r w:rsidRPr="009655EC">
        <w:rPr>
          <w:rFonts w:ascii="Times New Roman" w:eastAsia="Times New Roman" w:hAnsi="Times New Roman"/>
          <w:i/>
          <w:sz w:val="28"/>
          <w:szCs w:val="28"/>
          <w:lang w:val="uk-UA"/>
        </w:rPr>
        <w:t>Директиви 2009/40/ЄС</w:t>
      </w:r>
      <w:r w:rsidRPr="009655EC">
        <w:rPr>
          <w:rFonts w:ascii="Times New Roman" w:eastAsia="Times New Roman" w:hAnsi="Times New Roman"/>
          <w:sz w:val="28"/>
          <w:szCs w:val="28"/>
          <w:lang w:val="uk-UA"/>
        </w:rPr>
        <w:t xml:space="preserve"> повинні бути впроваджені для усіх транспортних</w:t>
      </w:r>
      <w:r w:rsidRPr="00D4331D">
        <w:rPr>
          <w:rFonts w:ascii="Times New Roman" w:eastAsia="Times New Roman" w:hAnsi="Times New Roman"/>
          <w:sz w:val="28"/>
          <w:szCs w:val="28"/>
          <w:lang w:val="uk-UA"/>
        </w:rPr>
        <w:t xml:space="preserve"> засобів, що використовуються у міжнародних вантажних перевезеннях - протягом 1 року, для усіх транспортних засобів, що використовуються у міжнародних пасажирських перевезеннях - протягом 3 років, та для усіх інших транспортних засобів – протягом 5 років після набрання чинності Угоди про асоціацію.</w:t>
      </w:r>
    </w:p>
    <w:p w:rsidR="00866683" w:rsidRDefault="002247E9" w:rsidP="00866683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331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Директива 2009/40/ЄС</w:t>
      </w:r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була скасована та замінена на </w:t>
      </w:r>
      <w:r w:rsidRPr="00D4331D">
        <w:rPr>
          <w:rFonts w:ascii="Times New Roman" w:hAnsi="Times New Roman"/>
          <w:i/>
          <w:sz w:val="28"/>
          <w:szCs w:val="28"/>
          <w:lang w:val="uk-UA"/>
        </w:rPr>
        <w:t>Директиву 2014/45/ЄС</w:t>
      </w:r>
      <w:r w:rsidRPr="00D4331D">
        <w:rPr>
          <w:rFonts w:ascii="Times New Roman" w:hAnsi="Times New Roman"/>
          <w:sz w:val="28"/>
          <w:szCs w:val="28"/>
          <w:lang w:val="uk-UA"/>
        </w:rPr>
        <w:t>.</w:t>
      </w:r>
    </w:p>
    <w:p w:rsidR="00A53A6D" w:rsidRDefault="00866683" w:rsidP="00866683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оложення </w:t>
      </w:r>
      <w:proofErr w:type="spellStart"/>
      <w:r w:rsidRPr="00866683">
        <w:rPr>
          <w:rFonts w:ascii="Times New Roman" w:eastAsia="Times New Roman" w:hAnsi="Times New Roman"/>
          <w:sz w:val="28"/>
          <w:szCs w:val="28"/>
          <w:lang w:val="uk-UA"/>
        </w:rPr>
        <w:t>проєкту</w:t>
      </w:r>
      <w:proofErr w:type="spellEnd"/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Закону не суперечать </w:t>
      </w:r>
      <w:r w:rsidRPr="00866683">
        <w:rPr>
          <w:rFonts w:ascii="Times New Roman" w:eastAsia="Times New Roman" w:hAnsi="Times New Roman"/>
          <w:i/>
          <w:sz w:val="28"/>
          <w:szCs w:val="28"/>
          <w:lang w:val="uk-UA"/>
        </w:rPr>
        <w:t>Директиві 2014/45/ЄС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, проте </w:t>
      </w:r>
      <w:r w:rsidR="00E13C1C">
        <w:rPr>
          <w:rFonts w:ascii="Times New Roman" w:eastAsia="Times New Roman" w:hAnsi="Times New Roman"/>
          <w:sz w:val="28"/>
          <w:szCs w:val="28"/>
          <w:lang w:val="uk-UA"/>
        </w:rPr>
        <w:t>важливі</w:t>
      </w:r>
      <w:r w:rsidR="00BD457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E13C1C">
        <w:rPr>
          <w:rFonts w:ascii="Times New Roman" w:eastAsia="Times New Roman" w:hAnsi="Times New Roman"/>
          <w:sz w:val="28"/>
          <w:szCs w:val="28"/>
          <w:lang w:val="uk-UA"/>
        </w:rPr>
        <w:t>положення</w:t>
      </w:r>
      <w:r w:rsidR="00BD4575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BD4575">
        <w:rPr>
          <w:rFonts w:ascii="Times New Roman" w:eastAsia="Times New Roman" w:hAnsi="Times New Roman"/>
          <w:i/>
          <w:sz w:val="28"/>
          <w:szCs w:val="28"/>
          <w:lang w:val="uk-UA"/>
        </w:rPr>
        <w:t>Директиви</w:t>
      </w:r>
      <w:r w:rsidR="00BD4575" w:rsidRPr="00866683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2014/45/ЄС</w:t>
      </w:r>
      <w:r w:rsidR="002823F0">
        <w:rPr>
          <w:rFonts w:ascii="Times New Roman" w:eastAsia="Times New Roman" w:hAnsi="Times New Roman"/>
          <w:sz w:val="28"/>
          <w:szCs w:val="28"/>
          <w:lang w:val="uk-UA"/>
        </w:rPr>
        <w:t xml:space="preserve"> не відображені в </w:t>
      </w:r>
      <w:proofErr w:type="spellStart"/>
      <w:r w:rsidR="002823F0">
        <w:rPr>
          <w:rFonts w:ascii="Times New Roman" w:eastAsia="Times New Roman" w:hAnsi="Times New Roman"/>
          <w:sz w:val="28"/>
          <w:szCs w:val="28"/>
          <w:lang w:val="uk-UA"/>
        </w:rPr>
        <w:t>законопроєкті</w:t>
      </w:r>
      <w:proofErr w:type="spellEnd"/>
      <w:r w:rsidR="002823F0">
        <w:rPr>
          <w:rFonts w:ascii="Times New Roman" w:eastAsia="Times New Roman" w:hAnsi="Times New Roman"/>
          <w:sz w:val="28"/>
          <w:szCs w:val="28"/>
          <w:lang w:val="uk-UA"/>
        </w:rPr>
        <w:t>. З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окрема </w:t>
      </w:r>
      <w:r w:rsidR="00B54690"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відповідно </w:t>
      </w:r>
      <w:r w:rsidR="00B54690">
        <w:rPr>
          <w:rFonts w:ascii="Times New Roman" w:eastAsia="Times New Roman" w:hAnsi="Times New Roman"/>
          <w:sz w:val="28"/>
          <w:szCs w:val="28"/>
          <w:lang w:val="uk-UA"/>
        </w:rPr>
        <w:t xml:space="preserve">до </w:t>
      </w:r>
      <w:r w:rsidR="00B54690" w:rsidRPr="00A53A6D">
        <w:rPr>
          <w:rFonts w:ascii="Times New Roman" w:eastAsia="Times New Roman" w:hAnsi="Times New Roman"/>
          <w:i/>
          <w:sz w:val="28"/>
          <w:szCs w:val="28"/>
          <w:lang w:val="uk-UA"/>
        </w:rPr>
        <w:t>пункту</w:t>
      </w:r>
      <w:r w:rsidR="00B54690" w:rsidRPr="00866683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1 статті 5 Директиви 2014/45/ЄС</w:t>
      </w:r>
      <w:r w:rsidR="00B54690"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B54690">
        <w:rPr>
          <w:rFonts w:ascii="Times New Roman" w:eastAsia="Times New Roman" w:hAnsi="Times New Roman"/>
          <w:sz w:val="28"/>
          <w:szCs w:val="28"/>
          <w:lang w:val="uk-UA"/>
        </w:rPr>
        <w:t>передбачено</w:t>
      </w:r>
      <w:r w:rsidR="00BD4575">
        <w:rPr>
          <w:rFonts w:ascii="Times New Roman" w:eastAsia="Times New Roman" w:hAnsi="Times New Roman"/>
          <w:sz w:val="28"/>
          <w:szCs w:val="28"/>
          <w:lang w:val="uk-UA"/>
        </w:rPr>
        <w:t xml:space="preserve"> ряд технічних, часових вимог</w:t>
      </w:r>
      <w:r w:rsidR="00E13C1C">
        <w:rPr>
          <w:rFonts w:ascii="Times New Roman" w:eastAsia="Times New Roman" w:hAnsi="Times New Roman"/>
          <w:sz w:val="28"/>
          <w:szCs w:val="28"/>
          <w:lang w:val="uk-UA"/>
        </w:rPr>
        <w:t xml:space="preserve"> для проходження періодичного технічного контролю </w:t>
      </w:r>
      <w:r w:rsidR="00B54690">
        <w:rPr>
          <w:rFonts w:ascii="Times New Roman" w:eastAsia="Times New Roman" w:hAnsi="Times New Roman"/>
          <w:sz w:val="28"/>
          <w:szCs w:val="28"/>
          <w:lang w:val="uk-UA"/>
        </w:rPr>
        <w:t xml:space="preserve">транспортних засобів та </w:t>
      </w:r>
      <w:r w:rsidR="002823F0">
        <w:rPr>
          <w:rFonts w:ascii="Times New Roman" w:eastAsia="Times New Roman" w:hAnsi="Times New Roman"/>
          <w:sz w:val="28"/>
          <w:szCs w:val="28"/>
          <w:lang w:val="uk-UA"/>
        </w:rPr>
        <w:t>проведення перевірки</w:t>
      </w:r>
      <w:r w:rsidR="00B54690">
        <w:rPr>
          <w:rFonts w:ascii="Times New Roman" w:eastAsia="Times New Roman" w:hAnsi="Times New Roman"/>
          <w:sz w:val="28"/>
          <w:szCs w:val="28"/>
          <w:lang w:val="uk-UA"/>
        </w:rPr>
        <w:t xml:space="preserve"> їх </w:t>
      </w:r>
      <w:r w:rsidR="00E13C1C" w:rsidRPr="00866683">
        <w:rPr>
          <w:rFonts w:ascii="Times New Roman" w:eastAsia="Times New Roman" w:hAnsi="Times New Roman"/>
          <w:sz w:val="28"/>
          <w:szCs w:val="28"/>
          <w:lang w:val="uk-UA"/>
        </w:rPr>
        <w:t>придатності до експлуатації</w:t>
      </w:r>
      <w:r w:rsidR="00BD4575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A53A6D" w:rsidRDefault="00A53A6D" w:rsidP="00A53A6D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акту</w:t>
      </w:r>
      <w:r w:rsidR="00866683"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регламентує роботу центрального органу виконавчої влади, що забезпечує формування державної аграрної політики та центрального органу виконавчої влади, що реа</w:t>
      </w:r>
      <w:r>
        <w:rPr>
          <w:rFonts w:ascii="Times New Roman" w:eastAsia="Times New Roman" w:hAnsi="Times New Roman"/>
          <w:sz w:val="28"/>
          <w:szCs w:val="28"/>
          <w:lang w:val="uk-UA"/>
        </w:rPr>
        <w:t>лізує державну аграрну політику</w:t>
      </w:r>
      <w:r w:rsidR="00866683"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і не передбачає технічних вимог до сертифікації, перевірки відповідності транспортних засобів.</w:t>
      </w:r>
    </w:p>
    <w:p w:rsidR="00A53A6D" w:rsidRDefault="00866683" w:rsidP="00A53A6D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Крім того, предмет правового регулювання </w:t>
      </w:r>
      <w:proofErr w:type="spellStart"/>
      <w:r w:rsidRPr="00866683">
        <w:rPr>
          <w:rFonts w:ascii="Times New Roman" w:eastAsia="Times New Roman" w:hAnsi="Times New Roman"/>
          <w:sz w:val="28"/>
          <w:szCs w:val="28"/>
          <w:lang w:val="uk-UA"/>
        </w:rPr>
        <w:t>проєкту</w:t>
      </w:r>
      <w:proofErr w:type="spellEnd"/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 w:rsidRPr="00866683">
        <w:rPr>
          <w:rFonts w:ascii="Times New Roman" w:eastAsia="Times New Roman" w:hAnsi="Times New Roman"/>
          <w:sz w:val="28"/>
          <w:szCs w:val="28"/>
          <w:lang w:val="uk-UA"/>
        </w:rPr>
        <w:t>акта</w:t>
      </w:r>
      <w:proofErr w:type="spellEnd"/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регулюється Регламентом </w:t>
      </w:r>
      <w:r w:rsidR="00A53A6D" w:rsidRPr="00A53A6D">
        <w:rPr>
          <w:rFonts w:ascii="Times New Roman" w:eastAsia="Times New Roman" w:hAnsi="Times New Roman"/>
          <w:sz w:val="28"/>
          <w:szCs w:val="28"/>
          <w:lang w:val="uk-UA"/>
        </w:rPr>
        <w:t>167/2013/ЄС Європейського Парламенту та Ради від 5 лютого 2013 року про схвалення та ринковий нагляд за сільськогосподарською та лісогосподарською технікою</w:t>
      </w:r>
      <w:r w:rsidR="00A53A6D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>Цей регламент містить положення про затвердження типів транспортних засобів, про нагляд за ринком цих транспортних засобів. Відповідно</w:t>
      </w:r>
      <w:r w:rsidR="00A53A6D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 w:rsidRPr="00866683">
        <w:rPr>
          <w:rFonts w:ascii="Times New Roman" w:eastAsia="Times New Roman" w:hAnsi="Times New Roman"/>
          <w:sz w:val="28"/>
          <w:szCs w:val="28"/>
          <w:lang w:val="uk-UA"/>
        </w:rPr>
        <w:t>проєкт</w:t>
      </w:r>
      <w:proofErr w:type="spellEnd"/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Закону не включає </w:t>
      </w:r>
      <w:r w:rsidR="00E13C1C">
        <w:rPr>
          <w:rFonts w:ascii="Times New Roman" w:eastAsia="Times New Roman" w:hAnsi="Times New Roman"/>
          <w:sz w:val="28"/>
          <w:szCs w:val="28"/>
          <w:lang w:val="uk-UA"/>
        </w:rPr>
        <w:t>положення</w:t>
      </w:r>
      <w:r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цього регламенту.</w:t>
      </w:r>
    </w:p>
    <w:p w:rsidR="00866683" w:rsidRDefault="00E13C1C" w:rsidP="00E13C1C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Таким чином,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Закону</w:t>
      </w:r>
      <w:r w:rsidR="00866683" w:rsidRPr="0086668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A53A6D" w:rsidRPr="00D4331D">
        <w:rPr>
          <w:rFonts w:ascii="Times New Roman" w:eastAsia="Times New Roman" w:hAnsi="Times New Roman"/>
          <w:sz w:val="28"/>
          <w:szCs w:val="28"/>
          <w:lang w:val="uk-UA"/>
        </w:rPr>
        <w:t>не суперечить зобов’язанням відповідно до Угоди про асоціацію та праву Європейського Союзу, проте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E13C1C">
        <w:rPr>
          <w:rFonts w:ascii="Times New Roman" w:eastAsia="Times New Roman" w:hAnsi="Times New Roman"/>
          <w:sz w:val="28"/>
          <w:szCs w:val="28"/>
          <w:lang w:val="uk-UA"/>
        </w:rPr>
        <w:t xml:space="preserve">з метою наближення до </w:t>
      </w:r>
      <w:r>
        <w:rPr>
          <w:rFonts w:ascii="Times New Roman" w:eastAsia="Times New Roman" w:hAnsi="Times New Roman"/>
          <w:sz w:val="28"/>
          <w:szCs w:val="28"/>
          <w:lang w:val="uk-UA"/>
        </w:rPr>
        <w:t>права</w:t>
      </w:r>
      <w:r w:rsidRPr="00E13C1C">
        <w:rPr>
          <w:rFonts w:ascii="Times New Roman" w:eastAsia="Times New Roman" w:hAnsi="Times New Roman"/>
          <w:sz w:val="28"/>
          <w:szCs w:val="28"/>
          <w:lang w:val="uk-UA"/>
        </w:rPr>
        <w:t xml:space="preserve"> ЄС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потребує </w:t>
      </w:r>
      <w:r w:rsidR="005930BE">
        <w:rPr>
          <w:rFonts w:ascii="Times New Roman" w:hAnsi="Times New Roman"/>
          <w:bCs/>
          <w:sz w:val="28"/>
          <w:szCs w:val="28"/>
          <w:lang w:val="uk-UA" w:eastAsia="uk-UA"/>
        </w:rPr>
        <w:t xml:space="preserve">більш повного врахування норм </w:t>
      </w:r>
      <w:r w:rsidR="005930BE" w:rsidRPr="00E13C1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Директиви </w:t>
      </w:r>
      <w:r w:rsidRPr="00E13C1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2014/45/ЄС та </w:t>
      </w:r>
      <w:r w:rsidRPr="00E13C1C">
        <w:rPr>
          <w:rFonts w:ascii="Times New Roman" w:eastAsia="Times New Roman" w:hAnsi="Times New Roman"/>
          <w:i/>
          <w:sz w:val="28"/>
          <w:szCs w:val="28"/>
          <w:lang w:val="uk-UA"/>
        </w:rPr>
        <w:t>Регламенту</w:t>
      </w:r>
      <w:r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Pr="00E13C1C">
        <w:rPr>
          <w:rFonts w:ascii="Times New Roman" w:eastAsia="Times New Roman" w:hAnsi="Times New Roman"/>
          <w:i/>
          <w:sz w:val="28"/>
          <w:szCs w:val="28"/>
          <w:lang w:val="uk-UA"/>
        </w:rPr>
        <w:t>167/2013/ЄС</w:t>
      </w:r>
      <w:r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F517EC" w:rsidRPr="00D4331D" w:rsidRDefault="00F517EC" w:rsidP="00C44D75">
      <w:pPr>
        <w:tabs>
          <w:tab w:val="left" w:pos="851"/>
        </w:tabs>
        <w:spacing w:after="120" w:line="240" w:lineRule="auto"/>
        <w:ind w:left="-425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D4331D" w:rsidRDefault="00F517EC" w:rsidP="00C44D75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bookmark2"/>
      <w:r w:rsidRPr="00D4331D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lastRenderedPageBreak/>
        <w:t>4.</w:t>
      </w:r>
      <w:r w:rsidRPr="00D4331D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0"/>
    <w:p w:rsidR="00E13C1C" w:rsidRPr="00E13C1C" w:rsidRDefault="00F517EC" w:rsidP="00E13C1C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Pr="00D4331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 суперечить</w:t>
      </w:r>
      <w:r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зобов’язанням України ві</w:t>
      </w:r>
      <w:r w:rsidR="00C44D75" w:rsidRPr="00D433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дповідно до Угоди про асоціацію </w:t>
      </w:r>
      <w:r w:rsidR="00C44D75" w:rsidRPr="00D4331D">
        <w:rPr>
          <w:rFonts w:ascii="Times New Roman" w:eastAsia="Times New Roman" w:hAnsi="Times New Roman"/>
          <w:sz w:val="28"/>
          <w:szCs w:val="28"/>
          <w:lang w:val="uk-UA"/>
        </w:rPr>
        <w:t xml:space="preserve">та праву Європейського Союзу, проте </w:t>
      </w:r>
      <w:r w:rsidR="00E13C1C" w:rsidRPr="00E13C1C">
        <w:rPr>
          <w:rFonts w:ascii="Times New Roman" w:eastAsia="Times New Roman" w:hAnsi="Times New Roman"/>
          <w:sz w:val="28"/>
          <w:szCs w:val="28"/>
          <w:lang w:val="uk-UA"/>
        </w:rPr>
        <w:t xml:space="preserve">з метою наближення до права ЄС потребує </w:t>
      </w:r>
      <w:r w:rsidR="00E13C1C" w:rsidRPr="00E13C1C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більш повного врахування норм </w:t>
      </w:r>
      <w:r w:rsidR="00E13C1C" w:rsidRPr="00E13C1C">
        <w:rPr>
          <w:rFonts w:ascii="Times New Roman" w:eastAsia="Times New Roman" w:hAnsi="Times New Roman"/>
          <w:i/>
          <w:sz w:val="28"/>
          <w:szCs w:val="28"/>
          <w:lang w:val="uk-UA"/>
        </w:rPr>
        <w:t>Директиви 2014/45/ЄС та Регламенту</w:t>
      </w:r>
      <w:r w:rsidR="00E13C1C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</w:t>
      </w:r>
      <w:r w:rsidR="00E13C1C" w:rsidRPr="00E13C1C">
        <w:rPr>
          <w:rFonts w:ascii="Times New Roman" w:eastAsia="Times New Roman" w:hAnsi="Times New Roman"/>
          <w:i/>
          <w:sz w:val="28"/>
          <w:szCs w:val="28"/>
          <w:lang w:val="uk-UA"/>
        </w:rPr>
        <w:t>167/2013/ЄС</w:t>
      </w:r>
      <w:r w:rsidR="00E13C1C" w:rsidRPr="00E13C1C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F517EC" w:rsidRPr="00D4331D" w:rsidRDefault="00F517EC" w:rsidP="00E13C1C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D4331D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1" w:name="_GoBack"/>
      <w:bookmarkEnd w:id="1"/>
    </w:p>
    <w:sectPr w:rsidR="00F517EC" w:rsidRPr="00D4331D" w:rsidSect="00CC2FA6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B76" w:rsidRDefault="00D46B76" w:rsidP="005E306B">
      <w:pPr>
        <w:spacing w:after="0" w:line="240" w:lineRule="auto"/>
      </w:pPr>
      <w:r>
        <w:separator/>
      </w:r>
    </w:p>
  </w:endnote>
  <w:endnote w:type="continuationSeparator" w:id="0">
    <w:p w:rsidR="00D46B76" w:rsidRDefault="00D46B7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46B7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B76" w:rsidRDefault="00D46B76" w:rsidP="005E306B">
      <w:pPr>
        <w:spacing w:after="0" w:line="240" w:lineRule="auto"/>
      </w:pPr>
      <w:r>
        <w:separator/>
      </w:r>
    </w:p>
  </w:footnote>
  <w:footnote w:type="continuationSeparator" w:id="0">
    <w:p w:rsidR="00D46B76" w:rsidRDefault="00D46B76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 xml:space="preserve">Комітет розглянув </w:t>
      </w:r>
      <w:proofErr w:type="spellStart"/>
      <w:r w:rsidRPr="009969AA">
        <w:rPr>
          <w:sz w:val="24"/>
          <w:szCs w:val="24"/>
          <w:lang w:eastAsia="uk-UA"/>
        </w:rPr>
        <w:t>проє</w:t>
      </w:r>
      <w:r>
        <w:rPr>
          <w:sz w:val="24"/>
          <w:szCs w:val="24"/>
          <w:lang w:eastAsia="uk-UA"/>
        </w:rPr>
        <w:t>кт</w:t>
      </w:r>
      <w:proofErr w:type="spellEnd"/>
      <w:r>
        <w:rPr>
          <w:sz w:val="24"/>
          <w:szCs w:val="24"/>
          <w:lang w:eastAsia="uk-UA"/>
        </w:rPr>
        <w:t xml:space="preserve"> Закону на своєму засіданні 21 січня 2022 року (протокол № 94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C0ADC"/>
    <w:rsid w:val="000F1586"/>
    <w:rsid w:val="000F175D"/>
    <w:rsid w:val="001005C8"/>
    <w:rsid w:val="00110664"/>
    <w:rsid w:val="00141617"/>
    <w:rsid w:val="00187AF7"/>
    <w:rsid w:val="0019108F"/>
    <w:rsid w:val="0019322A"/>
    <w:rsid w:val="001966F0"/>
    <w:rsid w:val="001A7B3E"/>
    <w:rsid w:val="001D3C24"/>
    <w:rsid w:val="001D6370"/>
    <w:rsid w:val="001E2C27"/>
    <w:rsid w:val="001F6A06"/>
    <w:rsid w:val="0021032F"/>
    <w:rsid w:val="002247E9"/>
    <w:rsid w:val="00235CD7"/>
    <w:rsid w:val="00236343"/>
    <w:rsid w:val="002823F0"/>
    <w:rsid w:val="002A5D4C"/>
    <w:rsid w:val="002B5FC1"/>
    <w:rsid w:val="002C276F"/>
    <w:rsid w:val="002D0561"/>
    <w:rsid w:val="002E0A18"/>
    <w:rsid w:val="002E31BF"/>
    <w:rsid w:val="002E44DA"/>
    <w:rsid w:val="00317BB0"/>
    <w:rsid w:val="00346002"/>
    <w:rsid w:val="00363436"/>
    <w:rsid w:val="003D0996"/>
    <w:rsid w:val="003D14B2"/>
    <w:rsid w:val="003D1CBA"/>
    <w:rsid w:val="003E44B4"/>
    <w:rsid w:val="00412CB7"/>
    <w:rsid w:val="00424B1C"/>
    <w:rsid w:val="00430025"/>
    <w:rsid w:val="00430F1D"/>
    <w:rsid w:val="00451750"/>
    <w:rsid w:val="00456324"/>
    <w:rsid w:val="004852FA"/>
    <w:rsid w:val="004C53C1"/>
    <w:rsid w:val="004E4F5C"/>
    <w:rsid w:val="004F6A56"/>
    <w:rsid w:val="004F7B8A"/>
    <w:rsid w:val="0050620F"/>
    <w:rsid w:val="0051601C"/>
    <w:rsid w:val="00545919"/>
    <w:rsid w:val="0055005A"/>
    <w:rsid w:val="0056039F"/>
    <w:rsid w:val="0056352F"/>
    <w:rsid w:val="005930BE"/>
    <w:rsid w:val="005A4728"/>
    <w:rsid w:val="005B71F5"/>
    <w:rsid w:val="005C1C39"/>
    <w:rsid w:val="005C674D"/>
    <w:rsid w:val="005E306B"/>
    <w:rsid w:val="005E4898"/>
    <w:rsid w:val="005F20B5"/>
    <w:rsid w:val="00626A3E"/>
    <w:rsid w:val="00660B13"/>
    <w:rsid w:val="0066623D"/>
    <w:rsid w:val="00687E94"/>
    <w:rsid w:val="00690074"/>
    <w:rsid w:val="006C744E"/>
    <w:rsid w:val="006F10E8"/>
    <w:rsid w:val="00713E93"/>
    <w:rsid w:val="007204E1"/>
    <w:rsid w:val="0073224C"/>
    <w:rsid w:val="00736D12"/>
    <w:rsid w:val="0075720E"/>
    <w:rsid w:val="007A0252"/>
    <w:rsid w:val="007F5D91"/>
    <w:rsid w:val="0080545D"/>
    <w:rsid w:val="0084269F"/>
    <w:rsid w:val="00866683"/>
    <w:rsid w:val="008B7F7F"/>
    <w:rsid w:val="008C4918"/>
    <w:rsid w:val="00945B68"/>
    <w:rsid w:val="00957D31"/>
    <w:rsid w:val="009655EC"/>
    <w:rsid w:val="00972B38"/>
    <w:rsid w:val="009865D4"/>
    <w:rsid w:val="009A720A"/>
    <w:rsid w:val="00A00059"/>
    <w:rsid w:val="00A5290D"/>
    <w:rsid w:val="00A53A6D"/>
    <w:rsid w:val="00A60747"/>
    <w:rsid w:val="00A610A8"/>
    <w:rsid w:val="00A7635E"/>
    <w:rsid w:val="00A76A60"/>
    <w:rsid w:val="00A7782C"/>
    <w:rsid w:val="00A833C8"/>
    <w:rsid w:val="00AB44A6"/>
    <w:rsid w:val="00AC15D7"/>
    <w:rsid w:val="00AC4ABF"/>
    <w:rsid w:val="00AD7F82"/>
    <w:rsid w:val="00B311E8"/>
    <w:rsid w:val="00B54690"/>
    <w:rsid w:val="00B55DE0"/>
    <w:rsid w:val="00B6717E"/>
    <w:rsid w:val="00B67B1A"/>
    <w:rsid w:val="00BB1827"/>
    <w:rsid w:val="00BD0801"/>
    <w:rsid w:val="00BD4575"/>
    <w:rsid w:val="00BF1E95"/>
    <w:rsid w:val="00C11FB6"/>
    <w:rsid w:val="00C25388"/>
    <w:rsid w:val="00C27AE9"/>
    <w:rsid w:val="00C44D75"/>
    <w:rsid w:val="00C86266"/>
    <w:rsid w:val="00CA7044"/>
    <w:rsid w:val="00CB69B6"/>
    <w:rsid w:val="00CC2FA6"/>
    <w:rsid w:val="00CC39A1"/>
    <w:rsid w:val="00CD4A38"/>
    <w:rsid w:val="00CE3E1B"/>
    <w:rsid w:val="00CE6A4B"/>
    <w:rsid w:val="00CF6ACA"/>
    <w:rsid w:val="00CF75C3"/>
    <w:rsid w:val="00D10F4B"/>
    <w:rsid w:val="00D2186F"/>
    <w:rsid w:val="00D22048"/>
    <w:rsid w:val="00D242C2"/>
    <w:rsid w:val="00D37FA2"/>
    <w:rsid w:val="00D4331D"/>
    <w:rsid w:val="00D46B76"/>
    <w:rsid w:val="00D52549"/>
    <w:rsid w:val="00D56455"/>
    <w:rsid w:val="00D57E1B"/>
    <w:rsid w:val="00D91A4F"/>
    <w:rsid w:val="00DC56F5"/>
    <w:rsid w:val="00DF0115"/>
    <w:rsid w:val="00E13C1C"/>
    <w:rsid w:val="00E3142C"/>
    <w:rsid w:val="00E73887"/>
    <w:rsid w:val="00E85C22"/>
    <w:rsid w:val="00E870BB"/>
    <w:rsid w:val="00F17369"/>
    <w:rsid w:val="00F517EC"/>
    <w:rsid w:val="00F55423"/>
    <w:rsid w:val="00F61157"/>
    <w:rsid w:val="00F85D51"/>
    <w:rsid w:val="00F91DD3"/>
    <w:rsid w:val="00FA0B5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1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88B811-6FFD-45E8-B2B3-0AF16273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2789</Words>
  <Characters>1591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45</cp:revision>
  <cp:lastPrinted>2022-01-14T09:43:00Z</cp:lastPrinted>
  <dcterms:created xsi:type="dcterms:W3CDTF">2022-01-13T13:11:00Z</dcterms:created>
  <dcterms:modified xsi:type="dcterms:W3CDTF">2022-01-21T12:31:00Z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