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3C19C" w14:textId="77777777" w:rsidR="00141600" w:rsidRPr="00AE4769" w:rsidRDefault="00141600" w:rsidP="00A81630">
      <w:pPr>
        <w:spacing w:line="276" w:lineRule="auto"/>
        <w:jc w:val="center"/>
        <w:outlineLvl w:val="0"/>
        <w:rPr>
          <w:b/>
          <w:color w:val="000000"/>
          <w:sz w:val="28"/>
          <w:szCs w:val="28"/>
          <w:lang w:eastAsia="ru-RU"/>
        </w:rPr>
      </w:pPr>
      <w:bookmarkStart w:id="0" w:name="_GoBack"/>
      <w:bookmarkEnd w:id="0"/>
      <w:r w:rsidRPr="00AE4769">
        <w:rPr>
          <w:b/>
          <w:color w:val="000000"/>
          <w:sz w:val="28"/>
          <w:szCs w:val="28"/>
          <w:lang w:eastAsia="ru-RU"/>
        </w:rPr>
        <w:t>ПОРІВНЯЛЬНА ТАБЛИЦЯ</w:t>
      </w:r>
    </w:p>
    <w:p w14:paraId="10E78CB1" w14:textId="29788387" w:rsidR="00AA271C" w:rsidRPr="00AE4769" w:rsidRDefault="008B0A2D" w:rsidP="00A81630">
      <w:pPr>
        <w:widowControl w:val="0"/>
        <w:autoSpaceDE w:val="0"/>
        <w:autoSpaceDN w:val="0"/>
        <w:adjustRightInd w:val="0"/>
        <w:spacing w:line="276" w:lineRule="auto"/>
        <w:jc w:val="center"/>
        <w:rPr>
          <w:b/>
          <w:color w:val="000000"/>
          <w:sz w:val="28"/>
          <w:szCs w:val="28"/>
        </w:rPr>
      </w:pPr>
      <w:r w:rsidRPr="00AE4769">
        <w:rPr>
          <w:b/>
          <w:bCs/>
          <w:color w:val="000000"/>
          <w:sz w:val="28"/>
          <w:szCs w:val="28"/>
        </w:rPr>
        <w:t>до проекту Закону України</w:t>
      </w:r>
      <w:r w:rsidRPr="00AE4769">
        <w:rPr>
          <w:b/>
          <w:color w:val="000000"/>
          <w:sz w:val="28"/>
          <w:szCs w:val="28"/>
        </w:rPr>
        <w:t xml:space="preserve"> </w:t>
      </w:r>
      <w:r w:rsidR="009D7CE6" w:rsidRPr="00AE4769">
        <w:rPr>
          <w:b/>
          <w:color w:val="000000"/>
          <w:sz w:val="28"/>
          <w:szCs w:val="28"/>
        </w:rPr>
        <w:t>«</w:t>
      </w:r>
      <w:bookmarkStart w:id="1" w:name="_Hlk84582759"/>
      <w:r w:rsidR="001D1274" w:rsidRPr="00AE4769">
        <w:rPr>
          <w:b/>
          <w:color w:val="000000"/>
          <w:sz w:val="28"/>
          <w:szCs w:val="28"/>
        </w:rPr>
        <w:t>П</w:t>
      </w:r>
      <w:r w:rsidR="00B617AD" w:rsidRPr="00AE4769">
        <w:rPr>
          <w:b/>
          <w:color w:val="000000"/>
          <w:sz w:val="28"/>
          <w:szCs w:val="28"/>
        </w:rPr>
        <w:t xml:space="preserve">ро внесення змін до Закону України «Про Регламент Верховної Ради України» щодо </w:t>
      </w:r>
      <w:r w:rsidR="008479D3">
        <w:rPr>
          <w:b/>
          <w:color w:val="000000"/>
          <w:sz w:val="28"/>
          <w:szCs w:val="28"/>
          <w:lang w:val="ru-RU"/>
        </w:rPr>
        <w:t xml:space="preserve">впровадження </w:t>
      </w:r>
      <w:r w:rsidR="00B617AD" w:rsidRPr="00AE4769">
        <w:rPr>
          <w:b/>
          <w:color w:val="000000"/>
          <w:sz w:val="28"/>
          <w:szCs w:val="28"/>
        </w:rPr>
        <w:t xml:space="preserve">механізму оцінки </w:t>
      </w:r>
      <w:r w:rsidR="008479D3" w:rsidRPr="008479D3">
        <w:rPr>
          <w:b/>
          <w:color w:val="000000"/>
          <w:sz w:val="28"/>
          <w:szCs w:val="28"/>
        </w:rPr>
        <w:t>прогноз</w:t>
      </w:r>
      <w:r w:rsidR="008479D3">
        <w:rPr>
          <w:b/>
          <w:color w:val="000000"/>
          <w:sz w:val="28"/>
          <w:szCs w:val="28"/>
        </w:rPr>
        <w:t>них</w:t>
      </w:r>
      <w:r w:rsidR="008479D3" w:rsidRPr="008479D3">
        <w:rPr>
          <w:b/>
          <w:color w:val="000000"/>
          <w:sz w:val="28"/>
          <w:szCs w:val="28"/>
        </w:rPr>
        <w:t xml:space="preserve"> наслідк</w:t>
      </w:r>
      <w:r w:rsidR="008479D3">
        <w:rPr>
          <w:b/>
          <w:color w:val="000000"/>
          <w:sz w:val="28"/>
          <w:szCs w:val="28"/>
        </w:rPr>
        <w:t>ів</w:t>
      </w:r>
      <w:r w:rsidR="008479D3" w:rsidRPr="008479D3">
        <w:rPr>
          <w:b/>
          <w:color w:val="000000"/>
          <w:sz w:val="28"/>
          <w:szCs w:val="28"/>
        </w:rPr>
        <w:t xml:space="preserve"> </w:t>
      </w:r>
      <w:r w:rsidR="008479D3">
        <w:rPr>
          <w:b/>
          <w:color w:val="000000"/>
          <w:sz w:val="28"/>
          <w:szCs w:val="28"/>
        </w:rPr>
        <w:t>та впливу</w:t>
      </w:r>
      <w:r w:rsidR="008479D3" w:rsidRPr="008479D3">
        <w:rPr>
          <w:b/>
          <w:color w:val="000000"/>
          <w:sz w:val="28"/>
          <w:szCs w:val="28"/>
        </w:rPr>
        <w:t xml:space="preserve"> законопроект</w:t>
      </w:r>
      <w:r w:rsidR="008479D3">
        <w:rPr>
          <w:b/>
          <w:color w:val="000000"/>
          <w:sz w:val="28"/>
          <w:szCs w:val="28"/>
        </w:rPr>
        <w:t xml:space="preserve">у </w:t>
      </w:r>
      <w:r w:rsidR="008479D3" w:rsidRPr="008479D3">
        <w:rPr>
          <w:b/>
          <w:color w:val="000000"/>
          <w:sz w:val="28"/>
          <w:szCs w:val="28"/>
        </w:rPr>
        <w:t>на ключові показники економічного та соціального розвитку держави</w:t>
      </w:r>
      <w:r w:rsidR="008479D3" w:rsidRPr="008479D3">
        <w:t xml:space="preserve"> </w:t>
      </w:r>
      <w:r w:rsidR="008479D3" w:rsidRPr="008479D3">
        <w:rPr>
          <w:b/>
          <w:color w:val="000000"/>
          <w:sz w:val="28"/>
          <w:szCs w:val="28"/>
        </w:rPr>
        <w:t>у середньостроковій перспективі</w:t>
      </w:r>
      <w:bookmarkEnd w:id="1"/>
      <w:r w:rsidR="009D7CE6" w:rsidRPr="00AE4769">
        <w:rPr>
          <w:b/>
          <w:color w:val="000000"/>
          <w:sz w:val="28"/>
          <w:szCs w:val="28"/>
        </w:rPr>
        <w:t>»</w:t>
      </w:r>
    </w:p>
    <w:p w14:paraId="23D77BC7" w14:textId="39D8265B" w:rsidR="005F4E80" w:rsidRPr="00AE4769" w:rsidRDefault="005F4E80" w:rsidP="00A81630">
      <w:pPr>
        <w:widowControl w:val="0"/>
        <w:autoSpaceDE w:val="0"/>
        <w:autoSpaceDN w:val="0"/>
        <w:adjustRightInd w:val="0"/>
        <w:spacing w:line="276" w:lineRule="auto"/>
        <w:jc w:val="center"/>
        <w:rPr>
          <w:b/>
          <w:color w:val="000000"/>
          <w:sz w:val="28"/>
          <w:szCs w:val="28"/>
        </w:rPr>
      </w:pPr>
    </w:p>
    <w:tbl>
      <w:tblPr>
        <w:tblW w:w="15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5"/>
        <w:gridCol w:w="7626"/>
      </w:tblGrid>
      <w:tr w:rsidR="008B0A2D" w:rsidRPr="00AE4769" w14:paraId="35475530" w14:textId="77777777" w:rsidTr="00F30360">
        <w:tc>
          <w:tcPr>
            <w:tcW w:w="7655" w:type="dxa"/>
          </w:tcPr>
          <w:p w14:paraId="1CB44FBF" w14:textId="77777777" w:rsidR="008B0A2D" w:rsidRPr="00AE4769" w:rsidRDefault="008B0A2D" w:rsidP="00A81630">
            <w:pPr>
              <w:keepNext/>
              <w:keepLines/>
              <w:spacing w:line="276" w:lineRule="auto"/>
              <w:jc w:val="center"/>
              <w:rPr>
                <w:rStyle w:val="rvts9"/>
                <w:bCs/>
                <w:color w:val="000000"/>
                <w:szCs w:val="28"/>
              </w:rPr>
            </w:pPr>
            <w:r w:rsidRPr="00AE4769">
              <w:rPr>
                <w:rStyle w:val="rvts9"/>
                <w:bCs/>
                <w:color w:val="000000"/>
                <w:szCs w:val="28"/>
              </w:rPr>
              <w:t>Чинна редакція</w:t>
            </w:r>
          </w:p>
        </w:tc>
        <w:tc>
          <w:tcPr>
            <w:tcW w:w="7626" w:type="dxa"/>
          </w:tcPr>
          <w:p w14:paraId="4C640CAE" w14:textId="77777777" w:rsidR="008B0A2D" w:rsidRPr="00AE4769" w:rsidRDefault="008B0A2D" w:rsidP="00A81630">
            <w:pPr>
              <w:pStyle w:val="rvps2"/>
              <w:spacing w:before="0" w:beforeAutospacing="0" w:after="0" w:afterAutospacing="0" w:line="276" w:lineRule="auto"/>
              <w:jc w:val="center"/>
              <w:rPr>
                <w:rStyle w:val="rvts9"/>
                <w:bCs/>
                <w:color w:val="000000"/>
                <w:szCs w:val="28"/>
                <w:lang w:val="uk-UA"/>
              </w:rPr>
            </w:pPr>
            <w:r w:rsidRPr="00AE4769">
              <w:rPr>
                <w:rStyle w:val="rvts9"/>
                <w:bCs/>
                <w:color w:val="000000"/>
                <w:szCs w:val="28"/>
                <w:lang w:val="uk-UA"/>
              </w:rPr>
              <w:t>Редакція з урахуванням запропонованих змін</w:t>
            </w:r>
          </w:p>
        </w:tc>
      </w:tr>
      <w:tr w:rsidR="00883CE0" w:rsidRPr="00AE4769" w14:paraId="55FD835E" w14:textId="77777777" w:rsidTr="00F30360">
        <w:trPr>
          <w:trHeight w:val="70"/>
        </w:trPr>
        <w:tc>
          <w:tcPr>
            <w:tcW w:w="15281" w:type="dxa"/>
            <w:gridSpan w:val="2"/>
          </w:tcPr>
          <w:p w14:paraId="3507301F" w14:textId="77777777" w:rsidR="00B617AD" w:rsidRPr="00AE4769" w:rsidRDefault="00B617AD" w:rsidP="00A81630">
            <w:pPr>
              <w:pStyle w:val="rvps2"/>
              <w:spacing w:before="0" w:beforeAutospacing="0" w:after="0" w:afterAutospacing="0" w:line="276" w:lineRule="auto"/>
              <w:jc w:val="center"/>
              <w:rPr>
                <w:rStyle w:val="rvts9"/>
                <w:b/>
                <w:color w:val="000000"/>
                <w:sz w:val="28"/>
                <w:szCs w:val="28"/>
                <w:lang w:val="uk-UA"/>
              </w:rPr>
            </w:pPr>
            <w:r w:rsidRPr="00AE4769">
              <w:rPr>
                <w:rStyle w:val="rvts9"/>
                <w:b/>
                <w:color w:val="000000"/>
                <w:sz w:val="28"/>
                <w:szCs w:val="28"/>
                <w:lang w:val="uk-UA"/>
              </w:rPr>
              <w:t>Закон України «Про Регламент Верховної Ради України»</w:t>
            </w:r>
          </w:p>
          <w:p w14:paraId="0C9BF472" w14:textId="64CA0BE8" w:rsidR="00B15A47" w:rsidRPr="00AE4769" w:rsidRDefault="00B617AD" w:rsidP="00A81630">
            <w:pPr>
              <w:pStyle w:val="rvps2"/>
              <w:spacing w:before="0" w:beforeAutospacing="0" w:after="0" w:afterAutospacing="0" w:line="276" w:lineRule="auto"/>
              <w:jc w:val="center"/>
              <w:rPr>
                <w:rStyle w:val="rvts9"/>
                <w:bCs/>
                <w:i/>
                <w:iCs/>
                <w:color w:val="000000"/>
                <w:sz w:val="28"/>
                <w:szCs w:val="28"/>
                <w:lang w:val="uk-UA"/>
              </w:rPr>
            </w:pPr>
            <w:r w:rsidRPr="00AE4769">
              <w:rPr>
                <w:rStyle w:val="rvts9"/>
                <w:bCs/>
                <w:i/>
                <w:iCs/>
                <w:color w:val="000000"/>
                <w:lang w:val="uk-UA"/>
              </w:rPr>
              <w:t>(Відомості Верховної Ради України (ВВР), 2010, № 14-15, № 16-17, ст.133)</w:t>
            </w:r>
          </w:p>
        </w:tc>
      </w:tr>
      <w:tr w:rsidR="007D54F9" w:rsidRPr="00AE4769" w14:paraId="4E8C78F5" w14:textId="77777777" w:rsidTr="00F30360">
        <w:tc>
          <w:tcPr>
            <w:tcW w:w="7655" w:type="dxa"/>
          </w:tcPr>
          <w:p w14:paraId="4BA32A6A" w14:textId="77777777" w:rsidR="00B617AD" w:rsidRPr="00AE4769" w:rsidRDefault="00B617AD" w:rsidP="00A81630">
            <w:pPr>
              <w:pStyle w:val="rvps2"/>
              <w:shd w:val="clear" w:color="auto" w:fill="FFFFFF"/>
              <w:spacing w:before="0" w:beforeAutospacing="0" w:after="0" w:afterAutospacing="0" w:line="360" w:lineRule="auto"/>
              <w:jc w:val="center"/>
              <w:rPr>
                <w:b/>
                <w:bCs/>
                <w:color w:val="000000"/>
                <w:sz w:val="28"/>
                <w:szCs w:val="28"/>
                <w:shd w:val="clear" w:color="auto" w:fill="FFFFFF"/>
                <w:lang w:val="uk-UA"/>
              </w:rPr>
            </w:pPr>
            <w:r w:rsidRPr="00AE4769">
              <w:rPr>
                <w:b/>
                <w:bCs/>
                <w:color w:val="000000"/>
                <w:sz w:val="28"/>
                <w:szCs w:val="28"/>
                <w:shd w:val="clear" w:color="auto" w:fill="FFFFFF"/>
                <w:lang w:val="uk-UA"/>
              </w:rPr>
              <w:t xml:space="preserve">Глава 20  </w:t>
            </w:r>
          </w:p>
          <w:p w14:paraId="79A591B3" w14:textId="4D9EFB93" w:rsidR="007D54F9" w:rsidRPr="00AE4769" w:rsidRDefault="00B617AD" w:rsidP="00A81630">
            <w:pPr>
              <w:pStyle w:val="rvps2"/>
              <w:shd w:val="clear" w:color="auto" w:fill="FFFFFF"/>
              <w:spacing w:before="0" w:beforeAutospacing="0" w:after="0" w:afterAutospacing="0" w:line="360" w:lineRule="auto"/>
              <w:jc w:val="center"/>
              <w:rPr>
                <w:b/>
                <w:bCs/>
                <w:color w:val="000000"/>
                <w:sz w:val="28"/>
                <w:szCs w:val="28"/>
                <w:shd w:val="clear" w:color="auto" w:fill="FFFFFF"/>
                <w:lang w:val="uk-UA"/>
              </w:rPr>
            </w:pPr>
            <w:r w:rsidRPr="00AE4769">
              <w:rPr>
                <w:b/>
                <w:bCs/>
                <w:color w:val="000000"/>
                <w:sz w:val="28"/>
                <w:szCs w:val="28"/>
                <w:shd w:val="clear" w:color="auto" w:fill="FFFFFF"/>
                <w:lang w:val="uk-UA"/>
              </w:rPr>
              <w:t>РОЗГЛЯД ЗАКОНОПРОЕКТІВ У ДРУГОМУ ЧИТАННІ</w:t>
            </w:r>
            <w:bookmarkStart w:id="2" w:name="n3570"/>
            <w:bookmarkEnd w:id="2"/>
          </w:p>
        </w:tc>
        <w:tc>
          <w:tcPr>
            <w:tcW w:w="7626" w:type="dxa"/>
          </w:tcPr>
          <w:p w14:paraId="35C2F484" w14:textId="77777777" w:rsidR="00B617AD" w:rsidRPr="00AE4769" w:rsidRDefault="00B617AD" w:rsidP="00A81630">
            <w:pPr>
              <w:pStyle w:val="rvps2"/>
              <w:shd w:val="clear" w:color="auto" w:fill="FFFFFF"/>
              <w:spacing w:before="0" w:beforeAutospacing="0" w:after="0" w:afterAutospacing="0" w:line="360" w:lineRule="auto"/>
              <w:jc w:val="center"/>
              <w:rPr>
                <w:b/>
                <w:bCs/>
                <w:color w:val="000000"/>
                <w:sz w:val="28"/>
                <w:szCs w:val="28"/>
                <w:shd w:val="clear" w:color="auto" w:fill="FFFFFF"/>
                <w:lang w:val="uk-UA"/>
              </w:rPr>
            </w:pPr>
            <w:r w:rsidRPr="00AE4769">
              <w:rPr>
                <w:b/>
                <w:bCs/>
                <w:color w:val="000000"/>
                <w:sz w:val="28"/>
                <w:szCs w:val="28"/>
                <w:shd w:val="clear" w:color="auto" w:fill="FFFFFF"/>
                <w:lang w:val="uk-UA"/>
              </w:rPr>
              <w:t xml:space="preserve">Глава 20  </w:t>
            </w:r>
          </w:p>
          <w:p w14:paraId="5FD37716" w14:textId="132B4EC9" w:rsidR="007D54F9" w:rsidRPr="00AE4769" w:rsidRDefault="00B617AD" w:rsidP="00A81630">
            <w:pPr>
              <w:pStyle w:val="rvps2"/>
              <w:shd w:val="clear" w:color="auto" w:fill="FFFFFF"/>
              <w:spacing w:before="0" w:beforeAutospacing="0" w:after="0" w:afterAutospacing="0" w:line="360" w:lineRule="auto"/>
              <w:jc w:val="center"/>
              <w:rPr>
                <w:b/>
                <w:bCs/>
                <w:color w:val="000000"/>
                <w:sz w:val="28"/>
                <w:szCs w:val="28"/>
                <w:shd w:val="clear" w:color="auto" w:fill="FFFFFF"/>
                <w:lang w:val="uk-UA"/>
              </w:rPr>
            </w:pPr>
            <w:r w:rsidRPr="00AE4769">
              <w:rPr>
                <w:b/>
                <w:bCs/>
                <w:color w:val="000000"/>
                <w:sz w:val="28"/>
                <w:szCs w:val="28"/>
                <w:shd w:val="clear" w:color="auto" w:fill="FFFFFF"/>
                <w:lang w:val="uk-UA"/>
              </w:rPr>
              <w:t>РОЗГЛЯД ЗАКОНОПРОЕКТІВ У ДРУГОМУ ЧИТАННІ</w:t>
            </w:r>
          </w:p>
        </w:tc>
      </w:tr>
      <w:tr w:rsidR="00AA271C" w:rsidRPr="00AE4769" w14:paraId="2AEC9846" w14:textId="77777777" w:rsidTr="00F30360">
        <w:tc>
          <w:tcPr>
            <w:tcW w:w="7655" w:type="dxa"/>
          </w:tcPr>
          <w:p w14:paraId="6157E497" w14:textId="450DF74A" w:rsidR="00AA271C" w:rsidRPr="00AE4769" w:rsidRDefault="00A81630" w:rsidP="00AE4769">
            <w:pPr>
              <w:shd w:val="clear" w:color="auto" w:fill="FFFFFF"/>
              <w:spacing w:line="360" w:lineRule="auto"/>
              <w:ind w:firstLine="450"/>
              <w:jc w:val="both"/>
              <w:rPr>
                <w:bCs/>
                <w:color w:val="000000"/>
                <w:sz w:val="28"/>
                <w:szCs w:val="28"/>
                <w:shd w:val="clear" w:color="auto" w:fill="FFFFFF"/>
              </w:rPr>
            </w:pPr>
            <w:bookmarkStart w:id="3" w:name="n8014"/>
            <w:bookmarkEnd w:id="3"/>
            <w:r w:rsidRPr="00AE4769">
              <w:rPr>
                <w:bCs/>
                <w:color w:val="000000"/>
                <w:sz w:val="28"/>
                <w:szCs w:val="28"/>
                <w:shd w:val="clear" w:color="auto" w:fill="FFFFFF"/>
              </w:rPr>
              <w:t>…</w:t>
            </w:r>
          </w:p>
        </w:tc>
        <w:tc>
          <w:tcPr>
            <w:tcW w:w="7626" w:type="dxa"/>
          </w:tcPr>
          <w:p w14:paraId="03E95EF5" w14:textId="5CB5FDEF" w:rsidR="00AA271C" w:rsidRPr="00AE4769" w:rsidRDefault="00AE4769" w:rsidP="00AE4769">
            <w:pPr>
              <w:shd w:val="clear" w:color="auto" w:fill="FFFFFF"/>
              <w:spacing w:line="360" w:lineRule="auto"/>
              <w:ind w:firstLine="319"/>
              <w:jc w:val="both"/>
              <w:rPr>
                <w:bCs/>
                <w:color w:val="000000"/>
                <w:sz w:val="28"/>
                <w:szCs w:val="28"/>
                <w:shd w:val="clear" w:color="auto" w:fill="FFFFFF"/>
              </w:rPr>
            </w:pPr>
            <w:r w:rsidRPr="00AE4769">
              <w:rPr>
                <w:bCs/>
                <w:color w:val="000000"/>
                <w:sz w:val="28"/>
                <w:szCs w:val="28"/>
                <w:shd w:val="clear" w:color="auto" w:fill="FFFFFF"/>
              </w:rPr>
              <w:t>…</w:t>
            </w:r>
          </w:p>
        </w:tc>
      </w:tr>
      <w:tr w:rsidR="00335D3C" w:rsidRPr="00AE4769" w14:paraId="3902ECB4" w14:textId="77777777" w:rsidTr="00F30360">
        <w:tc>
          <w:tcPr>
            <w:tcW w:w="7655" w:type="dxa"/>
          </w:tcPr>
          <w:p w14:paraId="76F0048F"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
                <w:color w:val="000000"/>
                <w:sz w:val="28"/>
                <w:szCs w:val="28"/>
                <w:shd w:val="clear" w:color="auto" w:fill="FFFFFF"/>
                <w:lang w:val="uk-UA"/>
              </w:rPr>
              <w:t xml:space="preserve">Стаття 117. </w:t>
            </w:r>
            <w:r w:rsidRPr="00AE4769">
              <w:rPr>
                <w:bCs/>
                <w:color w:val="000000"/>
                <w:sz w:val="28"/>
                <w:szCs w:val="28"/>
                <w:shd w:val="clear" w:color="auto" w:fill="FFFFFF"/>
                <w:lang w:val="uk-UA"/>
              </w:rPr>
              <w:t>Строки надання народним депутатам законопроектів, підготовлених до другого читання</w:t>
            </w:r>
          </w:p>
          <w:p w14:paraId="70EBE28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4" w:name="n923"/>
            <w:bookmarkEnd w:id="4"/>
            <w:r w:rsidRPr="00AE4769">
              <w:rPr>
                <w:bCs/>
                <w:color w:val="000000"/>
                <w:sz w:val="28"/>
                <w:szCs w:val="28"/>
                <w:shd w:val="clear" w:color="auto" w:fill="FFFFFF"/>
                <w:lang w:val="uk-UA"/>
              </w:rPr>
              <w:t>1.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14:paraId="245E2332"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5" w:name="n924"/>
            <w:bookmarkEnd w:id="5"/>
            <w:r w:rsidRPr="00AE4769">
              <w:rPr>
                <w:bCs/>
                <w:color w:val="000000"/>
                <w:sz w:val="28"/>
                <w:szCs w:val="28"/>
                <w:shd w:val="clear" w:color="auto" w:fill="FFFFFF"/>
                <w:lang w:val="uk-UA"/>
              </w:rPr>
              <w:t>2. Законопроект, підготовлений до другого чи повторного другого читання, має бути завізований керівником секретаріату головного комітету та підписаний головою цього комітету.</w:t>
            </w:r>
          </w:p>
          <w:p w14:paraId="4A78FA0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6" w:name="n2204"/>
            <w:bookmarkEnd w:id="6"/>
            <w:r w:rsidRPr="00AE4769">
              <w:rPr>
                <w:bCs/>
                <w:color w:val="000000"/>
                <w:sz w:val="28"/>
                <w:szCs w:val="28"/>
                <w:shd w:val="clear" w:color="auto" w:fill="FFFFFF"/>
                <w:lang w:val="uk-UA"/>
              </w:rPr>
              <w:lastRenderedPageBreak/>
              <w:t>Текст такого законопроекту опрацьовується в юридичному і редакційному підрозділах Апарату Верховної Ради. Висновки юридичної експертизи та редакційного опрацювання підписуються керівниками відповідних підрозділів та додаються до супровідних документів, які надаються народним депутатам разом із законопроектом. Такі висновки можуть бути враховані головним комітетом під час підготовки законопроекту до другого чи повторного другого читання.</w:t>
            </w:r>
          </w:p>
          <w:p w14:paraId="1E1C8F40" w14:textId="48B88764" w:rsidR="00335D3C" w:rsidRPr="006425A2" w:rsidRDefault="00F30360" w:rsidP="00F30360">
            <w:pPr>
              <w:pStyle w:val="rvps2"/>
              <w:spacing w:before="120" w:beforeAutospacing="0" w:after="120" w:afterAutospacing="0" w:line="360" w:lineRule="auto"/>
              <w:ind w:firstLine="425"/>
              <w:jc w:val="both"/>
              <w:rPr>
                <w:b/>
                <w:sz w:val="28"/>
                <w:szCs w:val="28"/>
                <w:shd w:val="clear" w:color="auto" w:fill="FFFFFF"/>
                <w:lang w:val="uk-UA"/>
              </w:rPr>
            </w:pPr>
            <w:r w:rsidRPr="006425A2">
              <w:rPr>
                <w:b/>
                <w:sz w:val="28"/>
                <w:szCs w:val="28"/>
                <w:shd w:val="clear" w:color="auto" w:fill="FFFFFF"/>
                <w:lang w:val="uk-UA"/>
              </w:rPr>
              <w:t>Положення с</w:t>
            </w:r>
            <w:r w:rsidR="00335D3C" w:rsidRPr="006425A2">
              <w:rPr>
                <w:b/>
                <w:sz w:val="28"/>
                <w:szCs w:val="28"/>
                <w:shd w:val="clear" w:color="auto" w:fill="FFFFFF"/>
                <w:lang w:val="uk-UA"/>
              </w:rPr>
              <w:t>татті відсутн</w:t>
            </w:r>
            <w:r w:rsidRPr="006425A2">
              <w:rPr>
                <w:b/>
                <w:sz w:val="28"/>
                <w:szCs w:val="28"/>
                <w:shd w:val="clear" w:color="auto" w:fill="FFFFFF"/>
                <w:lang w:val="uk-UA"/>
              </w:rPr>
              <w:t>і</w:t>
            </w:r>
          </w:p>
          <w:p w14:paraId="71F6A3E7" w14:textId="77777777" w:rsidR="00335D3C" w:rsidRPr="00AE4769" w:rsidRDefault="00335D3C"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tc>
        <w:tc>
          <w:tcPr>
            <w:tcW w:w="7626" w:type="dxa"/>
          </w:tcPr>
          <w:p w14:paraId="57F50275" w14:textId="77777777" w:rsidR="00335D3C" w:rsidRPr="006425A2" w:rsidRDefault="00335D3C" w:rsidP="00F30360">
            <w:pPr>
              <w:pStyle w:val="rvps2"/>
              <w:spacing w:before="120" w:beforeAutospacing="0" w:after="120" w:afterAutospacing="0" w:line="360" w:lineRule="auto"/>
              <w:ind w:firstLine="425"/>
              <w:jc w:val="both"/>
              <w:rPr>
                <w:bCs/>
                <w:sz w:val="28"/>
                <w:szCs w:val="28"/>
                <w:shd w:val="clear" w:color="auto" w:fill="FFFFFF"/>
                <w:lang w:val="uk-UA"/>
              </w:rPr>
            </w:pPr>
            <w:r w:rsidRPr="006425A2">
              <w:rPr>
                <w:b/>
                <w:sz w:val="28"/>
                <w:szCs w:val="28"/>
                <w:shd w:val="clear" w:color="auto" w:fill="FFFFFF"/>
                <w:lang w:val="uk-UA"/>
              </w:rPr>
              <w:lastRenderedPageBreak/>
              <w:t xml:space="preserve">Стаття 117. </w:t>
            </w:r>
            <w:r w:rsidRPr="006425A2">
              <w:rPr>
                <w:bCs/>
                <w:sz w:val="28"/>
                <w:szCs w:val="28"/>
                <w:shd w:val="clear" w:color="auto" w:fill="FFFFFF"/>
                <w:lang w:val="uk-UA"/>
              </w:rPr>
              <w:t>Строки надання народним депутатам законопроектів, підготовлених до другого читання</w:t>
            </w:r>
          </w:p>
          <w:p w14:paraId="6D6C31B2" w14:textId="77777777" w:rsidR="00335D3C" w:rsidRPr="006425A2" w:rsidRDefault="00335D3C" w:rsidP="00F30360">
            <w:pPr>
              <w:pStyle w:val="rvps2"/>
              <w:spacing w:before="120" w:beforeAutospacing="0" w:after="120" w:afterAutospacing="0" w:line="360" w:lineRule="auto"/>
              <w:ind w:firstLine="425"/>
              <w:jc w:val="both"/>
              <w:rPr>
                <w:bCs/>
                <w:sz w:val="28"/>
                <w:szCs w:val="28"/>
                <w:shd w:val="clear" w:color="auto" w:fill="FFFFFF"/>
                <w:lang w:val="uk-UA"/>
              </w:rPr>
            </w:pPr>
            <w:r w:rsidRPr="006425A2">
              <w:rPr>
                <w:bCs/>
                <w:sz w:val="28"/>
                <w:szCs w:val="28"/>
                <w:shd w:val="clear" w:color="auto" w:fill="FFFFFF"/>
                <w:lang w:val="uk-UA"/>
              </w:rPr>
              <w:t>1.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14:paraId="6ABB68C8" w14:textId="77777777" w:rsidR="00335D3C" w:rsidRPr="006425A2" w:rsidRDefault="00335D3C" w:rsidP="00F30360">
            <w:pPr>
              <w:pStyle w:val="rvps2"/>
              <w:spacing w:before="120" w:beforeAutospacing="0" w:after="120" w:afterAutospacing="0" w:line="360" w:lineRule="auto"/>
              <w:ind w:firstLine="425"/>
              <w:jc w:val="both"/>
              <w:rPr>
                <w:bCs/>
                <w:sz w:val="28"/>
                <w:szCs w:val="28"/>
                <w:shd w:val="clear" w:color="auto" w:fill="FFFFFF"/>
                <w:lang w:val="uk-UA"/>
              </w:rPr>
            </w:pPr>
            <w:r w:rsidRPr="006425A2">
              <w:rPr>
                <w:bCs/>
                <w:sz w:val="28"/>
                <w:szCs w:val="28"/>
                <w:shd w:val="clear" w:color="auto" w:fill="FFFFFF"/>
                <w:lang w:val="uk-UA"/>
              </w:rPr>
              <w:t>2. Законопроект, підготовлений до другого чи повторного другого читання, має бути завізований керівником секретаріату головного комітету та підписаний головою цього комітету.</w:t>
            </w:r>
          </w:p>
          <w:p w14:paraId="32AFA8E2" w14:textId="77777777" w:rsidR="00335D3C" w:rsidRPr="006425A2" w:rsidRDefault="00335D3C" w:rsidP="00F30360">
            <w:pPr>
              <w:pStyle w:val="rvps2"/>
              <w:spacing w:before="120" w:beforeAutospacing="0" w:after="120" w:afterAutospacing="0" w:line="360" w:lineRule="auto"/>
              <w:ind w:firstLine="425"/>
              <w:jc w:val="both"/>
              <w:rPr>
                <w:bCs/>
                <w:sz w:val="28"/>
                <w:szCs w:val="28"/>
                <w:shd w:val="clear" w:color="auto" w:fill="FFFFFF"/>
                <w:lang w:val="uk-UA"/>
              </w:rPr>
            </w:pPr>
            <w:r w:rsidRPr="006425A2">
              <w:rPr>
                <w:bCs/>
                <w:sz w:val="28"/>
                <w:szCs w:val="28"/>
                <w:shd w:val="clear" w:color="auto" w:fill="FFFFFF"/>
                <w:lang w:val="uk-UA"/>
              </w:rPr>
              <w:lastRenderedPageBreak/>
              <w:t>Текст такого законопроекту опрацьовується в юридичному і редакційному підрозділах Апарату Верховної Ради. Висновки юридичної експертизи та редакційного опрацювання підписуються керівниками відповідних підрозділів та додаються до супровідних документів, які надаються народним депутатам разом із законопроектом. Такі висновки можуть бути враховані головним комітетом під час підготовки законопроекту до другого чи повторного другого читання.</w:t>
            </w:r>
          </w:p>
          <w:p w14:paraId="1DFAC922" w14:textId="05CEC7E3" w:rsidR="00335D3C" w:rsidRPr="0023378D" w:rsidRDefault="00335D3C" w:rsidP="00F30360">
            <w:pPr>
              <w:pStyle w:val="rvps2"/>
              <w:spacing w:before="120" w:beforeAutospacing="0" w:after="120" w:afterAutospacing="0" w:line="360" w:lineRule="auto"/>
              <w:ind w:firstLine="425"/>
              <w:jc w:val="both"/>
              <w:rPr>
                <w:b/>
                <w:bCs/>
                <w:sz w:val="28"/>
                <w:szCs w:val="28"/>
                <w:shd w:val="clear" w:color="auto" w:fill="FFFFFF"/>
                <w:lang w:val="uk-UA"/>
              </w:rPr>
            </w:pPr>
            <w:r w:rsidRPr="0023378D">
              <w:rPr>
                <w:b/>
                <w:bCs/>
                <w:sz w:val="28"/>
                <w:szCs w:val="28"/>
                <w:shd w:val="clear" w:color="auto" w:fill="FFFFFF"/>
                <w:lang w:val="uk-UA"/>
              </w:rPr>
              <w:t xml:space="preserve">3. Законопроект, підготовлений до другого чи повторного другого читання, завізований керівником секретаріату головного комітету та підписаний головою цього комітету, разом з висновком головного комітету та супровідними документами, протягом двох робочих днів направляється секретаріатом головного комітету до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для проведення аналізу, оцінки та надання висновку про прогнозні </w:t>
            </w:r>
            <w:r w:rsidRPr="0023378D">
              <w:rPr>
                <w:b/>
                <w:bCs/>
                <w:sz w:val="28"/>
                <w:szCs w:val="28"/>
                <w:shd w:val="clear" w:color="auto" w:fill="FFFFFF"/>
                <w:lang w:val="uk-UA"/>
              </w:rPr>
              <w:lastRenderedPageBreak/>
              <w:t>наслідки та вплив такого законопроекту на ключові показники економічного та соціального розвитку держави у середньостроковій перспективі, в порядку статті 117-1 цього Закону.</w:t>
            </w:r>
          </w:p>
        </w:tc>
      </w:tr>
      <w:tr w:rsidR="0033488B" w:rsidRPr="00AE4769" w14:paraId="3E45507D" w14:textId="77777777" w:rsidTr="00F30360">
        <w:tc>
          <w:tcPr>
            <w:tcW w:w="7655" w:type="dxa"/>
          </w:tcPr>
          <w:p w14:paraId="358513A1" w14:textId="2AC5B9EF" w:rsidR="00F30360" w:rsidRPr="006425A2" w:rsidRDefault="00F30360" w:rsidP="00F30360">
            <w:pPr>
              <w:pStyle w:val="rvps2"/>
              <w:spacing w:before="120" w:beforeAutospacing="0" w:after="120" w:afterAutospacing="0" w:line="360" w:lineRule="auto"/>
              <w:ind w:firstLine="425"/>
              <w:jc w:val="both"/>
              <w:rPr>
                <w:b/>
                <w:sz w:val="28"/>
                <w:szCs w:val="28"/>
                <w:shd w:val="clear" w:color="auto" w:fill="FFFFFF"/>
                <w:lang w:val="uk-UA"/>
              </w:rPr>
            </w:pPr>
            <w:bookmarkStart w:id="7" w:name="n922"/>
            <w:bookmarkStart w:id="8" w:name="n925"/>
            <w:bookmarkEnd w:id="7"/>
            <w:bookmarkEnd w:id="8"/>
            <w:r w:rsidRPr="006425A2">
              <w:rPr>
                <w:b/>
                <w:sz w:val="28"/>
                <w:szCs w:val="28"/>
                <w:shd w:val="clear" w:color="auto" w:fill="FFFFFF"/>
                <w:lang w:val="uk-UA"/>
              </w:rPr>
              <w:lastRenderedPageBreak/>
              <w:t>Стаття відсутня</w:t>
            </w:r>
          </w:p>
          <w:p w14:paraId="0237F51B" w14:textId="1CF9846D" w:rsidR="0033488B" w:rsidRPr="00AE4769" w:rsidRDefault="0033488B"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B59F941" w14:textId="35BBFA2C" w:rsidR="001A1775" w:rsidRPr="00AE4769" w:rsidRDefault="001A1775"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7792F5F" w14:textId="4F1B0AA1" w:rsidR="001A1775" w:rsidRPr="00AE4769" w:rsidRDefault="001A1775"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B73A864" w14:textId="7F0FDF5D" w:rsidR="001A1775" w:rsidRPr="00AE4769" w:rsidRDefault="001A1775"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EF8E73A" w14:textId="4DCB5A09" w:rsidR="001A1775" w:rsidRPr="00AE4769" w:rsidRDefault="001A1775"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D49ED6E" w14:textId="6826467D" w:rsidR="001A1775" w:rsidRPr="00AE4769" w:rsidRDefault="001A1775"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F6B05B9" w14:textId="42B2A949" w:rsidR="001A1775" w:rsidRPr="00AE4769" w:rsidRDefault="001A1775"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B151BE0" w14:textId="53DB4FB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F8E1C8A" w14:textId="29E993A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0D340DF" w14:textId="436C698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1184013" w14:textId="0A5EDF6A"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4AD960F" w14:textId="4262B24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F5D9512" w14:textId="242CC07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3E132EE" w14:textId="516BC52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E774A34" w14:textId="316668F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0D658F3" w14:textId="7A1F2E1A"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93894C2" w14:textId="2AAF8CF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BBF2224" w14:textId="5E8D8D14"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76A1579" w14:textId="3BC6C1A9"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300503A" w14:textId="4E12A71F"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CA2393D" w14:textId="367A9EFF"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9325B34" w14:textId="3BE1A71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AD31476" w14:textId="6EC4D22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FBFE3FD" w14:textId="4F9A1A14"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5E761CE" w14:textId="78A0154B"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05DC8F2" w14:textId="18F2B89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29F658C" w14:textId="280781A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305BCAF" w14:textId="4E24575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336C525" w14:textId="47360CE9"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F9A12C5" w14:textId="54CEFE6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401E852" w14:textId="783A48C9"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F072D4B" w14:textId="01619434"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77F4F68" w14:textId="0A160B5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ABD1329" w14:textId="1294B6D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E382FDC" w14:textId="7C90FEDF"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18EA17A" w14:textId="37D5B7E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CFC4EE4" w14:textId="166B48F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CDBC251" w14:textId="05BA5DF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9B2A916" w14:textId="360D9639"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248CB65" w14:textId="7DAFAE7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7C5F894" w14:textId="60DE39A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857A1FA" w14:textId="64EDBE86"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FB2F832" w14:textId="5FE83DA6"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B91FEF1" w14:textId="5AEE442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1B8AB71" w14:textId="2495AE6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D512AB3" w14:textId="4DDFC7C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CFF0FD5" w14:textId="000F144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D88CC17" w14:textId="640A7D5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176C102" w14:textId="43D713C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D1DF5DC" w14:textId="716DCBF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C35C048" w14:textId="551E5B0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8960ED5" w14:textId="7FC3B035"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14BCF40" w14:textId="245A969B"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2506F4E" w14:textId="22CAE99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D71038D" w14:textId="53A2180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C81B724" w14:textId="675BA2B0"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17D2622" w14:textId="792CCB4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67F5655" w14:textId="1E1FD85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6BA624F" w14:textId="775A441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CF32CED" w14:textId="780F62A0"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1478EDD" w14:textId="314055C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C27948E" w14:textId="657AC1B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166A5E5" w14:textId="49F70F84"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61B262D" w14:textId="7A946369"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9B6B5E5" w14:textId="616CEAA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A7402E8" w14:textId="3FA05520"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4EE741C" w14:textId="4AE91496"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AC7A418" w14:textId="07EF1240"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99BD985" w14:textId="6AF4ACF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79C5E11" w14:textId="54D18006"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4295BD2" w14:textId="41B4418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B41F73C" w14:textId="6CB69EE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4FBB3AE" w14:textId="3728DC1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58F91C8" w14:textId="5FD8671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BF6E6F9" w14:textId="1A07923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F81CEFB" w14:textId="21EE3C1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B840E14" w14:textId="241CF94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6949EE5" w14:textId="0EA07935"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D569AB4" w14:textId="3E79CAE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16AB046" w14:textId="54F966E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EECFD29" w14:textId="64B900E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864BD98" w14:textId="3BCA269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538504B" w14:textId="6C6D1F5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15935FC" w14:textId="4678E07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648CA04" w14:textId="517AD48B"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038B135" w14:textId="49F340DB"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40BDC1E" w14:textId="2608141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EF84C44" w14:textId="36929B3B"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159E7B3" w14:textId="611A7985"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FB4C5B2" w14:textId="65112A75"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E96C0D0" w14:textId="586FE47F"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79DBC6B" w14:textId="59523E5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32F92C3" w14:textId="131E0AE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295CF89" w14:textId="48477F6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9EF7AF1" w14:textId="734C6F4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656D1A3" w14:textId="5BB52D0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08C9AEA" w14:textId="3D1FE025"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AE6BCD1" w14:textId="50E65B7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04EDCC3" w14:textId="5C77EF1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01C45C9" w14:textId="57ADF03B"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46E5FAD3" w14:textId="7FD44E6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ED00EB9" w14:textId="5ED19244"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8E52A59" w14:textId="7A96648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69BAB31" w14:textId="4D036552"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652D1A2" w14:textId="0240FB56"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11F6D0A9" w14:textId="44AFA2A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0FF1D62" w14:textId="76170E17"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D849239" w14:textId="5C1009BD"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6E527C23" w14:textId="6D713ACE"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BE9E6D9" w14:textId="4749EFF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A87CE76" w14:textId="47088F1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E6703F5" w14:textId="410F9F3A"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0F5C4A04" w14:textId="62903C0A"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25C3B80" w14:textId="37637E9C"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EFCE9BB" w14:textId="479F9A94"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0F9EC1E" w14:textId="1EE4184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F838241" w14:textId="6328CF21"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2F9F04D3" w14:textId="0288D258"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55FA3C94" w14:textId="650D6D13" w:rsidR="00002139" w:rsidRPr="00AE4769" w:rsidRDefault="00002139"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33AFEF05" w14:textId="28A385BD" w:rsidR="0033488B" w:rsidRPr="00AE4769" w:rsidRDefault="0033488B"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9" w:name="n2239"/>
            <w:bookmarkStart w:id="10" w:name="n939"/>
            <w:bookmarkStart w:id="11" w:name="n969"/>
            <w:bookmarkEnd w:id="9"/>
            <w:bookmarkEnd w:id="10"/>
            <w:bookmarkEnd w:id="11"/>
          </w:p>
        </w:tc>
        <w:tc>
          <w:tcPr>
            <w:tcW w:w="7626" w:type="dxa"/>
          </w:tcPr>
          <w:p w14:paraId="7B73CF4D" w14:textId="571A70C8" w:rsidR="0033488B" w:rsidRPr="006425A2" w:rsidRDefault="0033488B" w:rsidP="00F30360">
            <w:pPr>
              <w:pStyle w:val="rvps2"/>
              <w:spacing w:before="120" w:beforeAutospacing="0" w:after="120" w:afterAutospacing="0" w:line="360" w:lineRule="auto"/>
              <w:ind w:firstLine="425"/>
              <w:jc w:val="both"/>
              <w:rPr>
                <w:bCs/>
                <w:sz w:val="28"/>
                <w:szCs w:val="28"/>
                <w:shd w:val="clear" w:color="auto" w:fill="FFFFFF"/>
                <w:lang w:val="uk-UA"/>
              </w:rPr>
            </w:pPr>
            <w:r w:rsidRPr="006425A2">
              <w:rPr>
                <w:b/>
                <w:sz w:val="28"/>
                <w:szCs w:val="28"/>
                <w:shd w:val="clear" w:color="auto" w:fill="FFFFFF"/>
                <w:lang w:val="uk-UA"/>
              </w:rPr>
              <w:lastRenderedPageBreak/>
              <w:t>Стаття 117-1. Оцінка прогнозного впливу законопроектів, підготовлених до другого читання, на економічні показники держави у середньостроковій перспективі</w:t>
            </w:r>
          </w:p>
          <w:p w14:paraId="24E4AE91" w14:textId="77777777" w:rsidR="0033488B" w:rsidRPr="004870DA" w:rsidRDefault="0033488B" w:rsidP="00F30360">
            <w:pPr>
              <w:pStyle w:val="rvps2"/>
              <w:numPr>
                <w:ilvl w:val="0"/>
                <w:numId w:val="7"/>
              </w:numPr>
              <w:spacing w:before="120" w:beforeAutospacing="0" w:after="120" w:afterAutospacing="0" w:line="360" w:lineRule="auto"/>
              <w:ind w:left="0" w:firstLine="425"/>
              <w:jc w:val="both"/>
              <w:rPr>
                <w:b/>
                <w:bCs/>
                <w:sz w:val="28"/>
                <w:szCs w:val="28"/>
                <w:shd w:val="clear" w:color="auto" w:fill="FFFFFF"/>
                <w:lang w:val="uk-UA"/>
              </w:rPr>
            </w:pPr>
            <w:r w:rsidRPr="004870DA">
              <w:rPr>
                <w:b/>
                <w:bCs/>
                <w:sz w:val="28"/>
                <w:szCs w:val="28"/>
                <w:shd w:val="clear" w:color="auto" w:fill="FFFFFF"/>
                <w:lang w:val="uk-UA"/>
              </w:rPr>
              <w:t xml:space="preserve">Всі законопроекти, підготовлені до другого чи повторного другого читання, до розгляду їх народними депутатами України на пленарному засіданні Верховної Ради України мають пройти аналіз та оцінку уповноваженого структурного підрозділу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на предмет прогнозного впливу такого законопроекту на ключові показники економічного та соціального розвитку держави у середньостроковій перспективі (строком від трьох до п’яти років). За </w:t>
            </w:r>
            <w:r w:rsidRPr="004870DA">
              <w:rPr>
                <w:b/>
                <w:bCs/>
                <w:sz w:val="28"/>
                <w:szCs w:val="28"/>
                <w:shd w:val="clear" w:color="auto" w:fill="FFFFFF"/>
                <w:lang w:val="uk-UA"/>
              </w:rPr>
              <w:lastRenderedPageBreak/>
              <w:t>результатами аналізу та оцінки законопроекту, підготовленого до другого чи повторного другого читання, уповноважений структурний підрозділ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надає головному комітету висновок про прогнозний вплив такого законопроекту на ключові показники економічного та соціального розвитку держави у середньостроковій перспективі (строком від трьох до п’яти років).</w:t>
            </w:r>
          </w:p>
          <w:p w14:paraId="7409B23C" w14:textId="77777777" w:rsidR="0033488B" w:rsidRPr="004870DA" w:rsidRDefault="0033488B" w:rsidP="00F30360">
            <w:pPr>
              <w:pStyle w:val="rvps2"/>
              <w:numPr>
                <w:ilvl w:val="0"/>
                <w:numId w:val="7"/>
              </w:numPr>
              <w:spacing w:before="120" w:beforeAutospacing="0" w:after="120" w:afterAutospacing="0" w:line="360" w:lineRule="auto"/>
              <w:ind w:left="0" w:firstLine="425"/>
              <w:jc w:val="both"/>
              <w:rPr>
                <w:b/>
                <w:bCs/>
                <w:sz w:val="28"/>
                <w:szCs w:val="28"/>
                <w:shd w:val="clear" w:color="auto" w:fill="FFFFFF"/>
                <w:lang w:val="uk-UA"/>
              </w:rPr>
            </w:pPr>
            <w:r w:rsidRPr="004870DA">
              <w:rPr>
                <w:b/>
                <w:bCs/>
                <w:sz w:val="28"/>
                <w:szCs w:val="28"/>
                <w:shd w:val="clear" w:color="auto" w:fill="FFFFFF"/>
                <w:lang w:val="uk-UA"/>
              </w:rPr>
              <w:t xml:space="preserve">Уповноважений структурний підрозділ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здійснює аналіз, оцінку та надає свій висновок про прогнозні наслідки та вплив змін, запропонованих у законопроекті, протягом п’ятнадцяти  календарних днів з дня отримання від головного комітету тексту законопроекту, підготовленого </w:t>
            </w:r>
            <w:r w:rsidRPr="004870DA">
              <w:rPr>
                <w:b/>
                <w:bCs/>
                <w:sz w:val="28"/>
                <w:szCs w:val="28"/>
                <w:shd w:val="clear" w:color="auto" w:fill="FFFFFF"/>
                <w:lang w:val="uk-UA"/>
              </w:rPr>
              <w:lastRenderedPageBreak/>
              <w:t>до другого або повторного другого читання, висновку головного комітету та інших супровідних документів до нього.</w:t>
            </w:r>
          </w:p>
          <w:p w14:paraId="3307A587" w14:textId="77777777" w:rsidR="0033488B" w:rsidRPr="004870DA" w:rsidRDefault="0033488B" w:rsidP="00F30360">
            <w:pPr>
              <w:pStyle w:val="ad"/>
              <w:numPr>
                <w:ilvl w:val="0"/>
                <w:numId w:val="7"/>
              </w:numPr>
              <w:spacing w:before="120" w:after="120" w:line="360" w:lineRule="auto"/>
              <w:ind w:left="0" w:firstLine="425"/>
              <w:jc w:val="both"/>
              <w:rPr>
                <w:b/>
                <w:bCs/>
                <w:shd w:val="clear" w:color="auto" w:fill="FFFFFF"/>
              </w:rPr>
            </w:pPr>
            <w:r w:rsidRPr="004870DA">
              <w:rPr>
                <w:b/>
                <w:bCs/>
                <w:shd w:val="clear" w:color="auto" w:fill="FFFFFF"/>
              </w:rPr>
              <w:t>Висновок про прогнозний вплив законопроекту на ключові показники економічного та соціального розвитку держави у середньостроковій перспективі направляється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у письмовому та електронному вигляді головному Комітету, який здійснює підготовку законопроекту до другого чи повторного другого читання, а також оприлюднюється на веб-сайті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w:t>
            </w:r>
          </w:p>
          <w:p w14:paraId="4765FE17" w14:textId="77777777" w:rsidR="0033488B" w:rsidRPr="004870DA" w:rsidRDefault="0033488B" w:rsidP="00F30360">
            <w:pPr>
              <w:pStyle w:val="rvps2"/>
              <w:numPr>
                <w:ilvl w:val="0"/>
                <w:numId w:val="7"/>
              </w:numPr>
              <w:spacing w:before="120" w:beforeAutospacing="0" w:after="120" w:afterAutospacing="0" w:line="360" w:lineRule="auto"/>
              <w:ind w:left="0" w:firstLine="425"/>
              <w:jc w:val="both"/>
              <w:rPr>
                <w:b/>
                <w:bCs/>
                <w:sz w:val="28"/>
                <w:szCs w:val="28"/>
                <w:shd w:val="clear" w:color="auto" w:fill="FFFFFF"/>
                <w:lang w:val="uk-UA"/>
              </w:rPr>
            </w:pPr>
            <w:r w:rsidRPr="004870DA">
              <w:rPr>
                <w:b/>
                <w:bCs/>
                <w:sz w:val="28"/>
                <w:szCs w:val="28"/>
                <w:shd w:val="clear" w:color="auto" w:fill="FFFFFF"/>
                <w:lang w:val="uk-UA"/>
              </w:rPr>
              <w:t xml:space="preserve">Форма та структура висновку про прогнозний вплив законопроекту на ключові показники економічного та </w:t>
            </w:r>
            <w:r w:rsidRPr="004870DA">
              <w:rPr>
                <w:b/>
                <w:bCs/>
                <w:sz w:val="28"/>
                <w:szCs w:val="28"/>
                <w:shd w:val="clear" w:color="auto" w:fill="FFFFFF"/>
                <w:lang w:val="uk-UA"/>
              </w:rPr>
              <w:lastRenderedPageBreak/>
              <w:t>соціального розвитку держави у середньостроковій перспективі затверджується центральним органом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У висновку про прогнозний вплив такого законопроекту на ключові показники економічного та соціального розвитку держави у середньостроковій перспективі (строком від трьох до п’яти років) уповноважений орган зобов’язаний зазначити аналітичну інформацію про оцінку позитивного та/або негативного впливу на економіку держави кожного положення законопроекту, підготовленого до другого читання, а також визначити загальний прогнозний вплив положень законопроекту на ключові показники економічного розвитку держави, визначені у частині п’ятій цієї статті, у середньостроковій перспективі, у розрізі найближчих трьох - п’яти календарних років, наступних за роком надходження законопроекту до уповноваженого структурного підрозділу.</w:t>
            </w:r>
          </w:p>
          <w:p w14:paraId="2ED18E3A" w14:textId="77777777" w:rsidR="0033488B" w:rsidRPr="004870DA" w:rsidRDefault="0033488B" w:rsidP="00F30360">
            <w:pPr>
              <w:pStyle w:val="rvps2"/>
              <w:numPr>
                <w:ilvl w:val="0"/>
                <w:numId w:val="7"/>
              </w:numPr>
              <w:spacing w:before="120" w:beforeAutospacing="0" w:after="120" w:afterAutospacing="0" w:line="360" w:lineRule="auto"/>
              <w:ind w:left="0" w:firstLine="425"/>
              <w:jc w:val="both"/>
              <w:rPr>
                <w:b/>
                <w:bCs/>
                <w:sz w:val="28"/>
                <w:szCs w:val="28"/>
                <w:shd w:val="clear" w:color="auto" w:fill="FFFFFF"/>
                <w:lang w:val="uk-UA"/>
              </w:rPr>
            </w:pPr>
            <w:r w:rsidRPr="004870DA">
              <w:rPr>
                <w:b/>
                <w:bCs/>
                <w:sz w:val="28"/>
                <w:szCs w:val="28"/>
                <w:shd w:val="clear" w:color="auto" w:fill="FFFFFF"/>
                <w:lang w:val="uk-UA"/>
              </w:rPr>
              <w:lastRenderedPageBreak/>
              <w:t>Перелік ключових показників економічного розвитку держави, які обов’язково визначаються у висновку про прогнозний вплив законопроекту на ключові показники економічного розвитку держави:</w:t>
            </w:r>
          </w:p>
          <w:p w14:paraId="384A00B1"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рівень зростання валового внутрішнього продукту (номінальний та реальний ВВП);</w:t>
            </w:r>
          </w:p>
          <w:p w14:paraId="0A0953EE"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темпи зростання (зниження) експорту-імпорту товарів та послуг;</w:t>
            </w:r>
          </w:p>
          <w:p w14:paraId="22E58BD5"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рівень прогнозних прямих іноземних інвестицій;</w:t>
            </w:r>
          </w:p>
          <w:p w14:paraId="5B3230F6"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припущення щодо середньорічного обмінного курсу іноземної валюти;</w:t>
            </w:r>
          </w:p>
          <w:p w14:paraId="2F8D2B41"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рівень та темпи зростання (зниження) випуску продукції основними секторами економіки та прогноз можливого створення дефіциту або профіциту товарів на ринках;</w:t>
            </w:r>
          </w:p>
          <w:p w14:paraId="55C126F1"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прогнозний індекс цін виробників промислової продукції у сфері регулювання законопроекту;</w:t>
            </w:r>
          </w:p>
          <w:p w14:paraId="6DFFCC95"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прогнозний індекс споживчих цін;</w:t>
            </w:r>
          </w:p>
          <w:p w14:paraId="09585297"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прогнозні показники інфляції;</w:t>
            </w:r>
          </w:p>
          <w:p w14:paraId="1C65120C"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lastRenderedPageBreak/>
              <w:t>показники збільшення (зменшення) державного та гарантованого державою боргу;</w:t>
            </w:r>
          </w:p>
          <w:p w14:paraId="6C7209C2"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вплив на ціноутворення та тарифи на послуги у відповідному секторі економіки;</w:t>
            </w:r>
          </w:p>
          <w:p w14:paraId="6DED488A"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 xml:space="preserve"> вплив на загальні соціальні показники (динаміка середньомісячної заробітної плати працівників галузі, рівень безробіття, темпи трудової міграції тощо)</w:t>
            </w:r>
          </w:p>
          <w:p w14:paraId="4304DA15" w14:textId="77777777" w:rsidR="0033488B" w:rsidRPr="004870DA" w:rsidRDefault="0033488B" w:rsidP="00F30360">
            <w:pPr>
              <w:pStyle w:val="ad"/>
              <w:numPr>
                <w:ilvl w:val="0"/>
                <w:numId w:val="4"/>
              </w:numPr>
              <w:spacing w:before="120" w:after="120" w:line="360" w:lineRule="auto"/>
              <w:ind w:left="0" w:firstLine="709"/>
              <w:contextualSpacing/>
              <w:jc w:val="both"/>
              <w:rPr>
                <w:b/>
              </w:rPr>
            </w:pPr>
            <w:r w:rsidRPr="004870DA">
              <w:rPr>
                <w:b/>
              </w:rPr>
              <w:t xml:space="preserve"> вплив на інші економічні показники економічного розвитку держави, на які впливає законопроект.</w:t>
            </w:r>
          </w:p>
          <w:p w14:paraId="2C2F2C86" w14:textId="137178DB" w:rsidR="0033488B" w:rsidRPr="004870DA" w:rsidRDefault="0033488B" w:rsidP="00F30360">
            <w:pPr>
              <w:pStyle w:val="rvps2"/>
              <w:numPr>
                <w:ilvl w:val="0"/>
                <w:numId w:val="7"/>
              </w:numPr>
              <w:spacing w:before="120" w:beforeAutospacing="0" w:after="120" w:afterAutospacing="0" w:line="360" w:lineRule="auto"/>
              <w:ind w:left="0" w:firstLine="709"/>
              <w:jc w:val="both"/>
              <w:rPr>
                <w:b/>
                <w:lang w:val="uk-UA"/>
              </w:rPr>
            </w:pPr>
            <w:r w:rsidRPr="004870DA">
              <w:rPr>
                <w:b/>
                <w:bCs/>
                <w:sz w:val="28"/>
                <w:szCs w:val="28"/>
                <w:shd w:val="clear" w:color="auto" w:fill="FFFFFF"/>
                <w:lang w:val="uk-UA"/>
              </w:rPr>
              <w:t xml:space="preserve">У разі виявлення, в процесі аналізу та оцінки законопроекту,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окремих положень законопроекту, підготовленого </w:t>
            </w:r>
            <w:r w:rsidR="00002139" w:rsidRPr="004870DA">
              <w:rPr>
                <w:b/>
                <w:bCs/>
                <w:sz w:val="28"/>
                <w:szCs w:val="28"/>
                <w:shd w:val="clear" w:color="auto" w:fill="FFFFFF"/>
                <w:lang w:val="uk-UA"/>
              </w:rPr>
              <w:t>до другого чи повторного другого читання</w:t>
            </w:r>
            <w:r w:rsidRPr="004870DA">
              <w:rPr>
                <w:b/>
                <w:bCs/>
                <w:sz w:val="28"/>
                <w:szCs w:val="28"/>
                <w:shd w:val="clear" w:color="auto" w:fill="FFFFFF"/>
                <w:lang w:val="uk-UA"/>
              </w:rPr>
              <w:t xml:space="preserve">, які матимуть негативний вплив на ключові показники економічного розвитку держави або виявлення інших суттєвих зауважень та/або застережень </w:t>
            </w:r>
            <w:r w:rsidRPr="004870DA">
              <w:rPr>
                <w:b/>
                <w:bCs/>
                <w:sz w:val="28"/>
                <w:szCs w:val="28"/>
                <w:shd w:val="clear" w:color="auto" w:fill="FFFFFF"/>
                <w:lang w:val="uk-UA"/>
              </w:rPr>
              <w:lastRenderedPageBreak/>
              <w:t>щодо прогнозного негативного впливу законопроекту на ключові показники економічного та соціального розвитку держави, центральний орган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зобов’язаний негайно письмово повідомляє про зазначені факти головний комітет,</w:t>
            </w:r>
            <w:r w:rsidRPr="004870DA">
              <w:rPr>
                <w:b/>
                <w:lang w:val="uk-UA"/>
              </w:rPr>
              <w:t xml:space="preserve"> </w:t>
            </w:r>
            <w:r w:rsidRPr="004870DA">
              <w:rPr>
                <w:b/>
                <w:bCs/>
                <w:sz w:val="28"/>
                <w:szCs w:val="28"/>
                <w:shd w:val="clear" w:color="auto" w:fill="FFFFFF"/>
                <w:lang w:val="uk-UA"/>
              </w:rPr>
              <w:t xml:space="preserve">який здійснює підготовку законопроекту до другого чи повторного другого читання, та Голову Верховної Ради України про неможливість включення такого законопроекту до порядку денного пленарного засідання до складення остаточного висновку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та проведення повторного розгляду головним комітетом відповідних положень законопроекту, що матимуть прогнозний негативний вплив на ключові </w:t>
            </w:r>
            <w:r w:rsidRPr="004870DA">
              <w:rPr>
                <w:b/>
                <w:bCs/>
                <w:sz w:val="28"/>
                <w:szCs w:val="28"/>
                <w:shd w:val="clear" w:color="auto" w:fill="FFFFFF"/>
                <w:lang w:val="uk-UA"/>
              </w:rPr>
              <w:lastRenderedPageBreak/>
              <w:t>показники економічного та соціального розвитку держави у середньостроковій перспективі.</w:t>
            </w:r>
          </w:p>
          <w:p w14:paraId="28CBE2CE" w14:textId="77777777" w:rsidR="0033488B" w:rsidRPr="004870DA" w:rsidRDefault="0033488B" w:rsidP="00F30360">
            <w:pPr>
              <w:pStyle w:val="rvps2"/>
              <w:numPr>
                <w:ilvl w:val="0"/>
                <w:numId w:val="7"/>
              </w:numPr>
              <w:spacing w:before="120" w:beforeAutospacing="0" w:after="120" w:afterAutospacing="0" w:line="360" w:lineRule="auto"/>
              <w:ind w:left="0" w:firstLine="709"/>
              <w:jc w:val="both"/>
              <w:rPr>
                <w:b/>
                <w:bCs/>
                <w:sz w:val="28"/>
                <w:szCs w:val="28"/>
                <w:shd w:val="clear" w:color="auto" w:fill="FFFFFF"/>
                <w:lang w:val="uk-UA"/>
              </w:rPr>
            </w:pPr>
            <w:r w:rsidRPr="004870DA">
              <w:rPr>
                <w:b/>
                <w:bCs/>
                <w:sz w:val="28"/>
                <w:szCs w:val="28"/>
                <w:shd w:val="clear" w:color="auto" w:fill="FFFFFF"/>
                <w:lang w:val="uk-UA"/>
              </w:rPr>
              <w:t>У разі настання випадку, визначену у частині шостій цієї статті закону, головний комітет протягом чотирнадцяти календарних днів з дня отримання висновку про прогнозний вплив законопроекту на ключові показники економічного та соціального розвитку держави у середньостроковій перспективі, відповідно до частини другої цієї статті закону, зобов’язаний на своєму засіданні повторно розглянути положення законопроекту, що матимуть прогнозний негативний вплив на ключові показники економічного та соціального розвитку держави у середньостроковій перспективі, та інших зауважень та застережень, що зазначені у висновку.</w:t>
            </w:r>
          </w:p>
          <w:p w14:paraId="30C8AF4F" w14:textId="77777777" w:rsidR="0033488B" w:rsidRPr="004870DA" w:rsidRDefault="0033488B" w:rsidP="00F30360">
            <w:pPr>
              <w:pStyle w:val="rvps2"/>
              <w:numPr>
                <w:ilvl w:val="0"/>
                <w:numId w:val="7"/>
              </w:numPr>
              <w:spacing w:before="120" w:beforeAutospacing="0" w:after="120" w:afterAutospacing="0" w:line="360" w:lineRule="auto"/>
              <w:ind w:left="0" w:firstLine="709"/>
              <w:jc w:val="both"/>
              <w:rPr>
                <w:b/>
                <w:bCs/>
                <w:sz w:val="28"/>
                <w:szCs w:val="28"/>
                <w:shd w:val="clear" w:color="auto" w:fill="FFFFFF"/>
                <w:lang w:val="uk-UA"/>
              </w:rPr>
            </w:pPr>
            <w:r w:rsidRPr="004870DA">
              <w:rPr>
                <w:b/>
                <w:bCs/>
                <w:sz w:val="28"/>
                <w:szCs w:val="28"/>
                <w:shd w:val="clear" w:color="auto" w:fill="FFFFFF"/>
                <w:lang w:val="uk-UA"/>
              </w:rPr>
              <w:t xml:space="preserve">За результатом повторного розгляду головним комітетом законопроекту, підготовленого до другого читання, який згідно з висновком про прогнозний вплив законопроекту на ключові показники економічного та соціального розвитку держави у середньостроковій перспективі має прогнозний негативний вплив на </w:t>
            </w:r>
            <w:r w:rsidRPr="004870DA">
              <w:rPr>
                <w:b/>
                <w:bCs/>
                <w:sz w:val="28"/>
                <w:szCs w:val="28"/>
                <w:shd w:val="clear" w:color="auto" w:fill="FFFFFF"/>
                <w:lang w:val="uk-UA"/>
              </w:rPr>
              <w:lastRenderedPageBreak/>
              <w:t>ключові показники економічного та соціального розвитку держави у середньостроковій перспективі, головний комітет приймає одне з таких рішень:</w:t>
            </w:r>
          </w:p>
          <w:p w14:paraId="1DFA4590" w14:textId="1E97361D" w:rsidR="0033488B" w:rsidRPr="004870DA" w:rsidRDefault="0033488B" w:rsidP="00F30360">
            <w:pPr>
              <w:pStyle w:val="ad"/>
              <w:numPr>
                <w:ilvl w:val="0"/>
                <w:numId w:val="5"/>
              </w:numPr>
              <w:spacing w:before="120" w:after="120" w:line="360" w:lineRule="auto"/>
              <w:ind w:left="0" w:firstLine="709"/>
              <w:contextualSpacing/>
              <w:jc w:val="both"/>
              <w:rPr>
                <w:b/>
              </w:rPr>
            </w:pPr>
            <w:r w:rsidRPr="004870DA">
              <w:rPr>
                <w:b/>
              </w:rPr>
              <w:t xml:space="preserve">направити законопроект </w:t>
            </w:r>
            <w:r w:rsidR="00182CC3" w:rsidRPr="004870DA">
              <w:rPr>
                <w:b/>
                <w:lang w:val="ru-RU"/>
              </w:rPr>
              <w:t xml:space="preserve">на </w:t>
            </w:r>
            <w:r w:rsidR="00182CC3" w:rsidRPr="004870DA">
              <w:rPr>
                <w:b/>
              </w:rPr>
              <w:t>доопрацювання головному</w:t>
            </w:r>
            <w:r w:rsidRPr="004870DA">
              <w:rPr>
                <w:b/>
              </w:rPr>
              <w:t xml:space="preserve"> комітету для повторного розгляду та врахування зауважень та застережень, викладених у висновку про прогнозний вплив законопроекту на ключові показники економічного та соціального розвитку держави у середньостроковій перспективі;</w:t>
            </w:r>
          </w:p>
          <w:p w14:paraId="254B7351" w14:textId="0277D275" w:rsidR="0033488B" w:rsidRPr="004870DA" w:rsidRDefault="00182CC3" w:rsidP="00F30360">
            <w:pPr>
              <w:pStyle w:val="ad"/>
              <w:numPr>
                <w:ilvl w:val="0"/>
                <w:numId w:val="5"/>
              </w:numPr>
              <w:spacing w:before="120" w:after="120" w:line="360" w:lineRule="auto"/>
              <w:ind w:left="0" w:firstLine="709"/>
              <w:contextualSpacing/>
              <w:jc w:val="both"/>
              <w:rPr>
                <w:b/>
              </w:rPr>
            </w:pPr>
            <w:r w:rsidRPr="004870DA">
              <w:rPr>
                <w:b/>
              </w:rPr>
              <w:t>відхилити зауваження та застереження</w:t>
            </w:r>
            <w:r w:rsidR="0033488B" w:rsidRPr="004870DA">
              <w:rPr>
                <w:b/>
              </w:rPr>
              <w:t xml:space="preserve"> до законопроекту, викладені у висновку про прогнозний вплив законопроекту на ключові показники економічного та соціального розвитку держави у середньостроковій перспективі, та направити без змін законопроект, підготовлений до другого чи повторного другого читання, на розгляд Верховної Ради України;</w:t>
            </w:r>
          </w:p>
          <w:p w14:paraId="5A93A146" w14:textId="77777777" w:rsidR="0033488B" w:rsidRPr="004870DA" w:rsidRDefault="0033488B" w:rsidP="00F30360">
            <w:pPr>
              <w:pStyle w:val="ad"/>
              <w:numPr>
                <w:ilvl w:val="0"/>
                <w:numId w:val="5"/>
              </w:numPr>
              <w:spacing w:before="120" w:after="120" w:line="360" w:lineRule="auto"/>
              <w:ind w:left="0" w:firstLine="709"/>
              <w:contextualSpacing/>
              <w:jc w:val="both"/>
              <w:rPr>
                <w:b/>
              </w:rPr>
            </w:pPr>
            <w:r w:rsidRPr="004870DA">
              <w:rPr>
                <w:b/>
              </w:rPr>
              <w:t>повторно переглянути висновок головного комітету та рекомендувати Верховній Раді України відхилити законопроект в цілому.</w:t>
            </w:r>
          </w:p>
          <w:p w14:paraId="6C9ED2C5" w14:textId="77777777" w:rsidR="0033488B" w:rsidRPr="004870DA" w:rsidRDefault="0033488B" w:rsidP="00F30360">
            <w:pPr>
              <w:pStyle w:val="ad"/>
              <w:spacing w:before="120" w:after="120" w:line="360" w:lineRule="auto"/>
              <w:ind w:left="0" w:firstLine="709"/>
              <w:contextualSpacing/>
              <w:jc w:val="both"/>
              <w:rPr>
                <w:b/>
              </w:rPr>
            </w:pPr>
            <w:r w:rsidRPr="004870DA">
              <w:rPr>
                <w:b/>
              </w:rPr>
              <w:lastRenderedPageBreak/>
              <w:t xml:space="preserve">У разі прийняття головним комітетом, згідно з пунктом 2 цієї статті, рішення про відхилення зауважень та застережень до законопроекту, викладених у висновку про прогнозний вплив законопроекту на ключові показники економічного та соціального розвитку держави у середньостроковій перспективі, доповідач на пленарному засіданні від головного комітету з цього питання зобов’язаний у своїй доповіді повідомити народних депутатів України про: 1) прийняття головним комітетом рішення про відхилення зауважень та застережень до законопроекту, викладені у висновку про прогнозний вплив законопроекту на ключові показники економічного та соціального розвитку держави у середньостроковій перспективі; 2) зазначити перелік усіх відхилених зауважень та застережень до положень законопроекту, які викладені у висновку; 3) доповісти про мотиви та обґрунтування головного комітету щодо прийняття рішення про відхилення відповідних зауважень та застережень до положень законопроекту, які викладені у висновку про прогнозний вплив </w:t>
            </w:r>
            <w:r w:rsidRPr="004870DA">
              <w:rPr>
                <w:b/>
              </w:rPr>
              <w:lastRenderedPageBreak/>
              <w:t>законопроекту на ключові показники економічного та соціального розвитку держави у середньостроковій перспективі.</w:t>
            </w:r>
          </w:p>
          <w:p w14:paraId="2408AF54" w14:textId="77777777" w:rsidR="0033488B" w:rsidRPr="004870DA" w:rsidRDefault="0033488B" w:rsidP="00F30360">
            <w:pPr>
              <w:pStyle w:val="ad"/>
              <w:spacing w:before="120" w:after="120" w:line="360" w:lineRule="auto"/>
              <w:ind w:left="0" w:firstLine="709"/>
              <w:contextualSpacing/>
              <w:jc w:val="both"/>
              <w:rPr>
                <w:b/>
              </w:rPr>
            </w:pPr>
            <w:r w:rsidRPr="004870DA">
              <w:rPr>
                <w:b/>
              </w:rPr>
              <w:t>У разі зазначення уповноваженим структурним підрозділом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у своєму висновку про прогнозний позитивний вплив законопроекту та/або про відсутність негативного впливу законопроекту або його окремих положень на ключові показники економічного та соціального розвитку держави у середньостроковій перспективі, головний комітет інформує Голову Верховної Ради України про можливість включення відповідного законопроекту, підготовленого до другого чи повторного другого читання, до порядку денного чергового пленарного засідання для розгляду законопроекту та прийняття рішення.</w:t>
            </w:r>
          </w:p>
          <w:p w14:paraId="7F717292" w14:textId="09DDC3AB" w:rsidR="00335D3C" w:rsidRPr="006425A2" w:rsidRDefault="0033488B" w:rsidP="00F30360">
            <w:pPr>
              <w:pStyle w:val="ad"/>
              <w:numPr>
                <w:ilvl w:val="0"/>
                <w:numId w:val="7"/>
              </w:numPr>
              <w:spacing w:before="120" w:after="120" w:line="360" w:lineRule="auto"/>
              <w:ind w:left="0" w:firstLine="425"/>
              <w:jc w:val="both"/>
              <w:rPr>
                <w:bCs/>
                <w:shd w:val="clear" w:color="auto" w:fill="FFFFFF"/>
              </w:rPr>
            </w:pPr>
            <w:r w:rsidRPr="004870DA">
              <w:rPr>
                <w:b/>
                <w:bCs/>
                <w:shd w:val="clear" w:color="auto" w:fill="FFFFFF"/>
              </w:rPr>
              <w:t>Протягом строку проведення аналізу, оцінки та підготовки висновку</w:t>
            </w:r>
            <w:r w:rsidRPr="004870DA">
              <w:rPr>
                <w:b/>
              </w:rPr>
              <w:t xml:space="preserve"> </w:t>
            </w:r>
            <w:r w:rsidRPr="004870DA">
              <w:rPr>
                <w:b/>
                <w:bCs/>
                <w:shd w:val="clear" w:color="auto" w:fill="FFFFFF"/>
              </w:rPr>
              <w:t xml:space="preserve">про прогнозний вплив </w:t>
            </w:r>
            <w:r w:rsidRPr="004870DA">
              <w:rPr>
                <w:b/>
                <w:bCs/>
                <w:shd w:val="clear" w:color="auto" w:fill="FFFFFF"/>
              </w:rPr>
              <w:lastRenderedPageBreak/>
              <w:t>законопроекту на ключові показники економічного та соціального розвитку держави у середньостроковій перспективі, визначеного у частині другій цієї статті закону, та протягом строку необхідного для повторного розгляду головним комітетом зауважень, застережень та положень законопроекту, що матимуть прогнозний негативний вплив на ключові показники економічного та соціального розвитку держави у середньостроковій перспективі, згідно з висновком уповноваженого структурного підрозділу центрального органу виконавчої влади, що забезпечує формування та реалізацію державної політики економічного і соціального розвитку, цінової політики та розвитку підприємництва і торгівлі, в порядку визначеному частинами шостою - восьмою цієї статті закону, Голові Верховної Ради України забороняється включати законопроекти, підготовлені до другого чи повторного другого читання, до порядку денного пленарного засідання та вносити пропозицію про їх розгляд Верховною Радою України.</w:t>
            </w:r>
          </w:p>
        </w:tc>
      </w:tr>
      <w:tr w:rsidR="00335D3C" w:rsidRPr="00AE4769" w14:paraId="38B37D6C" w14:textId="77777777" w:rsidTr="00F30360">
        <w:tc>
          <w:tcPr>
            <w:tcW w:w="7655" w:type="dxa"/>
          </w:tcPr>
          <w:p w14:paraId="2FE64618" w14:textId="4FABE8D6" w:rsidR="00335D3C" w:rsidRPr="00AE4769" w:rsidRDefault="00335D3C" w:rsidP="00AE4769">
            <w:pPr>
              <w:pStyle w:val="rvps2"/>
              <w:spacing w:before="0" w:beforeAutospacing="0" w:after="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lastRenderedPageBreak/>
              <w:t>…</w:t>
            </w:r>
          </w:p>
        </w:tc>
        <w:tc>
          <w:tcPr>
            <w:tcW w:w="7626" w:type="dxa"/>
          </w:tcPr>
          <w:p w14:paraId="301BE1D5" w14:textId="0F489B6B" w:rsidR="00335D3C" w:rsidRPr="00AE4769" w:rsidRDefault="00335D3C" w:rsidP="00AE4769">
            <w:pPr>
              <w:pStyle w:val="rvps2"/>
              <w:spacing w:before="0" w:beforeAutospacing="0" w:after="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w:t>
            </w:r>
          </w:p>
        </w:tc>
      </w:tr>
      <w:tr w:rsidR="00335D3C" w:rsidRPr="00AE4769" w14:paraId="128678FE" w14:textId="77777777" w:rsidTr="00F30360">
        <w:tc>
          <w:tcPr>
            <w:tcW w:w="7655" w:type="dxa"/>
          </w:tcPr>
          <w:p w14:paraId="6FCBF25F"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
                <w:color w:val="000000"/>
                <w:sz w:val="28"/>
                <w:szCs w:val="28"/>
                <w:shd w:val="clear" w:color="auto" w:fill="FFFFFF"/>
                <w:lang w:val="uk-UA"/>
              </w:rPr>
              <w:lastRenderedPageBreak/>
              <w:t>Стаття 118.</w:t>
            </w:r>
            <w:r w:rsidRPr="00AE4769">
              <w:rPr>
                <w:bCs/>
                <w:color w:val="000000"/>
                <w:sz w:val="28"/>
                <w:szCs w:val="28"/>
                <w:shd w:val="clear" w:color="auto" w:fill="FFFFFF"/>
                <w:lang w:val="uk-UA"/>
              </w:rPr>
              <w:t xml:space="preserve"> Зміст порівняльної таблиці законопроекту, підготовленого до другого читання</w:t>
            </w:r>
          </w:p>
          <w:p w14:paraId="7E1E20CB"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2" w:name="n926"/>
            <w:bookmarkEnd w:id="12"/>
            <w:r w:rsidRPr="00AE4769">
              <w:rPr>
                <w:bCs/>
                <w:color w:val="000000"/>
                <w:sz w:val="28"/>
                <w:szCs w:val="28"/>
                <w:shd w:val="clear" w:color="auto" w:fill="FFFFFF"/>
                <w:lang w:val="uk-UA"/>
              </w:rPr>
              <w:t>1. Законопроект, підготовлений до другого читання, подається у вигляді порівняльної таблиці, яка має містити:</w:t>
            </w:r>
          </w:p>
          <w:p w14:paraId="64DCF65E"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3" w:name="n927"/>
            <w:bookmarkEnd w:id="13"/>
            <w:r w:rsidRPr="00AE4769">
              <w:rPr>
                <w:bCs/>
                <w:color w:val="000000"/>
                <w:sz w:val="28"/>
                <w:szCs w:val="28"/>
                <w:shd w:val="clear" w:color="auto" w:fill="FFFFFF"/>
                <w:lang w:val="uk-UA"/>
              </w:rPr>
              <w:t>1) текст законопроекту, прийнятого за основу;</w:t>
            </w:r>
          </w:p>
          <w:p w14:paraId="0BE4604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4" w:name="n928"/>
            <w:bookmarkEnd w:id="14"/>
            <w:r w:rsidRPr="00AE4769">
              <w:rPr>
                <w:bCs/>
                <w:color w:val="000000"/>
                <w:sz w:val="28"/>
                <w:szCs w:val="28"/>
                <w:shd w:val="clear" w:color="auto" w:fill="FFFFFF"/>
                <w:lang w:val="uk-UA"/>
              </w:rPr>
              <w:t>2) усі внесені та не відкликані пропозиції (можливо, із стислим обґрунтуванням), поправки, що мають суцільну нумерацію і розміщуються на рівні з відповідними статтями законопроекту, із зазначенням ініціаторів їх внесення - суб'єктів права законодавчої ініціативи;</w:t>
            </w:r>
          </w:p>
          <w:p w14:paraId="534E1507"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5" w:name="n929"/>
            <w:bookmarkEnd w:id="15"/>
            <w:r w:rsidRPr="00AE4769">
              <w:rPr>
                <w:bCs/>
                <w:color w:val="000000"/>
                <w:sz w:val="28"/>
                <w:szCs w:val="28"/>
                <w:shd w:val="clear" w:color="auto" w:fill="FFFFFF"/>
                <w:lang w:val="uk-UA"/>
              </w:rPr>
              <w:t>3) висновок головного комітету щодо внесених пропозицій, поправок;</w:t>
            </w:r>
          </w:p>
          <w:p w14:paraId="75897ED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6" w:name="n930"/>
            <w:bookmarkEnd w:id="16"/>
            <w:r w:rsidRPr="00AE4769">
              <w:rPr>
                <w:bCs/>
                <w:color w:val="000000"/>
                <w:sz w:val="28"/>
                <w:szCs w:val="28"/>
                <w:shd w:val="clear" w:color="auto" w:fill="FFFFFF"/>
                <w:lang w:val="uk-UA"/>
              </w:rPr>
              <w:t>4) остаточну редакцію статей законопроекту, що пропонується головним комітетом для прийняття у другому читанні.</w:t>
            </w:r>
          </w:p>
          <w:p w14:paraId="36D3DB04"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7" w:name="n931"/>
            <w:bookmarkEnd w:id="17"/>
            <w:r w:rsidRPr="00AE4769">
              <w:rPr>
                <w:bCs/>
                <w:color w:val="000000"/>
                <w:sz w:val="28"/>
                <w:szCs w:val="28"/>
                <w:shd w:val="clear" w:color="auto" w:fill="FFFFFF"/>
                <w:lang w:val="uk-UA"/>
              </w:rPr>
              <w:t>2. Якщо з тих чи інших причин не всі пропозиції, поправки включені до порівняльної таблиці, головним комітетом готується і подається додаткова порівняльна таблиця.</w:t>
            </w:r>
          </w:p>
          <w:p w14:paraId="78860B48"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8" w:name="n932"/>
            <w:bookmarkEnd w:id="18"/>
            <w:r w:rsidRPr="00AE4769">
              <w:rPr>
                <w:bCs/>
                <w:color w:val="000000"/>
                <w:sz w:val="28"/>
                <w:szCs w:val="28"/>
                <w:shd w:val="clear" w:color="auto" w:fill="FFFFFF"/>
                <w:lang w:val="uk-UA"/>
              </w:rPr>
              <w:lastRenderedPageBreak/>
              <w:t>3. Якщо головний комітет не прийняв рішення щодо тієї чи іншої пропозиції чи поправки до законопроекту, то остаточна редакція тексту законопроекту в цій частині залишається комітетом в редакції першого читання.</w:t>
            </w:r>
          </w:p>
          <w:p w14:paraId="496BB96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19" w:name="n933"/>
            <w:bookmarkEnd w:id="19"/>
            <w:r w:rsidRPr="00AE4769">
              <w:rPr>
                <w:bCs/>
                <w:color w:val="000000"/>
                <w:sz w:val="28"/>
                <w:szCs w:val="28"/>
                <w:shd w:val="clear" w:color="auto" w:fill="FFFFFF"/>
                <w:lang w:val="uk-UA"/>
              </w:rPr>
              <w:t xml:space="preserve">4. Пропозиція, внесена у встановленому порядку до другого читання, залишається без розгляду і до порівняльної таблиці, передбаченої частиною першою цієї статті, не включається на підставі висновку комітету, до предмета відання якого належать питання конституційного права, про те, що внесена пропозиція суперечить вимогам </w:t>
            </w:r>
            <w:hyperlink r:id="rId11" w:tgtFrame="_blank" w:history="1">
              <w:r w:rsidRPr="00AE4769">
                <w:rPr>
                  <w:rStyle w:val="a4"/>
                  <w:bCs/>
                  <w:sz w:val="28"/>
                  <w:szCs w:val="28"/>
                  <w:shd w:val="clear" w:color="auto" w:fill="FFFFFF"/>
                  <w:lang w:val="uk-UA"/>
                </w:rPr>
                <w:t>Конституції України</w:t>
              </w:r>
            </w:hyperlink>
            <w:r w:rsidRPr="00AE4769">
              <w:rPr>
                <w:bCs/>
                <w:color w:val="000000"/>
                <w:sz w:val="28"/>
                <w:szCs w:val="28"/>
                <w:shd w:val="clear" w:color="auto" w:fill="FFFFFF"/>
                <w:lang w:val="uk-UA"/>
              </w:rPr>
              <w:t>. Такий висновок надається комітетом, до предмета відання якого належать питання конституційного права, за зверненням головного комітету у 14-денний строк з дня отримання звернення.</w:t>
            </w:r>
          </w:p>
          <w:p w14:paraId="44B45BCA"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20" w:name="n934"/>
            <w:bookmarkEnd w:id="20"/>
            <w:r w:rsidRPr="00AE4769">
              <w:rPr>
                <w:bCs/>
                <w:color w:val="000000"/>
                <w:sz w:val="28"/>
                <w:szCs w:val="28"/>
                <w:shd w:val="clear" w:color="auto" w:fill="FFFFFF"/>
                <w:lang w:val="uk-UA"/>
              </w:rPr>
              <w:t>5. У разі якщо до законопроекту, підготовленого до другого читання чи повторного другого читання, не надійшло пропозицій та поправок, такий законопроект подається без порівняльної таблиці.</w:t>
            </w:r>
          </w:p>
          <w:p w14:paraId="56323723"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21" w:name="n2207"/>
            <w:bookmarkEnd w:id="21"/>
            <w:r w:rsidRPr="00AE4769">
              <w:rPr>
                <w:bCs/>
                <w:color w:val="000000"/>
                <w:sz w:val="28"/>
                <w:szCs w:val="28"/>
                <w:shd w:val="clear" w:color="auto" w:fill="FFFFFF"/>
                <w:lang w:val="uk-UA"/>
              </w:rPr>
              <w:t xml:space="preserve">6. У разі якщо висновки юридичної експертизи та редакційного опрацювання містять зауваження до </w:t>
            </w:r>
            <w:r w:rsidRPr="00AE4769">
              <w:rPr>
                <w:bCs/>
                <w:color w:val="000000"/>
                <w:sz w:val="28"/>
                <w:szCs w:val="28"/>
                <w:shd w:val="clear" w:color="auto" w:fill="FFFFFF"/>
                <w:lang w:val="uk-UA"/>
              </w:rPr>
              <w:lastRenderedPageBreak/>
              <w:t>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14:paraId="4B2C5373" w14:textId="0E4CD460" w:rsidR="00F30360" w:rsidRPr="006425A2" w:rsidRDefault="00F30360" w:rsidP="00F30360">
            <w:pPr>
              <w:pStyle w:val="rvps2"/>
              <w:spacing w:before="120" w:beforeAutospacing="0" w:after="120" w:afterAutospacing="0" w:line="360" w:lineRule="auto"/>
              <w:ind w:firstLine="425"/>
              <w:jc w:val="both"/>
              <w:rPr>
                <w:b/>
                <w:sz w:val="28"/>
                <w:szCs w:val="28"/>
                <w:shd w:val="clear" w:color="auto" w:fill="FFFFFF"/>
                <w:lang w:val="uk-UA"/>
              </w:rPr>
            </w:pPr>
            <w:bookmarkStart w:id="22" w:name="n2205"/>
            <w:bookmarkStart w:id="23" w:name="n935"/>
            <w:bookmarkEnd w:id="22"/>
            <w:bookmarkEnd w:id="23"/>
            <w:r w:rsidRPr="006425A2">
              <w:rPr>
                <w:b/>
                <w:sz w:val="28"/>
                <w:szCs w:val="28"/>
                <w:shd w:val="clear" w:color="auto" w:fill="FFFFFF"/>
                <w:lang w:val="uk-UA"/>
              </w:rPr>
              <w:t>Положення статті відсутнє</w:t>
            </w:r>
          </w:p>
          <w:p w14:paraId="5F7A22FD" w14:textId="77777777" w:rsidR="00335D3C" w:rsidRPr="00AE4769" w:rsidRDefault="00335D3C"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p w14:paraId="717D123C" w14:textId="77777777" w:rsidR="00335D3C" w:rsidRPr="00AE4769" w:rsidRDefault="00335D3C"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tc>
        <w:tc>
          <w:tcPr>
            <w:tcW w:w="7626" w:type="dxa"/>
          </w:tcPr>
          <w:p w14:paraId="50D250AC"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
                <w:color w:val="000000"/>
                <w:sz w:val="28"/>
                <w:szCs w:val="28"/>
                <w:shd w:val="clear" w:color="auto" w:fill="FFFFFF"/>
                <w:lang w:val="uk-UA"/>
              </w:rPr>
              <w:lastRenderedPageBreak/>
              <w:t>Стаття 118.</w:t>
            </w:r>
            <w:r w:rsidRPr="00AE4769">
              <w:rPr>
                <w:bCs/>
                <w:color w:val="000000"/>
                <w:sz w:val="28"/>
                <w:szCs w:val="28"/>
                <w:shd w:val="clear" w:color="auto" w:fill="FFFFFF"/>
                <w:lang w:val="uk-UA"/>
              </w:rPr>
              <w:t xml:space="preserve"> Зміст порівняльної таблиці законопроекту, підготовленого до другого читання</w:t>
            </w:r>
          </w:p>
          <w:p w14:paraId="2F6DAE60"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1. Законопроект, підготовлений до другого читання, подається у вигляді порівняльної таблиці, яка має містити:</w:t>
            </w:r>
          </w:p>
          <w:p w14:paraId="1DC77530"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1) текст законопроекту, прийнятого за основу;</w:t>
            </w:r>
          </w:p>
          <w:p w14:paraId="07E783E3"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2) усі внесені та не відкликані пропозиції (можливо, із стислим обґрунтуванням), поправки, що мають суцільну нумерацію і розміщуються на рівні з відповідними статтями законопроекту, із зазначенням ініціаторів їх внесення - суб'єктів права законодавчої ініціативи;</w:t>
            </w:r>
          </w:p>
          <w:p w14:paraId="57BB5FF3"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3) висновок головного комітету щодо внесених пропозицій, поправок;</w:t>
            </w:r>
          </w:p>
          <w:p w14:paraId="4A5CC7DE"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4) остаточну редакцію статей законопроекту, що пропонується головним комітетом для прийняття у другому читанні.</w:t>
            </w:r>
          </w:p>
          <w:p w14:paraId="646C5A4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2. Якщо з тих чи інших причин не всі пропозиції, поправки включені до порівняльної таблиці, головним комітетом готується і подається додаткова порівняльна таблиця.</w:t>
            </w:r>
          </w:p>
          <w:p w14:paraId="2BD02C5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lastRenderedPageBreak/>
              <w:t>3. Якщо головний комітет не прийняв рішення щодо тієї чи іншої пропозиції чи поправки до законопроекту, то остаточна редакція тексту законопроекту в цій частині залишається комітетом в редакції першого читання.</w:t>
            </w:r>
          </w:p>
          <w:p w14:paraId="6C41B13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 xml:space="preserve">4. Пропозиція, внесена у встановленому порядку до другого читання, залишається без розгляду і до порівняльної таблиці, передбаченої частиною першою цієї статті, не включається на підставі висновку комітету, до предмета відання якого належать питання конституційного права, про те, що внесена пропозиція суперечить вимогам </w:t>
            </w:r>
            <w:hyperlink r:id="rId12" w:tgtFrame="_blank" w:history="1">
              <w:r w:rsidRPr="00AE4769">
                <w:rPr>
                  <w:rStyle w:val="a4"/>
                  <w:bCs/>
                  <w:sz w:val="28"/>
                  <w:szCs w:val="28"/>
                  <w:shd w:val="clear" w:color="auto" w:fill="FFFFFF"/>
                  <w:lang w:val="uk-UA"/>
                </w:rPr>
                <w:t>Конституції України</w:t>
              </w:r>
            </w:hyperlink>
            <w:r w:rsidRPr="00AE4769">
              <w:rPr>
                <w:bCs/>
                <w:color w:val="000000"/>
                <w:sz w:val="28"/>
                <w:szCs w:val="28"/>
                <w:shd w:val="clear" w:color="auto" w:fill="FFFFFF"/>
                <w:lang w:val="uk-UA"/>
              </w:rPr>
              <w:t>. Такий висновок надається комітетом, до предмета відання якого належать питання конституційного права, за зверненням головного комітету у 14-денний строк з дня отримання звернення.</w:t>
            </w:r>
          </w:p>
          <w:p w14:paraId="2F3859E2"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5. У разі якщо до законопроекту, підготовленого до другого читання чи повторного другого читання, не надійшло пропозицій та поправок, такий законопроект подається без порівняльної таблиці.</w:t>
            </w:r>
          </w:p>
          <w:p w14:paraId="1FDCF0EB"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 xml:space="preserve">6. У разі якщо висновки юридичної експертизи та редакційного опрацювання містять зауваження до </w:t>
            </w:r>
            <w:r w:rsidRPr="00AE4769">
              <w:rPr>
                <w:bCs/>
                <w:color w:val="000000"/>
                <w:sz w:val="28"/>
                <w:szCs w:val="28"/>
                <w:shd w:val="clear" w:color="auto" w:fill="FFFFFF"/>
                <w:lang w:val="uk-UA"/>
              </w:rPr>
              <w:lastRenderedPageBreak/>
              <w:t>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14:paraId="663175F1" w14:textId="23A6B501" w:rsidR="00335D3C" w:rsidRPr="006425A2" w:rsidRDefault="00335D3C" w:rsidP="00F30360">
            <w:pPr>
              <w:pStyle w:val="rvps2"/>
              <w:spacing w:before="120" w:beforeAutospacing="0" w:after="120" w:afterAutospacing="0" w:line="360" w:lineRule="auto"/>
              <w:ind w:firstLine="425"/>
              <w:jc w:val="both"/>
              <w:rPr>
                <w:b/>
                <w:color w:val="C00000"/>
                <w:sz w:val="28"/>
                <w:szCs w:val="28"/>
                <w:shd w:val="clear" w:color="auto" w:fill="FFFFFF"/>
                <w:lang w:val="uk-UA"/>
              </w:rPr>
            </w:pPr>
            <w:r w:rsidRPr="006425A2">
              <w:rPr>
                <w:b/>
                <w:bCs/>
                <w:sz w:val="28"/>
                <w:szCs w:val="28"/>
                <w:shd w:val="clear" w:color="auto" w:fill="FFFFFF"/>
                <w:lang w:val="uk-UA"/>
              </w:rPr>
              <w:t xml:space="preserve">7. До порівняльної таблиці законопроекту, підготовленого до другого читання, додається висновок про прогнозний вплив законопроекту на ключові показники економічного та соціального розвитку держави у середньостроковій перспективі, та рішення головного комітету, прийняті </w:t>
            </w:r>
            <w:r w:rsidR="008846B4" w:rsidRPr="006425A2">
              <w:rPr>
                <w:b/>
                <w:bCs/>
                <w:sz w:val="28"/>
                <w:szCs w:val="28"/>
                <w:shd w:val="clear" w:color="auto" w:fill="FFFFFF"/>
                <w:lang w:val="uk-UA"/>
              </w:rPr>
              <w:t xml:space="preserve">в порядку </w:t>
            </w:r>
            <w:r w:rsidRPr="006425A2">
              <w:rPr>
                <w:b/>
                <w:bCs/>
                <w:sz w:val="28"/>
                <w:szCs w:val="28"/>
                <w:shd w:val="clear" w:color="auto" w:fill="FFFFFF"/>
                <w:lang w:val="uk-UA"/>
              </w:rPr>
              <w:t>статті 117-1 цього закону.</w:t>
            </w:r>
          </w:p>
        </w:tc>
      </w:tr>
      <w:tr w:rsidR="00335D3C" w:rsidRPr="00AE4769" w14:paraId="3F6CF0D6" w14:textId="77777777" w:rsidTr="00F30360">
        <w:tc>
          <w:tcPr>
            <w:tcW w:w="7655" w:type="dxa"/>
          </w:tcPr>
          <w:p w14:paraId="45AA372D" w14:textId="130FD705" w:rsidR="00335D3C" w:rsidRPr="00AE4769" w:rsidRDefault="00335D3C" w:rsidP="00AE4769">
            <w:pPr>
              <w:pStyle w:val="rvps2"/>
              <w:spacing w:before="0" w:beforeAutospacing="0" w:after="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lastRenderedPageBreak/>
              <w:t>…</w:t>
            </w:r>
          </w:p>
        </w:tc>
        <w:tc>
          <w:tcPr>
            <w:tcW w:w="7626" w:type="dxa"/>
          </w:tcPr>
          <w:p w14:paraId="2E138F4B" w14:textId="2F4D2821" w:rsidR="00335D3C" w:rsidRPr="00AE4769" w:rsidRDefault="00335D3C" w:rsidP="00AE4769">
            <w:pPr>
              <w:pStyle w:val="rvps2"/>
              <w:spacing w:before="0" w:beforeAutospacing="0" w:after="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w:t>
            </w:r>
          </w:p>
        </w:tc>
      </w:tr>
      <w:tr w:rsidR="00335D3C" w:rsidRPr="00AE4769" w14:paraId="43DC09B3" w14:textId="77777777" w:rsidTr="00F30360">
        <w:tc>
          <w:tcPr>
            <w:tcW w:w="7655" w:type="dxa"/>
          </w:tcPr>
          <w:p w14:paraId="197E58A5"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Стаття 124. Розгляд законопроектів у повторному другому читанні</w:t>
            </w:r>
          </w:p>
          <w:p w14:paraId="1F1B6C2A"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24" w:name="n970"/>
            <w:bookmarkEnd w:id="24"/>
            <w:r w:rsidRPr="00AE4769">
              <w:rPr>
                <w:bCs/>
                <w:color w:val="000000"/>
                <w:sz w:val="28"/>
                <w:szCs w:val="28"/>
                <w:shd w:val="clear" w:color="auto" w:fill="FFFFFF"/>
                <w:lang w:val="uk-UA"/>
              </w:rPr>
              <w:t>1. На повторне друге читання законопроект подається головним комітетом у вигляді порівняльної таблиці.</w:t>
            </w:r>
          </w:p>
          <w:p w14:paraId="7A113FE6"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25" w:name="n971"/>
            <w:bookmarkEnd w:id="25"/>
            <w:r w:rsidRPr="00AE4769">
              <w:rPr>
                <w:bCs/>
                <w:color w:val="000000"/>
                <w:sz w:val="28"/>
                <w:szCs w:val="28"/>
                <w:shd w:val="clear" w:color="auto" w:fill="FFFFFF"/>
                <w:lang w:val="uk-UA"/>
              </w:rPr>
              <w:t xml:space="preserve">2. На повторне друге читання головний комітет подає лише пропозиції, поправки, внесені після другого читання, до статей чи їх частин, що не були прийняті у другому читанні. При цьому включаються всі пропозиції, поправки, у тому числі й </w:t>
            </w:r>
            <w:r w:rsidRPr="00AE4769">
              <w:rPr>
                <w:bCs/>
                <w:color w:val="000000"/>
                <w:sz w:val="28"/>
                <w:szCs w:val="28"/>
                <w:shd w:val="clear" w:color="auto" w:fill="FFFFFF"/>
                <w:lang w:val="uk-UA"/>
              </w:rPr>
              <w:lastRenderedPageBreak/>
              <w:t>ті, що були внесені до цих статей чи їх частин на попереднє друге читання.</w:t>
            </w:r>
          </w:p>
          <w:p w14:paraId="02CD670D"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26" w:name="n972"/>
            <w:bookmarkEnd w:id="26"/>
            <w:r w:rsidRPr="00AE4769">
              <w:rPr>
                <w:bCs/>
                <w:color w:val="000000"/>
                <w:sz w:val="28"/>
                <w:szCs w:val="28"/>
                <w:shd w:val="clear" w:color="auto" w:fill="FFFFFF"/>
                <w:lang w:val="uk-UA"/>
              </w:rPr>
              <w:t>3. Якщо на повторне друге читання повернено лише окремі структурні частини законопроекту, порівняльна таблиця готується лише щодо цих структурних частин.</w:t>
            </w:r>
          </w:p>
          <w:p w14:paraId="1CF70104"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bookmarkStart w:id="27" w:name="n973"/>
            <w:bookmarkEnd w:id="27"/>
            <w:r w:rsidRPr="00AE4769">
              <w:rPr>
                <w:bCs/>
                <w:color w:val="000000"/>
                <w:sz w:val="28"/>
                <w:szCs w:val="28"/>
                <w:shd w:val="clear" w:color="auto" w:fill="FFFFFF"/>
                <w:lang w:val="uk-UA"/>
              </w:rPr>
              <w:t>4. Повторне друге читання законопроекту здійснюється за процедурою другого читання (</w:t>
            </w:r>
            <w:hyperlink r:id="rId13" w:anchor="n935" w:history="1">
              <w:r w:rsidRPr="00AE4769">
                <w:rPr>
                  <w:rStyle w:val="a4"/>
                  <w:bCs/>
                  <w:sz w:val="28"/>
                  <w:szCs w:val="28"/>
                  <w:shd w:val="clear" w:color="auto" w:fill="FFFFFF"/>
                  <w:lang w:val="uk-UA"/>
                </w:rPr>
                <w:t>статті 119-123</w:t>
              </w:r>
            </w:hyperlink>
            <w:r w:rsidRPr="00AE4769">
              <w:rPr>
                <w:bCs/>
                <w:color w:val="000000"/>
                <w:sz w:val="28"/>
                <w:szCs w:val="28"/>
                <w:shd w:val="clear" w:color="auto" w:fill="FFFFFF"/>
                <w:lang w:val="uk-UA"/>
              </w:rPr>
              <w:t xml:space="preserve"> цього Регламенту).</w:t>
            </w:r>
          </w:p>
          <w:p w14:paraId="173709F1" w14:textId="77777777" w:rsidR="00F30360" w:rsidRPr="006425A2" w:rsidRDefault="00F30360" w:rsidP="00F30360">
            <w:pPr>
              <w:pStyle w:val="rvps2"/>
              <w:spacing w:before="120" w:beforeAutospacing="0" w:after="120" w:afterAutospacing="0" w:line="360" w:lineRule="auto"/>
              <w:ind w:firstLine="425"/>
              <w:jc w:val="both"/>
              <w:rPr>
                <w:b/>
                <w:sz w:val="28"/>
                <w:szCs w:val="28"/>
                <w:shd w:val="clear" w:color="auto" w:fill="FFFFFF"/>
                <w:lang w:val="uk-UA"/>
              </w:rPr>
            </w:pPr>
            <w:r w:rsidRPr="006425A2">
              <w:rPr>
                <w:b/>
                <w:sz w:val="28"/>
                <w:szCs w:val="28"/>
                <w:shd w:val="clear" w:color="auto" w:fill="FFFFFF"/>
                <w:lang w:val="uk-UA"/>
              </w:rPr>
              <w:t>Положення статті відсутнє</w:t>
            </w:r>
          </w:p>
          <w:p w14:paraId="51600B3F" w14:textId="3252C379" w:rsidR="00F30360" w:rsidRPr="00AE4769" w:rsidRDefault="00F30360" w:rsidP="00F30360">
            <w:pPr>
              <w:pStyle w:val="rvps2"/>
              <w:spacing w:before="120" w:beforeAutospacing="0" w:after="120" w:afterAutospacing="0" w:line="360" w:lineRule="auto"/>
              <w:ind w:firstLine="425"/>
              <w:jc w:val="both"/>
              <w:rPr>
                <w:b/>
                <w:color w:val="000000"/>
                <w:sz w:val="28"/>
                <w:szCs w:val="28"/>
                <w:shd w:val="clear" w:color="auto" w:fill="FFFFFF"/>
                <w:lang w:val="uk-UA"/>
              </w:rPr>
            </w:pPr>
          </w:p>
        </w:tc>
        <w:tc>
          <w:tcPr>
            <w:tcW w:w="7626" w:type="dxa"/>
          </w:tcPr>
          <w:p w14:paraId="0764BFD5"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lastRenderedPageBreak/>
              <w:t>Стаття 124. Розгляд законопроектів у повторному другому читанні</w:t>
            </w:r>
          </w:p>
          <w:p w14:paraId="3F201244"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1. На повторне друге читання законопроект подається головним комітетом у вигляді порівняльної таблиці.</w:t>
            </w:r>
          </w:p>
          <w:p w14:paraId="4C6983E8"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 xml:space="preserve">2. На повторне друге читання головний комітет подає лише пропозиції, поправки, внесені після другого читання, до статей чи їх частин, що не були прийняті у другому читанні. При цьому включаються всі пропозиції, поправки, у тому </w:t>
            </w:r>
            <w:r w:rsidRPr="00AE4769">
              <w:rPr>
                <w:bCs/>
                <w:color w:val="000000"/>
                <w:sz w:val="28"/>
                <w:szCs w:val="28"/>
                <w:shd w:val="clear" w:color="auto" w:fill="FFFFFF"/>
                <w:lang w:val="uk-UA"/>
              </w:rPr>
              <w:lastRenderedPageBreak/>
              <w:t>числі й ті, що були внесені до цих статей чи їх частин на попереднє друге читання.</w:t>
            </w:r>
          </w:p>
          <w:p w14:paraId="06F646E2"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3. Якщо на повторне друге читання повернено лише окремі структурні частини законопроекту, порівняльна таблиця готується лише щодо цих структурних частин.</w:t>
            </w:r>
          </w:p>
          <w:p w14:paraId="3109F949" w14:textId="77777777" w:rsidR="00335D3C" w:rsidRPr="00AE4769" w:rsidRDefault="00335D3C" w:rsidP="00F30360">
            <w:pPr>
              <w:pStyle w:val="rvps2"/>
              <w:spacing w:before="120" w:beforeAutospacing="0" w:after="120" w:afterAutospacing="0" w:line="360" w:lineRule="auto"/>
              <w:ind w:firstLine="425"/>
              <w:jc w:val="both"/>
              <w:rPr>
                <w:bCs/>
                <w:color w:val="000000"/>
                <w:sz w:val="28"/>
                <w:szCs w:val="28"/>
                <w:shd w:val="clear" w:color="auto" w:fill="FFFFFF"/>
                <w:lang w:val="uk-UA"/>
              </w:rPr>
            </w:pPr>
            <w:r w:rsidRPr="00AE4769">
              <w:rPr>
                <w:bCs/>
                <w:color w:val="000000"/>
                <w:sz w:val="28"/>
                <w:szCs w:val="28"/>
                <w:shd w:val="clear" w:color="auto" w:fill="FFFFFF"/>
                <w:lang w:val="uk-UA"/>
              </w:rPr>
              <w:t>4. Повторне друге читання законопроекту здійснюється за процедурою другого читання (</w:t>
            </w:r>
            <w:hyperlink r:id="rId14" w:anchor="n935" w:history="1">
              <w:r w:rsidRPr="00AE4769">
                <w:rPr>
                  <w:rStyle w:val="a4"/>
                  <w:bCs/>
                  <w:sz w:val="28"/>
                  <w:szCs w:val="28"/>
                  <w:shd w:val="clear" w:color="auto" w:fill="FFFFFF"/>
                  <w:lang w:val="uk-UA"/>
                </w:rPr>
                <w:t>статті 119-123</w:t>
              </w:r>
            </w:hyperlink>
            <w:r w:rsidRPr="00AE4769">
              <w:rPr>
                <w:bCs/>
                <w:color w:val="000000"/>
                <w:sz w:val="28"/>
                <w:szCs w:val="28"/>
                <w:shd w:val="clear" w:color="auto" w:fill="FFFFFF"/>
                <w:lang w:val="uk-UA"/>
              </w:rPr>
              <w:t xml:space="preserve"> цього Регламенту).</w:t>
            </w:r>
          </w:p>
          <w:p w14:paraId="6C9C50FE" w14:textId="2619E954" w:rsidR="00335D3C" w:rsidRPr="006425A2" w:rsidRDefault="00335D3C" w:rsidP="00F30360">
            <w:pPr>
              <w:pStyle w:val="rvps2"/>
              <w:spacing w:before="120" w:beforeAutospacing="0" w:after="120" w:afterAutospacing="0" w:line="360" w:lineRule="auto"/>
              <w:ind w:firstLine="425"/>
              <w:jc w:val="both"/>
              <w:rPr>
                <w:b/>
                <w:color w:val="C00000"/>
                <w:sz w:val="28"/>
                <w:szCs w:val="28"/>
                <w:shd w:val="clear" w:color="auto" w:fill="FFFFFF"/>
                <w:lang w:val="uk-UA"/>
              </w:rPr>
            </w:pPr>
            <w:bookmarkStart w:id="28" w:name="_Hlk84584610"/>
            <w:r w:rsidRPr="006425A2">
              <w:rPr>
                <w:b/>
                <w:bCs/>
                <w:sz w:val="28"/>
                <w:szCs w:val="28"/>
                <w:shd w:val="clear" w:color="auto" w:fill="FFFFFF"/>
                <w:lang w:val="uk-UA"/>
              </w:rPr>
              <w:t xml:space="preserve">5. До порівняльної таблиці законопроекту, підготовленого до повторного другого читання, додається висновок про прогнозний вплив законопроекту на ключові показники економічного та соціального розвитку держави у середньостроковій перспективі, та рішення головного комітету, прийняті </w:t>
            </w:r>
            <w:r w:rsidR="008846B4" w:rsidRPr="006425A2">
              <w:rPr>
                <w:b/>
                <w:bCs/>
                <w:sz w:val="28"/>
                <w:szCs w:val="28"/>
                <w:shd w:val="clear" w:color="auto" w:fill="FFFFFF"/>
                <w:lang w:val="uk-UA"/>
              </w:rPr>
              <w:t xml:space="preserve">в порядку </w:t>
            </w:r>
            <w:r w:rsidRPr="006425A2">
              <w:rPr>
                <w:b/>
                <w:bCs/>
                <w:sz w:val="28"/>
                <w:szCs w:val="28"/>
                <w:shd w:val="clear" w:color="auto" w:fill="FFFFFF"/>
                <w:lang w:val="uk-UA"/>
              </w:rPr>
              <w:t>статті 117-1 цього закону.</w:t>
            </w:r>
            <w:bookmarkEnd w:id="28"/>
          </w:p>
        </w:tc>
      </w:tr>
    </w:tbl>
    <w:p w14:paraId="63663E84" w14:textId="77777777" w:rsidR="00B617AD" w:rsidRPr="00AE4769" w:rsidRDefault="00B617AD" w:rsidP="00F30360">
      <w:pPr>
        <w:spacing w:before="120" w:after="120" w:line="360" w:lineRule="auto"/>
        <w:jc w:val="center"/>
        <w:rPr>
          <w:rFonts w:eastAsia="Calibri"/>
          <w:b/>
          <w:sz w:val="28"/>
          <w:szCs w:val="28"/>
          <w:lang w:eastAsia="en-US"/>
        </w:rPr>
      </w:pPr>
    </w:p>
    <w:p w14:paraId="09D683D3" w14:textId="3A624BD3" w:rsidR="00CD37E2" w:rsidRPr="00AE4769" w:rsidRDefault="005F4E80" w:rsidP="00F30360">
      <w:pPr>
        <w:spacing w:before="120" w:after="120" w:line="360" w:lineRule="auto"/>
        <w:rPr>
          <w:rFonts w:eastAsia="Calibri"/>
          <w:b/>
          <w:sz w:val="28"/>
          <w:szCs w:val="28"/>
          <w:lang w:eastAsia="en-US"/>
        </w:rPr>
      </w:pPr>
      <w:r w:rsidRPr="00AE4769">
        <w:rPr>
          <w:rFonts w:eastAsia="Calibri"/>
          <w:b/>
          <w:sz w:val="28"/>
          <w:szCs w:val="28"/>
          <w:lang w:eastAsia="en-US"/>
        </w:rPr>
        <w:t xml:space="preserve"> </w:t>
      </w:r>
      <w:r w:rsidR="00CD37E2" w:rsidRPr="00AE4769">
        <w:rPr>
          <w:rFonts w:eastAsia="Calibri"/>
          <w:b/>
          <w:sz w:val="28"/>
          <w:szCs w:val="28"/>
          <w:lang w:eastAsia="en-US"/>
        </w:rPr>
        <w:t>Народний депутат України</w:t>
      </w:r>
      <w:r w:rsidR="00CD37E2" w:rsidRPr="00AE4769">
        <w:rPr>
          <w:rFonts w:eastAsia="Calibri"/>
          <w:b/>
          <w:sz w:val="28"/>
          <w:szCs w:val="28"/>
          <w:lang w:eastAsia="en-US"/>
        </w:rPr>
        <w:tab/>
      </w:r>
      <w:r w:rsidR="00EA752C" w:rsidRPr="00AE4769">
        <w:rPr>
          <w:rFonts w:eastAsia="Calibri"/>
          <w:b/>
          <w:sz w:val="28"/>
          <w:szCs w:val="28"/>
          <w:lang w:eastAsia="en-US"/>
        </w:rPr>
        <w:t xml:space="preserve"> </w:t>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256AFD">
        <w:rPr>
          <w:rFonts w:eastAsia="Calibri"/>
          <w:b/>
          <w:sz w:val="28"/>
          <w:szCs w:val="28"/>
          <w:lang w:eastAsia="en-US"/>
        </w:rPr>
        <w:tab/>
      </w:r>
      <w:r w:rsidR="00256AFD">
        <w:rPr>
          <w:rFonts w:eastAsia="Calibri"/>
          <w:b/>
          <w:sz w:val="28"/>
          <w:szCs w:val="28"/>
          <w:lang w:eastAsia="en-US"/>
        </w:rPr>
        <w:tab/>
      </w:r>
      <w:r w:rsidR="001D1274" w:rsidRPr="00AE4769">
        <w:rPr>
          <w:rFonts w:eastAsia="Calibri"/>
          <w:b/>
          <w:sz w:val="28"/>
          <w:szCs w:val="28"/>
          <w:lang w:eastAsia="en-US"/>
        </w:rPr>
        <w:t>В. О. ГРИБ</w:t>
      </w:r>
    </w:p>
    <w:p w14:paraId="058BF80B" w14:textId="77777777" w:rsidR="005F4E80" w:rsidRPr="00AE4769" w:rsidRDefault="005F4E80" w:rsidP="00F30360">
      <w:pPr>
        <w:spacing w:before="120" w:after="120" w:line="360" w:lineRule="auto"/>
        <w:rPr>
          <w:rFonts w:eastAsia="Calibri"/>
          <w:b/>
          <w:sz w:val="28"/>
          <w:szCs w:val="28"/>
          <w:lang w:eastAsia="en-US"/>
        </w:rPr>
      </w:pPr>
    </w:p>
    <w:sectPr w:rsidR="005F4E80" w:rsidRPr="00AE4769" w:rsidSect="005F4E80">
      <w:headerReference w:type="even" r:id="rId15"/>
      <w:headerReference w:type="default" r:id="rId16"/>
      <w:pgSz w:w="16838" w:h="11906" w:orient="landscape"/>
      <w:pgMar w:top="719"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B5897" w14:textId="77777777" w:rsidR="00FC0D8F" w:rsidRDefault="00FC0D8F">
      <w:r>
        <w:separator/>
      </w:r>
    </w:p>
  </w:endnote>
  <w:endnote w:type="continuationSeparator" w:id="0">
    <w:p w14:paraId="376F056B" w14:textId="77777777" w:rsidR="00FC0D8F" w:rsidRDefault="00FC0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ntiqua">
    <w:altName w:val="Century Gothic"/>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C7B4B" w14:textId="77777777" w:rsidR="00FC0D8F" w:rsidRDefault="00FC0D8F">
      <w:r>
        <w:separator/>
      </w:r>
    </w:p>
  </w:footnote>
  <w:footnote w:type="continuationSeparator" w:id="0">
    <w:p w14:paraId="40EED6C9" w14:textId="77777777" w:rsidR="00FC0D8F" w:rsidRDefault="00FC0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A8051" w14:textId="77777777" w:rsidR="0033488B" w:rsidRDefault="0033488B" w:rsidP="003A5C21">
    <w:pPr>
      <w:pStyle w:val="af"/>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72B9A5A6" w14:textId="77777777" w:rsidR="0033488B" w:rsidRDefault="0033488B">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5CE26" w14:textId="39BFEC1B" w:rsidR="0033488B" w:rsidRDefault="0033488B" w:rsidP="003A5C21">
    <w:pPr>
      <w:pStyle w:val="af"/>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5D6DE5">
      <w:rPr>
        <w:rStyle w:val="a9"/>
        <w:noProof/>
      </w:rPr>
      <w:t>2</w:t>
    </w:r>
    <w:r>
      <w:rPr>
        <w:rStyle w:val="a9"/>
      </w:rPr>
      <w:fldChar w:fldCharType="end"/>
    </w:r>
  </w:p>
  <w:p w14:paraId="3AF25EDF" w14:textId="77777777" w:rsidR="0033488B" w:rsidRDefault="0033488B">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30" w:hanging="360"/>
      </w:pPr>
      <w:rPr>
        <w:rFonts w:cs="Times New Roman"/>
      </w:rPr>
    </w:lvl>
    <w:lvl w:ilvl="1" w:tplc="04190019" w:tentative="1">
      <w:start w:val="1"/>
      <w:numFmt w:val="lowerLetter"/>
      <w:lvlText w:val="%2."/>
      <w:lvlJc w:val="left"/>
      <w:pPr>
        <w:tabs>
          <w:tab w:val="num" w:pos="1441"/>
        </w:tabs>
        <w:ind w:left="1441" w:hanging="360"/>
      </w:pPr>
      <w:rPr>
        <w:rFonts w:cs="Times New Roman"/>
      </w:rPr>
    </w:lvl>
    <w:lvl w:ilvl="2" w:tplc="0419001B" w:tentative="1">
      <w:start w:val="1"/>
      <w:numFmt w:val="lowerRoman"/>
      <w:lvlText w:val="%3."/>
      <w:lvlJc w:val="right"/>
      <w:pPr>
        <w:tabs>
          <w:tab w:val="num" w:pos="2161"/>
        </w:tabs>
        <w:ind w:left="2161" w:hanging="180"/>
      </w:pPr>
      <w:rPr>
        <w:rFonts w:cs="Times New Roman"/>
      </w:rPr>
    </w:lvl>
    <w:lvl w:ilvl="3" w:tplc="0419000F" w:tentative="1">
      <w:start w:val="1"/>
      <w:numFmt w:val="decimal"/>
      <w:lvlText w:val="%4."/>
      <w:lvlJc w:val="left"/>
      <w:pPr>
        <w:tabs>
          <w:tab w:val="num" w:pos="2881"/>
        </w:tabs>
        <w:ind w:left="2881" w:hanging="360"/>
      </w:pPr>
      <w:rPr>
        <w:rFonts w:cs="Times New Roman"/>
      </w:rPr>
    </w:lvl>
    <w:lvl w:ilvl="4" w:tplc="04190019" w:tentative="1">
      <w:start w:val="1"/>
      <w:numFmt w:val="lowerLetter"/>
      <w:lvlText w:val="%5."/>
      <w:lvlJc w:val="left"/>
      <w:pPr>
        <w:tabs>
          <w:tab w:val="num" w:pos="3601"/>
        </w:tabs>
        <w:ind w:left="3601" w:hanging="360"/>
      </w:pPr>
      <w:rPr>
        <w:rFonts w:cs="Times New Roman"/>
      </w:rPr>
    </w:lvl>
    <w:lvl w:ilvl="5" w:tplc="0419001B" w:tentative="1">
      <w:start w:val="1"/>
      <w:numFmt w:val="lowerRoman"/>
      <w:lvlText w:val="%6."/>
      <w:lvlJc w:val="right"/>
      <w:pPr>
        <w:tabs>
          <w:tab w:val="num" w:pos="4321"/>
        </w:tabs>
        <w:ind w:left="4321" w:hanging="180"/>
      </w:pPr>
      <w:rPr>
        <w:rFonts w:cs="Times New Roman"/>
      </w:rPr>
    </w:lvl>
    <w:lvl w:ilvl="6" w:tplc="0419000F" w:tentative="1">
      <w:start w:val="1"/>
      <w:numFmt w:val="decimal"/>
      <w:lvlText w:val="%7."/>
      <w:lvlJc w:val="left"/>
      <w:pPr>
        <w:tabs>
          <w:tab w:val="num" w:pos="5041"/>
        </w:tabs>
        <w:ind w:left="5041" w:hanging="360"/>
      </w:pPr>
      <w:rPr>
        <w:rFonts w:cs="Times New Roman"/>
      </w:rPr>
    </w:lvl>
    <w:lvl w:ilvl="7" w:tplc="04190019" w:tentative="1">
      <w:start w:val="1"/>
      <w:numFmt w:val="lowerLetter"/>
      <w:lvlText w:val="%8."/>
      <w:lvlJc w:val="left"/>
      <w:pPr>
        <w:tabs>
          <w:tab w:val="num" w:pos="5761"/>
        </w:tabs>
        <w:ind w:left="5761" w:hanging="360"/>
      </w:pPr>
      <w:rPr>
        <w:rFonts w:cs="Times New Roman"/>
      </w:rPr>
    </w:lvl>
    <w:lvl w:ilvl="8" w:tplc="0419001B" w:tentative="1">
      <w:start w:val="1"/>
      <w:numFmt w:val="lowerRoman"/>
      <w:lvlText w:val="%9."/>
      <w:lvlJc w:val="right"/>
      <w:pPr>
        <w:tabs>
          <w:tab w:val="num" w:pos="6481"/>
        </w:tabs>
        <w:ind w:left="6481" w:hanging="180"/>
      </w:pPr>
      <w:rPr>
        <w:rFonts w:cs="Times New Roman"/>
      </w:rPr>
    </w:lvl>
  </w:abstractNum>
  <w:abstractNum w:abstractNumId="1" w15:restartNumberingAfterBreak="0">
    <w:nsid w:val="28EB09A5"/>
    <w:multiLevelType w:val="hybridMultilevel"/>
    <w:tmpl w:val="06B48FB2"/>
    <w:lvl w:ilvl="0" w:tplc="4EB6EF32">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2"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 w15:restartNumberingAfterBreak="0">
    <w:nsid w:val="39110416"/>
    <w:multiLevelType w:val="hybridMultilevel"/>
    <w:tmpl w:val="015458B8"/>
    <w:lvl w:ilvl="0" w:tplc="04220005">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3AA45E9B"/>
    <w:multiLevelType w:val="hybridMultilevel"/>
    <w:tmpl w:val="06B48FB2"/>
    <w:lvl w:ilvl="0" w:tplc="4EB6EF32">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5" w15:restartNumberingAfterBreak="0">
    <w:nsid w:val="5CC5408B"/>
    <w:multiLevelType w:val="hybridMultilevel"/>
    <w:tmpl w:val="07B63276"/>
    <w:lvl w:ilvl="0" w:tplc="3BAC864A">
      <w:start w:val="1"/>
      <w:numFmt w:val="decimal"/>
      <w:lvlText w:val="%1."/>
      <w:lvlJc w:val="left"/>
      <w:pPr>
        <w:ind w:left="785" w:hanging="360"/>
      </w:pPr>
      <w:rPr>
        <w:rFonts w:hint="default"/>
        <w:color w:val="auto"/>
        <w:sz w:val="28"/>
        <w:szCs w:val="28"/>
      </w:rPr>
    </w:lvl>
    <w:lvl w:ilvl="1" w:tplc="04220019" w:tentative="1">
      <w:start w:val="1"/>
      <w:numFmt w:val="lowerLetter"/>
      <w:lvlText w:val="%2."/>
      <w:lvlJc w:val="left"/>
      <w:pPr>
        <w:ind w:left="1505" w:hanging="360"/>
      </w:pPr>
    </w:lvl>
    <w:lvl w:ilvl="2" w:tplc="0422001B" w:tentative="1">
      <w:start w:val="1"/>
      <w:numFmt w:val="lowerRoman"/>
      <w:lvlText w:val="%3."/>
      <w:lvlJc w:val="right"/>
      <w:pPr>
        <w:ind w:left="2225" w:hanging="180"/>
      </w:pPr>
    </w:lvl>
    <w:lvl w:ilvl="3" w:tplc="0422000F" w:tentative="1">
      <w:start w:val="1"/>
      <w:numFmt w:val="decimal"/>
      <w:lvlText w:val="%4."/>
      <w:lvlJc w:val="left"/>
      <w:pPr>
        <w:ind w:left="2945" w:hanging="360"/>
      </w:pPr>
    </w:lvl>
    <w:lvl w:ilvl="4" w:tplc="04220019" w:tentative="1">
      <w:start w:val="1"/>
      <w:numFmt w:val="lowerLetter"/>
      <w:lvlText w:val="%5."/>
      <w:lvlJc w:val="left"/>
      <w:pPr>
        <w:ind w:left="3665" w:hanging="360"/>
      </w:pPr>
    </w:lvl>
    <w:lvl w:ilvl="5" w:tplc="0422001B" w:tentative="1">
      <w:start w:val="1"/>
      <w:numFmt w:val="lowerRoman"/>
      <w:lvlText w:val="%6."/>
      <w:lvlJc w:val="right"/>
      <w:pPr>
        <w:ind w:left="4385" w:hanging="180"/>
      </w:pPr>
    </w:lvl>
    <w:lvl w:ilvl="6" w:tplc="0422000F" w:tentative="1">
      <w:start w:val="1"/>
      <w:numFmt w:val="decimal"/>
      <w:lvlText w:val="%7."/>
      <w:lvlJc w:val="left"/>
      <w:pPr>
        <w:ind w:left="5105" w:hanging="360"/>
      </w:pPr>
    </w:lvl>
    <w:lvl w:ilvl="7" w:tplc="04220019" w:tentative="1">
      <w:start w:val="1"/>
      <w:numFmt w:val="lowerLetter"/>
      <w:lvlText w:val="%8."/>
      <w:lvlJc w:val="left"/>
      <w:pPr>
        <w:ind w:left="5825" w:hanging="360"/>
      </w:pPr>
    </w:lvl>
    <w:lvl w:ilvl="8" w:tplc="0422001B" w:tentative="1">
      <w:start w:val="1"/>
      <w:numFmt w:val="lowerRoman"/>
      <w:lvlText w:val="%9."/>
      <w:lvlJc w:val="right"/>
      <w:pPr>
        <w:ind w:left="6545" w:hanging="180"/>
      </w:pPr>
    </w:lvl>
  </w:abstractNum>
  <w:abstractNum w:abstractNumId="6" w15:restartNumberingAfterBreak="0">
    <w:nsid w:val="79C12A9A"/>
    <w:multiLevelType w:val="hybridMultilevel"/>
    <w:tmpl w:val="8EDC0380"/>
    <w:lvl w:ilvl="0" w:tplc="C1EC330A">
      <w:start w:val="1"/>
      <w:numFmt w:val="russianLower"/>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7BF52E9F"/>
    <w:multiLevelType w:val="hybridMultilevel"/>
    <w:tmpl w:val="419A2A8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2"/>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139"/>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0C69"/>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1EDB"/>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89E"/>
    <w:rsid w:val="00067E48"/>
    <w:rsid w:val="0007000C"/>
    <w:rsid w:val="00070920"/>
    <w:rsid w:val="00071E45"/>
    <w:rsid w:val="00071FDC"/>
    <w:rsid w:val="000722A0"/>
    <w:rsid w:val="00072880"/>
    <w:rsid w:val="00072EBB"/>
    <w:rsid w:val="00072FBD"/>
    <w:rsid w:val="00073A16"/>
    <w:rsid w:val="00074991"/>
    <w:rsid w:val="00074D34"/>
    <w:rsid w:val="00075190"/>
    <w:rsid w:val="000755E9"/>
    <w:rsid w:val="00075A34"/>
    <w:rsid w:val="000763A1"/>
    <w:rsid w:val="00076DF8"/>
    <w:rsid w:val="00077169"/>
    <w:rsid w:val="00077368"/>
    <w:rsid w:val="00077978"/>
    <w:rsid w:val="00077D08"/>
    <w:rsid w:val="0008034B"/>
    <w:rsid w:val="00080A8C"/>
    <w:rsid w:val="00080B55"/>
    <w:rsid w:val="00081465"/>
    <w:rsid w:val="00081846"/>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04"/>
    <w:rsid w:val="00092752"/>
    <w:rsid w:val="00092CC9"/>
    <w:rsid w:val="0009300B"/>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B5A"/>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326"/>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570"/>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140"/>
    <w:rsid w:val="001439E9"/>
    <w:rsid w:val="00143B4C"/>
    <w:rsid w:val="00143D13"/>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5FB"/>
    <w:rsid w:val="0015299F"/>
    <w:rsid w:val="00152C3B"/>
    <w:rsid w:val="00152FA8"/>
    <w:rsid w:val="00153496"/>
    <w:rsid w:val="00153510"/>
    <w:rsid w:val="00153613"/>
    <w:rsid w:val="00153A70"/>
    <w:rsid w:val="001540B8"/>
    <w:rsid w:val="00154231"/>
    <w:rsid w:val="00154578"/>
    <w:rsid w:val="00154A53"/>
    <w:rsid w:val="00154B87"/>
    <w:rsid w:val="00154C6D"/>
    <w:rsid w:val="00154FC9"/>
    <w:rsid w:val="001551E5"/>
    <w:rsid w:val="00155E27"/>
    <w:rsid w:val="00157237"/>
    <w:rsid w:val="001576A3"/>
    <w:rsid w:val="00157706"/>
    <w:rsid w:val="0016163B"/>
    <w:rsid w:val="00161D65"/>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283"/>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CC3"/>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3463"/>
    <w:rsid w:val="001938E4"/>
    <w:rsid w:val="00193E97"/>
    <w:rsid w:val="00194296"/>
    <w:rsid w:val="0019450D"/>
    <w:rsid w:val="00195456"/>
    <w:rsid w:val="00195899"/>
    <w:rsid w:val="00195BED"/>
    <w:rsid w:val="00195D25"/>
    <w:rsid w:val="00196085"/>
    <w:rsid w:val="00196FC1"/>
    <w:rsid w:val="00196FC3"/>
    <w:rsid w:val="00197377"/>
    <w:rsid w:val="00197437"/>
    <w:rsid w:val="00197478"/>
    <w:rsid w:val="00197C4C"/>
    <w:rsid w:val="001A028D"/>
    <w:rsid w:val="001A0AD8"/>
    <w:rsid w:val="001A0CDE"/>
    <w:rsid w:val="001A12AB"/>
    <w:rsid w:val="001A139E"/>
    <w:rsid w:val="001A1668"/>
    <w:rsid w:val="001A1775"/>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605"/>
    <w:rsid w:val="001B0C65"/>
    <w:rsid w:val="001B15FF"/>
    <w:rsid w:val="001B1EAC"/>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74"/>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774"/>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B21"/>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78D"/>
    <w:rsid w:val="00233A81"/>
    <w:rsid w:val="00233C65"/>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75"/>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AFD"/>
    <w:rsid w:val="00256E8E"/>
    <w:rsid w:val="00257B06"/>
    <w:rsid w:val="0026048A"/>
    <w:rsid w:val="00260942"/>
    <w:rsid w:val="002611A3"/>
    <w:rsid w:val="00261F28"/>
    <w:rsid w:val="00261F7F"/>
    <w:rsid w:val="00262485"/>
    <w:rsid w:val="0026380E"/>
    <w:rsid w:val="002645DA"/>
    <w:rsid w:val="002647D5"/>
    <w:rsid w:val="00264C97"/>
    <w:rsid w:val="00265509"/>
    <w:rsid w:val="00265A2F"/>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341"/>
    <w:rsid w:val="002757EE"/>
    <w:rsid w:val="0027656D"/>
    <w:rsid w:val="002765FD"/>
    <w:rsid w:val="00277210"/>
    <w:rsid w:val="0027725F"/>
    <w:rsid w:val="00277570"/>
    <w:rsid w:val="00280103"/>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95C"/>
    <w:rsid w:val="00293B67"/>
    <w:rsid w:val="00293D70"/>
    <w:rsid w:val="0029434B"/>
    <w:rsid w:val="002951CD"/>
    <w:rsid w:val="00295773"/>
    <w:rsid w:val="0029581E"/>
    <w:rsid w:val="002968B7"/>
    <w:rsid w:val="002972CC"/>
    <w:rsid w:val="0029775F"/>
    <w:rsid w:val="002977B6"/>
    <w:rsid w:val="00297B1F"/>
    <w:rsid w:val="00297C2A"/>
    <w:rsid w:val="00297E13"/>
    <w:rsid w:val="00297FF5"/>
    <w:rsid w:val="002A01D1"/>
    <w:rsid w:val="002A0574"/>
    <w:rsid w:val="002A07D1"/>
    <w:rsid w:val="002A0CEF"/>
    <w:rsid w:val="002A1712"/>
    <w:rsid w:val="002A1BC8"/>
    <w:rsid w:val="002A289C"/>
    <w:rsid w:val="002A2ABF"/>
    <w:rsid w:val="002A36D5"/>
    <w:rsid w:val="002A38A7"/>
    <w:rsid w:val="002A4263"/>
    <w:rsid w:val="002A44B1"/>
    <w:rsid w:val="002A47D6"/>
    <w:rsid w:val="002A4B3C"/>
    <w:rsid w:val="002A4C7B"/>
    <w:rsid w:val="002A50CB"/>
    <w:rsid w:val="002A5CDF"/>
    <w:rsid w:val="002A6016"/>
    <w:rsid w:val="002A631A"/>
    <w:rsid w:val="002A63C6"/>
    <w:rsid w:val="002A6EC3"/>
    <w:rsid w:val="002A72BA"/>
    <w:rsid w:val="002A7769"/>
    <w:rsid w:val="002B0115"/>
    <w:rsid w:val="002B1A1A"/>
    <w:rsid w:val="002B2499"/>
    <w:rsid w:val="002B2C14"/>
    <w:rsid w:val="002B2EC2"/>
    <w:rsid w:val="002B3192"/>
    <w:rsid w:val="002B463B"/>
    <w:rsid w:val="002B49F3"/>
    <w:rsid w:val="002B4C03"/>
    <w:rsid w:val="002B5687"/>
    <w:rsid w:val="002B58AF"/>
    <w:rsid w:val="002B6BFB"/>
    <w:rsid w:val="002B6D29"/>
    <w:rsid w:val="002C13DB"/>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E01BD"/>
    <w:rsid w:val="002E02E6"/>
    <w:rsid w:val="002E2902"/>
    <w:rsid w:val="002E31EC"/>
    <w:rsid w:val="002E34E4"/>
    <w:rsid w:val="002E392E"/>
    <w:rsid w:val="002E3CD0"/>
    <w:rsid w:val="002E4218"/>
    <w:rsid w:val="002E438D"/>
    <w:rsid w:val="002E676F"/>
    <w:rsid w:val="002E69DD"/>
    <w:rsid w:val="002E6C2E"/>
    <w:rsid w:val="002F02BC"/>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5EEB"/>
    <w:rsid w:val="00306104"/>
    <w:rsid w:val="0030664E"/>
    <w:rsid w:val="00306FA1"/>
    <w:rsid w:val="00307D61"/>
    <w:rsid w:val="00310226"/>
    <w:rsid w:val="003117ED"/>
    <w:rsid w:val="00311800"/>
    <w:rsid w:val="00313193"/>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1231"/>
    <w:rsid w:val="00331333"/>
    <w:rsid w:val="00332471"/>
    <w:rsid w:val="00332A0F"/>
    <w:rsid w:val="00332B5D"/>
    <w:rsid w:val="003330E3"/>
    <w:rsid w:val="00333B6B"/>
    <w:rsid w:val="00333C93"/>
    <w:rsid w:val="00333E4B"/>
    <w:rsid w:val="00333F1C"/>
    <w:rsid w:val="0033456B"/>
    <w:rsid w:val="00334587"/>
    <w:rsid w:val="0033469D"/>
    <w:rsid w:val="003346D1"/>
    <w:rsid w:val="0033472F"/>
    <w:rsid w:val="0033488B"/>
    <w:rsid w:val="00335D3C"/>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341C"/>
    <w:rsid w:val="003545BF"/>
    <w:rsid w:val="00354EB6"/>
    <w:rsid w:val="00354FB3"/>
    <w:rsid w:val="0035550F"/>
    <w:rsid w:val="00356864"/>
    <w:rsid w:val="00356BF3"/>
    <w:rsid w:val="00356D63"/>
    <w:rsid w:val="00357DBA"/>
    <w:rsid w:val="003600E2"/>
    <w:rsid w:val="003601F4"/>
    <w:rsid w:val="003603AC"/>
    <w:rsid w:val="003604BB"/>
    <w:rsid w:val="00360881"/>
    <w:rsid w:val="00360EDF"/>
    <w:rsid w:val="00360F47"/>
    <w:rsid w:val="00361002"/>
    <w:rsid w:val="003611AB"/>
    <w:rsid w:val="003614A7"/>
    <w:rsid w:val="00362DF8"/>
    <w:rsid w:val="00362F65"/>
    <w:rsid w:val="0036321D"/>
    <w:rsid w:val="003635D3"/>
    <w:rsid w:val="00363BA9"/>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0E4"/>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2BFC"/>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22D6"/>
    <w:rsid w:val="003B2961"/>
    <w:rsid w:val="003B2A02"/>
    <w:rsid w:val="003B2B5D"/>
    <w:rsid w:val="003B2DA9"/>
    <w:rsid w:val="003B3C06"/>
    <w:rsid w:val="003B4577"/>
    <w:rsid w:val="003B46B8"/>
    <w:rsid w:val="003B4911"/>
    <w:rsid w:val="003B4FB5"/>
    <w:rsid w:val="003B574C"/>
    <w:rsid w:val="003B5A5C"/>
    <w:rsid w:val="003B5E92"/>
    <w:rsid w:val="003B7082"/>
    <w:rsid w:val="003B72E0"/>
    <w:rsid w:val="003B7944"/>
    <w:rsid w:val="003C05BC"/>
    <w:rsid w:val="003C0706"/>
    <w:rsid w:val="003C1292"/>
    <w:rsid w:val="003C13EC"/>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A95"/>
    <w:rsid w:val="003E0BB1"/>
    <w:rsid w:val="003E17FE"/>
    <w:rsid w:val="003E1D17"/>
    <w:rsid w:val="003E29D8"/>
    <w:rsid w:val="003E2B86"/>
    <w:rsid w:val="003E3D6E"/>
    <w:rsid w:val="003E41B8"/>
    <w:rsid w:val="003E44EF"/>
    <w:rsid w:val="003E465C"/>
    <w:rsid w:val="003E5067"/>
    <w:rsid w:val="003E5669"/>
    <w:rsid w:val="003E56BF"/>
    <w:rsid w:val="003E646B"/>
    <w:rsid w:val="003E6DED"/>
    <w:rsid w:val="003E78C8"/>
    <w:rsid w:val="003E7922"/>
    <w:rsid w:val="003F04CA"/>
    <w:rsid w:val="003F1B12"/>
    <w:rsid w:val="003F2342"/>
    <w:rsid w:val="003F3223"/>
    <w:rsid w:val="003F3342"/>
    <w:rsid w:val="003F3570"/>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151"/>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29E0"/>
    <w:rsid w:val="004133C6"/>
    <w:rsid w:val="004135D1"/>
    <w:rsid w:val="00413D95"/>
    <w:rsid w:val="00414A1E"/>
    <w:rsid w:val="00414CBB"/>
    <w:rsid w:val="004159C8"/>
    <w:rsid w:val="004160F6"/>
    <w:rsid w:val="00416376"/>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920"/>
    <w:rsid w:val="00436A02"/>
    <w:rsid w:val="0043782C"/>
    <w:rsid w:val="00440132"/>
    <w:rsid w:val="0044028C"/>
    <w:rsid w:val="004414AA"/>
    <w:rsid w:val="0044158A"/>
    <w:rsid w:val="0044215A"/>
    <w:rsid w:val="00443FE4"/>
    <w:rsid w:val="00444082"/>
    <w:rsid w:val="004440C2"/>
    <w:rsid w:val="00444C94"/>
    <w:rsid w:val="004451D5"/>
    <w:rsid w:val="004457C3"/>
    <w:rsid w:val="0044589A"/>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3F8"/>
    <w:rsid w:val="00476E96"/>
    <w:rsid w:val="0047716C"/>
    <w:rsid w:val="00480F3C"/>
    <w:rsid w:val="00481B6E"/>
    <w:rsid w:val="0048238C"/>
    <w:rsid w:val="00482BD6"/>
    <w:rsid w:val="004845D9"/>
    <w:rsid w:val="00484DDC"/>
    <w:rsid w:val="00485B23"/>
    <w:rsid w:val="00486834"/>
    <w:rsid w:val="004870DA"/>
    <w:rsid w:val="00487931"/>
    <w:rsid w:val="00491F16"/>
    <w:rsid w:val="00491FBC"/>
    <w:rsid w:val="00492990"/>
    <w:rsid w:val="00492E10"/>
    <w:rsid w:val="00494505"/>
    <w:rsid w:val="00494506"/>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1E06"/>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5751"/>
    <w:rsid w:val="004D6E68"/>
    <w:rsid w:val="004D71DE"/>
    <w:rsid w:val="004E0843"/>
    <w:rsid w:val="004E0915"/>
    <w:rsid w:val="004E0F5C"/>
    <w:rsid w:val="004E1378"/>
    <w:rsid w:val="004E242F"/>
    <w:rsid w:val="004E246D"/>
    <w:rsid w:val="004E3391"/>
    <w:rsid w:val="004E4270"/>
    <w:rsid w:val="004E44A2"/>
    <w:rsid w:val="004E4E3C"/>
    <w:rsid w:val="004E57A3"/>
    <w:rsid w:val="004E58DB"/>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A9C"/>
    <w:rsid w:val="004F2BB0"/>
    <w:rsid w:val="004F321E"/>
    <w:rsid w:val="004F3248"/>
    <w:rsid w:val="004F4E77"/>
    <w:rsid w:val="004F5577"/>
    <w:rsid w:val="004F62DA"/>
    <w:rsid w:val="004F787D"/>
    <w:rsid w:val="004F7D0F"/>
    <w:rsid w:val="0050051D"/>
    <w:rsid w:val="0050106F"/>
    <w:rsid w:val="0050143B"/>
    <w:rsid w:val="00501ECF"/>
    <w:rsid w:val="0050202B"/>
    <w:rsid w:val="00502301"/>
    <w:rsid w:val="005024C5"/>
    <w:rsid w:val="005025E6"/>
    <w:rsid w:val="00502704"/>
    <w:rsid w:val="0050287C"/>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1D4"/>
    <w:rsid w:val="00527A06"/>
    <w:rsid w:val="00530184"/>
    <w:rsid w:val="00530278"/>
    <w:rsid w:val="0053035A"/>
    <w:rsid w:val="00530C80"/>
    <w:rsid w:val="00531E32"/>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EE2"/>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54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3E9"/>
    <w:rsid w:val="00591C8E"/>
    <w:rsid w:val="0059311F"/>
    <w:rsid w:val="00593AA3"/>
    <w:rsid w:val="00593CB8"/>
    <w:rsid w:val="00595132"/>
    <w:rsid w:val="0059542F"/>
    <w:rsid w:val="00595E07"/>
    <w:rsid w:val="00596155"/>
    <w:rsid w:val="0059742C"/>
    <w:rsid w:val="005977DE"/>
    <w:rsid w:val="00597833"/>
    <w:rsid w:val="00597C77"/>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E31"/>
    <w:rsid w:val="005C1FB2"/>
    <w:rsid w:val="005C238A"/>
    <w:rsid w:val="005C2C6A"/>
    <w:rsid w:val="005C3160"/>
    <w:rsid w:val="005C344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6DE5"/>
    <w:rsid w:val="005D7256"/>
    <w:rsid w:val="005D735A"/>
    <w:rsid w:val="005D74E8"/>
    <w:rsid w:val="005D755F"/>
    <w:rsid w:val="005D798E"/>
    <w:rsid w:val="005E01C9"/>
    <w:rsid w:val="005E0BC1"/>
    <w:rsid w:val="005E12C6"/>
    <w:rsid w:val="005E1946"/>
    <w:rsid w:val="005E23CD"/>
    <w:rsid w:val="005E2C61"/>
    <w:rsid w:val="005E2EA3"/>
    <w:rsid w:val="005E3129"/>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4E80"/>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5D85"/>
    <w:rsid w:val="00606ACA"/>
    <w:rsid w:val="00607598"/>
    <w:rsid w:val="006078F6"/>
    <w:rsid w:val="00607A89"/>
    <w:rsid w:val="00610A77"/>
    <w:rsid w:val="00611F72"/>
    <w:rsid w:val="00612732"/>
    <w:rsid w:val="00612EE3"/>
    <w:rsid w:val="0061359A"/>
    <w:rsid w:val="00613A16"/>
    <w:rsid w:val="00613AA9"/>
    <w:rsid w:val="00613EEB"/>
    <w:rsid w:val="0061470B"/>
    <w:rsid w:val="00614E95"/>
    <w:rsid w:val="0061505C"/>
    <w:rsid w:val="00615479"/>
    <w:rsid w:val="0061584B"/>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5A2"/>
    <w:rsid w:val="00642B59"/>
    <w:rsid w:val="006438B3"/>
    <w:rsid w:val="00644715"/>
    <w:rsid w:val="00644AF2"/>
    <w:rsid w:val="006453C1"/>
    <w:rsid w:val="0064584C"/>
    <w:rsid w:val="006458DD"/>
    <w:rsid w:val="00645949"/>
    <w:rsid w:val="00645A79"/>
    <w:rsid w:val="00646347"/>
    <w:rsid w:val="0064691C"/>
    <w:rsid w:val="00646ACA"/>
    <w:rsid w:val="00646B50"/>
    <w:rsid w:val="00646F77"/>
    <w:rsid w:val="00647042"/>
    <w:rsid w:val="006475E7"/>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0E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53E"/>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D79"/>
    <w:rsid w:val="00683E58"/>
    <w:rsid w:val="006846D4"/>
    <w:rsid w:val="00684E5D"/>
    <w:rsid w:val="006851DE"/>
    <w:rsid w:val="00685D8F"/>
    <w:rsid w:val="006862C4"/>
    <w:rsid w:val="0068634F"/>
    <w:rsid w:val="00686451"/>
    <w:rsid w:val="00686D80"/>
    <w:rsid w:val="00690898"/>
    <w:rsid w:val="00690AB1"/>
    <w:rsid w:val="00690AC1"/>
    <w:rsid w:val="00691203"/>
    <w:rsid w:val="00691A8A"/>
    <w:rsid w:val="006920A3"/>
    <w:rsid w:val="0069242E"/>
    <w:rsid w:val="00692DF0"/>
    <w:rsid w:val="006937EA"/>
    <w:rsid w:val="00693B7C"/>
    <w:rsid w:val="00693B98"/>
    <w:rsid w:val="00693F49"/>
    <w:rsid w:val="00694BE0"/>
    <w:rsid w:val="00694C96"/>
    <w:rsid w:val="00694D9D"/>
    <w:rsid w:val="00694DEC"/>
    <w:rsid w:val="00695D43"/>
    <w:rsid w:val="006960F3"/>
    <w:rsid w:val="00696531"/>
    <w:rsid w:val="0069663F"/>
    <w:rsid w:val="00697402"/>
    <w:rsid w:val="006975EC"/>
    <w:rsid w:val="006A04EB"/>
    <w:rsid w:val="006A244E"/>
    <w:rsid w:val="006A258B"/>
    <w:rsid w:val="006A2D5A"/>
    <w:rsid w:val="006A2E46"/>
    <w:rsid w:val="006A32D0"/>
    <w:rsid w:val="006A35C0"/>
    <w:rsid w:val="006A40E3"/>
    <w:rsid w:val="006A4E14"/>
    <w:rsid w:val="006A4F12"/>
    <w:rsid w:val="006A55F0"/>
    <w:rsid w:val="006A65E5"/>
    <w:rsid w:val="006A6EE8"/>
    <w:rsid w:val="006A7157"/>
    <w:rsid w:val="006A7A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328"/>
    <w:rsid w:val="006F7763"/>
    <w:rsid w:val="006F7EF0"/>
    <w:rsid w:val="00700115"/>
    <w:rsid w:val="00700497"/>
    <w:rsid w:val="007006B2"/>
    <w:rsid w:val="00700802"/>
    <w:rsid w:val="0070114C"/>
    <w:rsid w:val="007012C4"/>
    <w:rsid w:val="00701780"/>
    <w:rsid w:val="00701F8E"/>
    <w:rsid w:val="00702DBB"/>
    <w:rsid w:val="0070339B"/>
    <w:rsid w:val="00703720"/>
    <w:rsid w:val="00703CB4"/>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1C4"/>
    <w:rsid w:val="0071222F"/>
    <w:rsid w:val="0071259D"/>
    <w:rsid w:val="00712EB3"/>
    <w:rsid w:val="0071337B"/>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74E"/>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59"/>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29A1"/>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19E"/>
    <w:rsid w:val="00792281"/>
    <w:rsid w:val="00792C03"/>
    <w:rsid w:val="00792DED"/>
    <w:rsid w:val="007940F9"/>
    <w:rsid w:val="007942D8"/>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71D"/>
    <w:rsid w:val="007A7B83"/>
    <w:rsid w:val="007B02A4"/>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27B"/>
    <w:rsid w:val="007C0AB2"/>
    <w:rsid w:val="007C167F"/>
    <w:rsid w:val="007C1E92"/>
    <w:rsid w:val="007C29D1"/>
    <w:rsid w:val="007C2BD0"/>
    <w:rsid w:val="007C2F40"/>
    <w:rsid w:val="007C346F"/>
    <w:rsid w:val="007C362D"/>
    <w:rsid w:val="007C3808"/>
    <w:rsid w:val="007C38F4"/>
    <w:rsid w:val="007C3C64"/>
    <w:rsid w:val="007C41D4"/>
    <w:rsid w:val="007C4299"/>
    <w:rsid w:val="007C44DA"/>
    <w:rsid w:val="007C4BD3"/>
    <w:rsid w:val="007C5802"/>
    <w:rsid w:val="007C5F2D"/>
    <w:rsid w:val="007C6CAD"/>
    <w:rsid w:val="007C6D94"/>
    <w:rsid w:val="007D0527"/>
    <w:rsid w:val="007D0C0B"/>
    <w:rsid w:val="007D0DA8"/>
    <w:rsid w:val="007D10AE"/>
    <w:rsid w:val="007D19B8"/>
    <w:rsid w:val="007D1F17"/>
    <w:rsid w:val="007D21CB"/>
    <w:rsid w:val="007D2D5E"/>
    <w:rsid w:val="007D2E78"/>
    <w:rsid w:val="007D2EE6"/>
    <w:rsid w:val="007D36BC"/>
    <w:rsid w:val="007D395F"/>
    <w:rsid w:val="007D39DA"/>
    <w:rsid w:val="007D3CE9"/>
    <w:rsid w:val="007D451A"/>
    <w:rsid w:val="007D526D"/>
    <w:rsid w:val="007D52F3"/>
    <w:rsid w:val="007D5352"/>
    <w:rsid w:val="007D54F9"/>
    <w:rsid w:val="007D584F"/>
    <w:rsid w:val="007D5EF6"/>
    <w:rsid w:val="007D6C53"/>
    <w:rsid w:val="007D75DB"/>
    <w:rsid w:val="007D7F93"/>
    <w:rsid w:val="007E035F"/>
    <w:rsid w:val="007E05D6"/>
    <w:rsid w:val="007E0BF7"/>
    <w:rsid w:val="007E0F91"/>
    <w:rsid w:val="007E16DC"/>
    <w:rsid w:val="007E1872"/>
    <w:rsid w:val="007E21A0"/>
    <w:rsid w:val="007E21F8"/>
    <w:rsid w:val="007E2388"/>
    <w:rsid w:val="007E2D0D"/>
    <w:rsid w:val="007E318E"/>
    <w:rsid w:val="007E36C0"/>
    <w:rsid w:val="007E384A"/>
    <w:rsid w:val="007E38D3"/>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91"/>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6C"/>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7E6"/>
    <w:rsid w:val="00844DAD"/>
    <w:rsid w:val="00844E3E"/>
    <w:rsid w:val="008451D3"/>
    <w:rsid w:val="0084538F"/>
    <w:rsid w:val="0084587F"/>
    <w:rsid w:val="008459A9"/>
    <w:rsid w:val="00845FBA"/>
    <w:rsid w:val="00846A76"/>
    <w:rsid w:val="008472EA"/>
    <w:rsid w:val="00847997"/>
    <w:rsid w:val="008479D3"/>
    <w:rsid w:val="00847B8A"/>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74F"/>
    <w:rsid w:val="008609F1"/>
    <w:rsid w:val="00861489"/>
    <w:rsid w:val="008614CF"/>
    <w:rsid w:val="008618C8"/>
    <w:rsid w:val="00861B48"/>
    <w:rsid w:val="00861B6D"/>
    <w:rsid w:val="00862430"/>
    <w:rsid w:val="00862C78"/>
    <w:rsid w:val="00862D34"/>
    <w:rsid w:val="008635BA"/>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947"/>
    <w:rsid w:val="00875E71"/>
    <w:rsid w:val="00876443"/>
    <w:rsid w:val="00876F43"/>
    <w:rsid w:val="00876F46"/>
    <w:rsid w:val="00877AC2"/>
    <w:rsid w:val="00877D93"/>
    <w:rsid w:val="00880BED"/>
    <w:rsid w:val="00881302"/>
    <w:rsid w:val="008836A3"/>
    <w:rsid w:val="00883CE0"/>
    <w:rsid w:val="008846B4"/>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F29"/>
    <w:rsid w:val="0089645A"/>
    <w:rsid w:val="008975B3"/>
    <w:rsid w:val="00897C42"/>
    <w:rsid w:val="008A0AF6"/>
    <w:rsid w:val="008A1139"/>
    <w:rsid w:val="008A116A"/>
    <w:rsid w:val="008A1590"/>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6BE"/>
    <w:rsid w:val="008B0939"/>
    <w:rsid w:val="008B0A2D"/>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63"/>
    <w:rsid w:val="008C45CE"/>
    <w:rsid w:val="008C5947"/>
    <w:rsid w:val="008C78F2"/>
    <w:rsid w:val="008C7D47"/>
    <w:rsid w:val="008D111F"/>
    <w:rsid w:val="008D2362"/>
    <w:rsid w:val="008D2528"/>
    <w:rsid w:val="008D3003"/>
    <w:rsid w:val="008D3E28"/>
    <w:rsid w:val="008D3F2F"/>
    <w:rsid w:val="008D473F"/>
    <w:rsid w:val="008D4CD3"/>
    <w:rsid w:val="008D51A9"/>
    <w:rsid w:val="008D5B36"/>
    <w:rsid w:val="008D66B7"/>
    <w:rsid w:val="008D700E"/>
    <w:rsid w:val="008D701C"/>
    <w:rsid w:val="008E04D0"/>
    <w:rsid w:val="008E073A"/>
    <w:rsid w:val="008E073F"/>
    <w:rsid w:val="008E0D75"/>
    <w:rsid w:val="008E1149"/>
    <w:rsid w:val="008E16DE"/>
    <w:rsid w:val="008E2A6F"/>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26"/>
    <w:rsid w:val="008F1E91"/>
    <w:rsid w:val="008F275C"/>
    <w:rsid w:val="008F27A5"/>
    <w:rsid w:val="008F29C9"/>
    <w:rsid w:val="008F314A"/>
    <w:rsid w:val="008F3206"/>
    <w:rsid w:val="008F42F7"/>
    <w:rsid w:val="008F4443"/>
    <w:rsid w:val="008F44F2"/>
    <w:rsid w:val="008F4949"/>
    <w:rsid w:val="008F4A9F"/>
    <w:rsid w:val="008F4C8F"/>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4B2"/>
    <w:rsid w:val="0093476C"/>
    <w:rsid w:val="009358E3"/>
    <w:rsid w:val="00935918"/>
    <w:rsid w:val="00935C91"/>
    <w:rsid w:val="00935DE3"/>
    <w:rsid w:val="00935EF3"/>
    <w:rsid w:val="00935F52"/>
    <w:rsid w:val="009363BF"/>
    <w:rsid w:val="00936447"/>
    <w:rsid w:val="00936E9B"/>
    <w:rsid w:val="00937464"/>
    <w:rsid w:val="009404F7"/>
    <w:rsid w:val="00940B02"/>
    <w:rsid w:val="00940E2D"/>
    <w:rsid w:val="00940F08"/>
    <w:rsid w:val="0094146E"/>
    <w:rsid w:val="00941A2B"/>
    <w:rsid w:val="00941B8B"/>
    <w:rsid w:val="00943368"/>
    <w:rsid w:val="00943CC4"/>
    <w:rsid w:val="009440C0"/>
    <w:rsid w:val="009440D5"/>
    <w:rsid w:val="009450CD"/>
    <w:rsid w:val="00945D11"/>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A8"/>
    <w:rsid w:val="009601D2"/>
    <w:rsid w:val="00961165"/>
    <w:rsid w:val="009611C8"/>
    <w:rsid w:val="009611E5"/>
    <w:rsid w:val="0096256D"/>
    <w:rsid w:val="009632E3"/>
    <w:rsid w:val="009633EA"/>
    <w:rsid w:val="00963D9A"/>
    <w:rsid w:val="009640BA"/>
    <w:rsid w:val="0096462C"/>
    <w:rsid w:val="00964AE3"/>
    <w:rsid w:val="0096549D"/>
    <w:rsid w:val="00965E23"/>
    <w:rsid w:val="00966603"/>
    <w:rsid w:val="00966AFE"/>
    <w:rsid w:val="00966DAA"/>
    <w:rsid w:val="00967D91"/>
    <w:rsid w:val="0097015F"/>
    <w:rsid w:val="00970368"/>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5D6"/>
    <w:rsid w:val="009A276C"/>
    <w:rsid w:val="009A2B4B"/>
    <w:rsid w:val="009A3839"/>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537B"/>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774"/>
    <w:rsid w:val="009D2C85"/>
    <w:rsid w:val="009D3823"/>
    <w:rsid w:val="009D55CB"/>
    <w:rsid w:val="009D5666"/>
    <w:rsid w:val="009D6001"/>
    <w:rsid w:val="009D63B6"/>
    <w:rsid w:val="009D6443"/>
    <w:rsid w:val="009D64C1"/>
    <w:rsid w:val="009D6511"/>
    <w:rsid w:val="009D6CF5"/>
    <w:rsid w:val="009D6E86"/>
    <w:rsid w:val="009D6ED5"/>
    <w:rsid w:val="009D7060"/>
    <w:rsid w:val="009D72C0"/>
    <w:rsid w:val="009D7493"/>
    <w:rsid w:val="009D7751"/>
    <w:rsid w:val="009D7CE6"/>
    <w:rsid w:val="009D7DE3"/>
    <w:rsid w:val="009D7ED7"/>
    <w:rsid w:val="009D7F6D"/>
    <w:rsid w:val="009E0359"/>
    <w:rsid w:val="009E0E09"/>
    <w:rsid w:val="009E176F"/>
    <w:rsid w:val="009E2365"/>
    <w:rsid w:val="009E25B4"/>
    <w:rsid w:val="009E2B0E"/>
    <w:rsid w:val="009E2E89"/>
    <w:rsid w:val="009E2FD7"/>
    <w:rsid w:val="009E32DF"/>
    <w:rsid w:val="009E370B"/>
    <w:rsid w:val="009E3CE7"/>
    <w:rsid w:val="009E4EEF"/>
    <w:rsid w:val="009E524F"/>
    <w:rsid w:val="009E52AE"/>
    <w:rsid w:val="009E532A"/>
    <w:rsid w:val="009E55EA"/>
    <w:rsid w:val="009E58E0"/>
    <w:rsid w:val="009E5E11"/>
    <w:rsid w:val="009E5E7C"/>
    <w:rsid w:val="009E6125"/>
    <w:rsid w:val="009E6AA1"/>
    <w:rsid w:val="009E6D88"/>
    <w:rsid w:val="009E70BA"/>
    <w:rsid w:val="009E7711"/>
    <w:rsid w:val="009E789E"/>
    <w:rsid w:val="009E7A4F"/>
    <w:rsid w:val="009E7A79"/>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696"/>
    <w:rsid w:val="00A126D9"/>
    <w:rsid w:val="00A127BB"/>
    <w:rsid w:val="00A12C4C"/>
    <w:rsid w:val="00A137AE"/>
    <w:rsid w:val="00A13891"/>
    <w:rsid w:val="00A13B4D"/>
    <w:rsid w:val="00A13C42"/>
    <w:rsid w:val="00A1557F"/>
    <w:rsid w:val="00A1730D"/>
    <w:rsid w:val="00A1756F"/>
    <w:rsid w:val="00A175CE"/>
    <w:rsid w:val="00A17A64"/>
    <w:rsid w:val="00A20092"/>
    <w:rsid w:val="00A20389"/>
    <w:rsid w:val="00A21328"/>
    <w:rsid w:val="00A21580"/>
    <w:rsid w:val="00A2217D"/>
    <w:rsid w:val="00A223D6"/>
    <w:rsid w:val="00A225A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1AA"/>
    <w:rsid w:val="00A42414"/>
    <w:rsid w:val="00A430AB"/>
    <w:rsid w:val="00A433EF"/>
    <w:rsid w:val="00A4348A"/>
    <w:rsid w:val="00A436E8"/>
    <w:rsid w:val="00A43F04"/>
    <w:rsid w:val="00A444F0"/>
    <w:rsid w:val="00A446EB"/>
    <w:rsid w:val="00A455D5"/>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5FDD"/>
    <w:rsid w:val="00A562DE"/>
    <w:rsid w:val="00A56572"/>
    <w:rsid w:val="00A57913"/>
    <w:rsid w:val="00A57A09"/>
    <w:rsid w:val="00A57C5C"/>
    <w:rsid w:val="00A6011C"/>
    <w:rsid w:val="00A60269"/>
    <w:rsid w:val="00A604AE"/>
    <w:rsid w:val="00A61CD1"/>
    <w:rsid w:val="00A61E39"/>
    <w:rsid w:val="00A62524"/>
    <w:rsid w:val="00A62F93"/>
    <w:rsid w:val="00A63448"/>
    <w:rsid w:val="00A63923"/>
    <w:rsid w:val="00A63FD4"/>
    <w:rsid w:val="00A6405A"/>
    <w:rsid w:val="00A6415D"/>
    <w:rsid w:val="00A6435F"/>
    <w:rsid w:val="00A6520B"/>
    <w:rsid w:val="00A6555E"/>
    <w:rsid w:val="00A65583"/>
    <w:rsid w:val="00A6564F"/>
    <w:rsid w:val="00A658BC"/>
    <w:rsid w:val="00A6694E"/>
    <w:rsid w:val="00A67D21"/>
    <w:rsid w:val="00A67E17"/>
    <w:rsid w:val="00A7068A"/>
    <w:rsid w:val="00A707EA"/>
    <w:rsid w:val="00A70AC2"/>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630"/>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1C"/>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3647"/>
    <w:rsid w:val="00AC44A3"/>
    <w:rsid w:val="00AC466F"/>
    <w:rsid w:val="00AC487E"/>
    <w:rsid w:val="00AC49B5"/>
    <w:rsid w:val="00AC4E18"/>
    <w:rsid w:val="00AC5365"/>
    <w:rsid w:val="00AC5CA1"/>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1627"/>
    <w:rsid w:val="00AE1CB6"/>
    <w:rsid w:val="00AE259F"/>
    <w:rsid w:val="00AE3184"/>
    <w:rsid w:val="00AE3419"/>
    <w:rsid w:val="00AE3613"/>
    <w:rsid w:val="00AE39BC"/>
    <w:rsid w:val="00AE3BFF"/>
    <w:rsid w:val="00AE3D63"/>
    <w:rsid w:val="00AE421F"/>
    <w:rsid w:val="00AE442E"/>
    <w:rsid w:val="00AE4769"/>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37E"/>
    <w:rsid w:val="00B0050D"/>
    <w:rsid w:val="00B00F31"/>
    <w:rsid w:val="00B01066"/>
    <w:rsid w:val="00B012B9"/>
    <w:rsid w:val="00B01973"/>
    <w:rsid w:val="00B021CD"/>
    <w:rsid w:val="00B02A94"/>
    <w:rsid w:val="00B02F45"/>
    <w:rsid w:val="00B037CC"/>
    <w:rsid w:val="00B03932"/>
    <w:rsid w:val="00B03B1D"/>
    <w:rsid w:val="00B042F4"/>
    <w:rsid w:val="00B04B88"/>
    <w:rsid w:val="00B04F43"/>
    <w:rsid w:val="00B05674"/>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1D83"/>
    <w:rsid w:val="00B123C5"/>
    <w:rsid w:val="00B128C9"/>
    <w:rsid w:val="00B12BA2"/>
    <w:rsid w:val="00B13491"/>
    <w:rsid w:val="00B13C6C"/>
    <w:rsid w:val="00B14839"/>
    <w:rsid w:val="00B14A02"/>
    <w:rsid w:val="00B14CF5"/>
    <w:rsid w:val="00B15731"/>
    <w:rsid w:val="00B15A47"/>
    <w:rsid w:val="00B15CDB"/>
    <w:rsid w:val="00B16B04"/>
    <w:rsid w:val="00B16C35"/>
    <w:rsid w:val="00B16C77"/>
    <w:rsid w:val="00B170B1"/>
    <w:rsid w:val="00B1731E"/>
    <w:rsid w:val="00B2007A"/>
    <w:rsid w:val="00B20217"/>
    <w:rsid w:val="00B20A88"/>
    <w:rsid w:val="00B21651"/>
    <w:rsid w:val="00B21A29"/>
    <w:rsid w:val="00B22399"/>
    <w:rsid w:val="00B239C5"/>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AF1"/>
    <w:rsid w:val="00B37C21"/>
    <w:rsid w:val="00B401DB"/>
    <w:rsid w:val="00B401FB"/>
    <w:rsid w:val="00B405DA"/>
    <w:rsid w:val="00B4084E"/>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564B"/>
    <w:rsid w:val="00B46162"/>
    <w:rsid w:val="00B46243"/>
    <w:rsid w:val="00B465A6"/>
    <w:rsid w:val="00B46C4E"/>
    <w:rsid w:val="00B46D5A"/>
    <w:rsid w:val="00B47314"/>
    <w:rsid w:val="00B50CD6"/>
    <w:rsid w:val="00B513C2"/>
    <w:rsid w:val="00B51619"/>
    <w:rsid w:val="00B516F7"/>
    <w:rsid w:val="00B51946"/>
    <w:rsid w:val="00B52544"/>
    <w:rsid w:val="00B53DE8"/>
    <w:rsid w:val="00B5409D"/>
    <w:rsid w:val="00B54216"/>
    <w:rsid w:val="00B54575"/>
    <w:rsid w:val="00B54620"/>
    <w:rsid w:val="00B54770"/>
    <w:rsid w:val="00B54D14"/>
    <w:rsid w:val="00B54DBA"/>
    <w:rsid w:val="00B5507C"/>
    <w:rsid w:val="00B550D5"/>
    <w:rsid w:val="00B556D0"/>
    <w:rsid w:val="00B55A94"/>
    <w:rsid w:val="00B55F2B"/>
    <w:rsid w:val="00B5607C"/>
    <w:rsid w:val="00B56F88"/>
    <w:rsid w:val="00B577EE"/>
    <w:rsid w:val="00B57D05"/>
    <w:rsid w:val="00B57DB3"/>
    <w:rsid w:val="00B60BC4"/>
    <w:rsid w:val="00B61656"/>
    <w:rsid w:val="00B617AD"/>
    <w:rsid w:val="00B619A2"/>
    <w:rsid w:val="00B61A8C"/>
    <w:rsid w:val="00B61D72"/>
    <w:rsid w:val="00B61EF9"/>
    <w:rsid w:val="00B62203"/>
    <w:rsid w:val="00B62269"/>
    <w:rsid w:val="00B628D4"/>
    <w:rsid w:val="00B62ACC"/>
    <w:rsid w:val="00B62B57"/>
    <w:rsid w:val="00B62C57"/>
    <w:rsid w:val="00B636EB"/>
    <w:rsid w:val="00B638B1"/>
    <w:rsid w:val="00B63AE3"/>
    <w:rsid w:val="00B63EDC"/>
    <w:rsid w:val="00B6426A"/>
    <w:rsid w:val="00B646C9"/>
    <w:rsid w:val="00B65329"/>
    <w:rsid w:val="00B6533A"/>
    <w:rsid w:val="00B65B7F"/>
    <w:rsid w:val="00B65CB6"/>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0D57"/>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3867"/>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43D7"/>
    <w:rsid w:val="00BF4EF6"/>
    <w:rsid w:val="00BF5036"/>
    <w:rsid w:val="00BF50CE"/>
    <w:rsid w:val="00BF5437"/>
    <w:rsid w:val="00BF5DA7"/>
    <w:rsid w:val="00BF60AE"/>
    <w:rsid w:val="00BF662B"/>
    <w:rsid w:val="00BF6E10"/>
    <w:rsid w:val="00BF6E7C"/>
    <w:rsid w:val="00BF6EDC"/>
    <w:rsid w:val="00C0059E"/>
    <w:rsid w:val="00C00B08"/>
    <w:rsid w:val="00C0244C"/>
    <w:rsid w:val="00C025FD"/>
    <w:rsid w:val="00C0281A"/>
    <w:rsid w:val="00C02F66"/>
    <w:rsid w:val="00C030FC"/>
    <w:rsid w:val="00C03964"/>
    <w:rsid w:val="00C04393"/>
    <w:rsid w:val="00C04717"/>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25A5"/>
    <w:rsid w:val="00C232A8"/>
    <w:rsid w:val="00C23CAA"/>
    <w:rsid w:val="00C23CF0"/>
    <w:rsid w:val="00C23DFE"/>
    <w:rsid w:val="00C23EB7"/>
    <w:rsid w:val="00C23EBC"/>
    <w:rsid w:val="00C24AD4"/>
    <w:rsid w:val="00C24DE2"/>
    <w:rsid w:val="00C25622"/>
    <w:rsid w:val="00C257B5"/>
    <w:rsid w:val="00C26369"/>
    <w:rsid w:val="00C26FA1"/>
    <w:rsid w:val="00C27877"/>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22D"/>
    <w:rsid w:val="00C428BB"/>
    <w:rsid w:val="00C42FAD"/>
    <w:rsid w:val="00C436CA"/>
    <w:rsid w:val="00C43920"/>
    <w:rsid w:val="00C43940"/>
    <w:rsid w:val="00C439FE"/>
    <w:rsid w:val="00C44263"/>
    <w:rsid w:val="00C449F4"/>
    <w:rsid w:val="00C454AA"/>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4D5D"/>
    <w:rsid w:val="00C557AB"/>
    <w:rsid w:val="00C55B18"/>
    <w:rsid w:val="00C55E6D"/>
    <w:rsid w:val="00C55F1E"/>
    <w:rsid w:val="00C560CA"/>
    <w:rsid w:val="00C565D6"/>
    <w:rsid w:val="00C576F1"/>
    <w:rsid w:val="00C5786D"/>
    <w:rsid w:val="00C57B2B"/>
    <w:rsid w:val="00C609ED"/>
    <w:rsid w:val="00C60EB8"/>
    <w:rsid w:val="00C61EF2"/>
    <w:rsid w:val="00C6211D"/>
    <w:rsid w:val="00C6253B"/>
    <w:rsid w:val="00C632DC"/>
    <w:rsid w:val="00C644A9"/>
    <w:rsid w:val="00C644B2"/>
    <w:rsid w:val="00C658BE"/>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A02"/>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5D2F"/>
    <w:rsid w:val="00C9651B"/>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A7315"/>
    <w:rsid w:val="00CA7741"/>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7E2"/>
    <w:rsid w:val="00CD391D"/>
    <w:rsid w:val="00CD3BA8"/>
    <w:rsid w:val="00CD3F3C"/>
    <w:rsid w:val="00CD46C2"/>
    <w:rsid w:val="00CD484D"/>
    <w:rsid w:val="00CD4B85"/>
    <w:rsid w:val="00CD5381"/>
    <w:rsid w:val="00CD54C7"/>
    <w:rsid w:val="00CD560F"/>
    <w:rsid w:val="00CD5738"/>
    <w:rsid w:val="00CD59BF"/>
    <w:rsid w:val="00CD5DAD"/>
    <w:rsid w:val="00CD6126"/>
    <w:rsid w:val="00CD6AE6"/>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373"/>
    <w:rsid w:val="00CF7462"/>
    <w:rsid w:val="00CF76FD"/>
    <w:rsid w:val="00CF7AF3"/>
    <w:rsid w:val="00CF7D80"/>
    <w:rsid w:val="00D00947"/>
    <w:rsid w:val="00D00D6F"/>
    <w:rsid w:val="00D01D34"/>
    <w:rsid w:val="00D026AE"/>
    <w:rsid w:val="00D0298E"/>
    <w:rsid w:val="00D02A01"/>
    <w:rsid w:val="00D02CF4"/>
    <w:rsid w:val="00D0302B"/>
    <w:rsid w:val="00D03270"/>
    <w:rsid w:val="00D03730"/>
    <w:rsid w:val="00D03A35"/>
    <w:rsid w:val="00D03FD6"/>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0C5"/>
    <w:rsid w:val="00D158E9"/>
    <w:rsid w:val="00D15E38"/>
    <w:rsid w:val="00D20827"/>
    <w:rsid w:val="00D20D35"/>
    <w:rsid w:val="00D215A9"/>
    <w:rsid w:val="00D21A39"/>
    <w:rsid w:val="00D21C88"/>
    <w:rsid w:val="00D225DC"/>
    <w:rsid w:val="00D225F3"/>
    <w:rsid w:val="00D23D3D"/>
    <w:rsid w:val="00D2590F"/>
    <w:rsid w:val="00D25C39"/>
    <w:rsid w:val="00D26019"/>
    <w:rsid w:val="00D261B1"/>
    <w:rsid w:val="00D26291"/>
    <w:rsid w:val="00D26610"/>
    <w:rsid w:val="00D2786C"/>
    <w:rsid w:val="00D306CD"/>
    <w:rsid w:val="00D3080E"/>
    <w:rsid w:val="00D3158D"/>
    <w:rsid w:val="00D32212"/>
    <w:rsid w:val="00D32498"/>
    <w:rsid w:val="00D32629"/>
    <w:rsid w:val="00D33E6D"/>
    <w:rsid w:val="00D3412D"/>
    <w:rsid w:val="00D34518"/>
    <w:rsid w:val="00D3483F"/>
    <w:rsid w:val="00D34E63"/>
    <w:rsid w:val="00D3502B"/>
    <w:rsid w:val="00D35688"/>
    <w:rsid w:val="00D35729"/>
    <w:rsid w:val="00D35E75"/>
    <w:rsid w:val="00D361C4"/>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A66"/>
    <w:rsid w:val="00D51DDC"/>
    <w:rsid w:val="00D52A7F"/>
    <w:rsid w:val="00D5370C"/>
    <w:rsid w:val="00D537EC"/>
    <w:rsid w:val="00D53BED"/>
    <w:rsid w:val="00D5430A"/>
    <w:rsid w:val="00D547AD"/>
    <w:rsid w:val="00D54BCE"/>
    <w:rsid w:val="00D54C79"/>
    <w:rsid w:val="00D55264"/>
    <w:rsid w:val="00D55519"/>
    <w:rsid w:val="00D568BB"/>
    <w:rsid w:val="00D5718E"/>
    <w:rsid w:val="00D574D5"/>
    <w:rsid w:val="00D57AAE"/>
    <w:rsid w:val="00D57DA0"/>
    <w:rsid w:val="00D6149F"/>
    <w:rsid w:val="00D615A8"/>
    <w:rsid w:val="00D61719"/>
    <w:rsid w:val="00D61E9F"/>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7C7"/>
    <w:rsid w:val="00D74D4A"/>
    <w:rsid w:val="00D75074"/>
    <w:rsid w:val="00D753D4"/>
    <w:rsid w:val="00D758F4"/>
    <w:rsid w:val="00D75D62"/>
    <w:rsid w:val="00D7618B"/>
    <w:rsid w:val="00D764DE"/>
    <w:rsid w:val="00D766D4"/>
    <w:rsid w:val="00D7682C"/>
    <w:rsid w:val="00D76862"/>
    <w:rsid w:val="00D771F7"/>
    <w:rsid w:val="00D7766C"/>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6054"/>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1FF9"/>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217"/>
    <w:rsid w:val="00DD2DE5"/>
    <w:rsid w:val="00DD3611"/>
    <w:rsid w:val="00DD4006"/>
    <w:rsid w:val="00DD421C"/>
    <w:rsid w:val="00DD5B26"/>
    <w:rsid w:val="00DD7116"/>
    <w:rsid w:val="00DD7406"/>
    <w:rsid w:val="00DD7688"/>
    <w:rsid w:val="00DD77DA"/>
    <w:rsid w:val="00DD7856"/>
    <w:rsid w:val="00DD7F6A"/>
    <w:rsid w:val="00DE08CB"/>
    <w:rsid w:val="00DE0E4C"/>
    <w:rsid w:val="00DE104B"/>
    <w:rsid w:val="00DE1E68"/>
    <w:rsid w:val="00DE1EA7"/>
    <w:rsid w:val="00DE4A3F"/>
    <w:rsid w:val="00DE5680"/>
    <w:rsid w:val="00DE57BB"/>
    <w:rsid w:val="00DE5873"/>
    <w:rsid w:val="00DE5A51"/>
    <w:rsid w:val="00DE5AC8"/>
    <w:rsid w:val="00DE62F6"/>
    <w:rsid w:val="00DE6EA8"/>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16C"/>
    <w:rsid w:val="00DF5976"/>
    <w:rsid w:val="00DF7020"/>
    <w:rsid w:val="00DF72A8"/>
    <w:rsid w:val="00DF74F6"/>
    <w:rsid w:val="00E008E3"/>
    <w:rsid w:val="00E00F55"/>
    <w:rsid w:val="00E01159"/>
    <w:rsid w:val="00E011EC"/>
    <w:rsid w:val="00E01548"/>
    <w:rsid w:val="00E01611"/>
    <w:rsid w:val="00E024EF"/>
    <w:rsid w:val="00E0258D"/>
    <w:rsid w:val="00E03318"/>
    <w:rsid w:val="00E0543B"/>
    <w:rsid w:val="00E054E1"/>
    <w:rsid w:val="00E05819"/>
    <w:rsid w:val="00E05F96"/>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1C8E"/>
    <w:rsid w:val="00E220C8"/>
    <w:rsid w:val="00E244A8"/>
    <w:rsid w:val="00E245E5"/>
    <w:rsid w:val="00E259EA"/>
    <w:rsid w:val="00E26B8D"/>
    <w:rsid w:val="00E26C88"/>
    <w:rsid w:val="00E27181"/>
    <w:rsid w:val="00E277A4"/>
    <w:rsid w:val="00E27DBF"/>
    <w:rsid w:val="00E30016"/>
    <w:rsid w:val="00E30AC7"/>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D06"/>
    <w:rsid w:val="00E44574"/>
    <w:rsid w:val="00E44B32"/>
    <w:rsid w:val="00E451E3"/>
    <w:rsid w:val="00E45702"/>
    <w:rsid w:val="00E45C24"/>
    <w:rsid w:val="00E45FA7"/>
    <w:rsid w:val="00E46031"/>
    <w:rsid w:val="00E46260"/>
    <w:rsid w:val="00E463CA"/>
    <w:rsid w:val="00E4650B"/>
    <w:rsid w:val="00E4767D"/>
    <w:rsid w:val="00E47CB4"/>
    <w:rsid w:val="00E50A3C"/>
    <w:rsid w:val="00E50AEB"/>
    <w:rsid w:val="00E515A7"/>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39B"/>
    <w:rsid w:val="00E60D8C"/>
    <w:rsid w:val="00E61C6F"/>
    <w:rsid w:val="00E61D4D"/>
    <w:rsid w:val="00E624F5"/>
    <w:rsid w:val="00E627C6"/>
    <w:rsid w:val="00E637C8"/>
    <w:rsid w:val="00E63A41"/>
    <w:rsid w:val="00E6452B"/>
    <w:rsid w:val="00E64D74"/>
    <w:rsid w:val="00E64F0D"/>
    <w:rsid w:val="00E65082"/>
    <w:rsid w:val="00E65C59"/>
    <w:rsid w:val="00E65C80"/>
    <w:rsid w:val="00E65E9D"/>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52C"/>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1"/>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9DC"/>
    <w:rsid w:val="00ED1AF5"/>
    <w:rsid w:val="00ED1E78"/>
    <w:rsid w:val="00ED2098"/>
    <w:rsid w:val="00ED25DD"/>
    <w:rsid w:val="00ED264E"/>
    <w:rsid w:val="00ED3DD1"/>
    <w:rsid w:val="00ED3E5B"/>
    <w:rsid w:val="00ED3ECE"/>
    <w:rsid w:val="00ED4526"/>
    <w:rsid w:val="00ED46B0"/>
    <w:rsid w:val="00ED4730"/>
    <w:rsid w:val="00ED482F"/>
    <w:rsid w:val="00ED4F6B"/>
    <w:rsid w:val="00ED50AF"/>
    <w:rsid w:val="00ED55B1"/>
    <w:rsid w:val="00ED5813"/>
    <w:rsid w:val="00ED6011"/>
    <w:rsid w:val="00ED6221"/>
    <w:rsid w:val="00ED641F"/>
    <w:rsid w:val="00ED6855"/>
    <w:rsid w:val="00ED71B0"/>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66"/>
    <w:rsid w:val="00EF1BEE"/>
    <w:rsid w:val="00EF1D79"/>
    <w:rsid w:val="00EF227D"/>
    <w:rsid w:val="00EF2E2C"/>
    <w:rsid w:val="00EF4072"/>
    <w:rsid w:val="00EF468A"/>
    <w:rsid w:val="00EF4822"/>
    <w:rsid w:val="00EF4F37"/>
    <w:rsid w:val="00EF52CB"/>
    <w:rsid w:val="00EF5B08"/>
    <w:rsid w:val="00EF5BF5"/>
    <w:rsid w:val="00EF5CD5"/>
    <w:rsid w:val="00EF650E"/>
    <w:rsid w:val="00EF6902"/>
    <w:rsid w:val="00EF6906"/>
    <w:rsid w:val="00EF6A96"/>
    <w:rsid w:val="00EF6D56"/>
    <w:rsid w:val="00F006FD"/>
    <w:rsid w:val="00F00940"/>
    <w:rsid w:val="00F009EC"/>
    <w:rsid w:val="00F00AB7"/>
    <w:rsid w:val="00F00FF2"/>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2F5E"/>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360"/>
    <w:rsid w:val="00F30F42"/>
    <w:rsid w:val="00F32039"/>
    <w:rsid w:val="00F32176"/>
    <w:rsid w:val="00F3303E"/>
    <w:rsid w:val="00F3324C"/>
    <w:rsid w:val="00F33578"/>
    <w:rsid w:val="00F33EF4"/>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9F3"/>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DE"/>
    <w:rsid w:val="00F643D8"/>
    <w:rsid w:val="00F64664"/>
    <w:rsid w:val="00F64676"/>
    <w:rsid w:val="00F64A30"/>
    <w:rsid w:val="00F64D5E"/>
    <w:rsid w:val="00F65AC3"/>
    <w:rsid w:val="00F65D26"/>
    <w:rsid w:val="00F665F9"/>
    <w:rsid w:val="00F6660B"/>
    <w:rsid w:val="00F66845"/>
    <w:rsid w:val="00F67049"/>
    <w:rsid w:val="00F67582"/>
    <w:rsid w:val="00F6770F"/>
    <w:rsid w:val="00F7004B"/>
    <w:rsid w:val="00F708F4"/>
    <w:rsid w:val="00F70D54"/>
    <w:rsid w:val="00F718B8"/>
    <w:rsid w:val="00F71A2B"/>
    <w:rsid w:val="00F721FF"/>
    <w:rsid w:val="00F726E4"/>
    <w:rsid w:val="00F72D66"/>
    <w:rsid w:val="00F72E3A"/>
    <w:rsid w:val="00F72EC0"/>
    <w:rsid w:val="00F72F89"/>
    <w:rsid w:val="00F730B0"/>
    <w:rsid w:val="00F73270"/>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5FA7"/>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8A7"/>
    <w:rsid w:val="00FA7A44"/>
    <w:rsid w:val="00FB019E"/>
    <w:rsid w:val="00FB08A0"/>
    <w:rsid w:val="00FB1F47"/>
    <w:rsid w:val="00FB1FE1"/>
    <w:rsid w:val="00FB2427"/>
    <w:rsid w:val="00FB2494"/>
    <w:rsid w:val="00FB2BFA"/>
    <w:rsid w:val="00FB31C5"/>
    <w:rsid w:val="00FB33D3"/>
    <w:rsid w:val="00FB3F92"/>
    <w:rsid w:val="00FB4328"/>
    <w:rsid w:val="00FB4D3D"/>
    <w:rsid w:val="00FB5368"/>
    <w:rsid w:val="00FB586E"/>
    <w:rsid w:val="00FB5947"/>
    <w:rsid w:val="00FB5E6F"/>
    <w:rsid w:val="00FB656A"/>
    <w:rsid w:val="00FB658C"/>
    <w:rsid w:val="00FB707A"/>
    <w:rsid w:val="00FB79D4"/>
    <w:rsid w:val="00FB7C95"/>
    <w:rsid w:val="00FB7FD0"/>
    <w:rsid w:val="00FC0D8F"/>
    <w:rsid w:val="00FC2079"/>
    <w:rsid w:val="00FC22F1"/>
    <w:rsid w:val="00FC2773"/>
    <w:rsid w:val="00FC3870"/>
    <w:rsid w:val="00FC3A9D"/>
    <w:rsid w:val="00FC3C12"/>
    <w:rsid w:val="00FC45F3"/>
    <w:rsid w:val="00FC4A46"/>
    <w:rsid w:val="00FC586F"/>
    <w:rsid w:val="00FC6096"/>
    <w:rsid w:val="00FC6C63"/>
    <w:rsid w:val="00FC703B"/>
    <w:rsid w:val="00FC7867"/>
    <w:rsid w:val="00FD079E"/>
    <w:rsid w:val="00FD1247"/>
    <w:rsid w:val="00FD1502"/>
    <w:rsid w:val="00FD1631"/>
    <w:rsid w:val="00FD17F3"/>
    <w:rsid w:val="00FD17FE"/>
    <w:rsid w:val="00FD20C1"/>
    <w:rsid w:val="00FD23D1"/>
    <w:rsid w:val="00FD290C"/>
    <w:rsid w:val="00FD2933"/>
    <w:rsid w:val="00FD2EEA"/>
    <w:rsid w:val="00FD30CA"/>
    <w:rsid w:val="00FD3909"/>
    <w:rsid w:val="00FD3B28"/>
    <w:rsid w:val="00FD3CDC"/>
    <w:rsid w:val="00FD41FC"/>
    <w:rsid w:val="00FD43F5"/>
    <w:rsid w:val="00FD5D22"/>
    <w:rsid w:val="00FD609E"/>
    <w:rsid w:val="00FD7634"/>
    <w:rsid w:val="00FD7AB8"/>
    <w:rsid w:val="00FE01D7"/>
    <w:rsid w:val="00FE0D94"/>
    <w:rsid w:val="00FE0F87"/>
    <w:rsid w:val="00FE1805"/>
    <w:rsid w:val="00FE18B0"/>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399"/>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6048C0"/>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link w:val="2"/>
    <w:uiPriority w:val="99"/>
    <w:locked/>
    <w:rsid w:val="00E05819"/>
    <w:rPr>
      <w:rFonts w:cs="Times New Roman"/>
      <w:b/>
      <w:color w:val="000000"/>
      <w:sz w:val="24"/>
      <w:lang w:val="x-none"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uiPriority w:val="99"/>
    <w:rsid w:val="00954944"/>
    <w:rPr>
      <w:rFonts w:cs="Times New Roman"/>
      <w:color w:val="0260D0"/>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rsid w:val="00720776"/>
    <w:rPr>
      <w:rFonts w:cs="Times New Roman"/>
    </w:rPr>
  </w:style>
  <w:style w:type="paragraph" w:customStyle="1" w:styleId="a7">
    <w:name w:val="Нормальний текст"/>
    <w:basedOn w:val="a"/>
    <w:link w:val="a8"/>
    <w:uiPriority w:val="99"/>
    <w:rsid w:val="00720776"/>
    <w:pPr>
      <w:spacing w:before="120"/>
      <w:ind w:firstLine="567"/>
      <w:jc w:val="both"/>
    </w:pPr>
    <w:rPr>
      <w:rFonts w:ascii="Antiqua" w:hAnsi="Antiqua"/>
      <w:sz w:val="26"/>
      <w:szCs w:val="20"/>
      <w:lang w:eastAsia="ru-RU"/>
    </w:rPr>
  </w:style>
  <w:style w:type="character" w:customStyle="1" w:styleId="rvts46">
    <w:name w:val="rvts46"/>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9">
    <w:name w:val="page number"/>
    <w:uiPriority w:val="99"/>
    <w:rsid w:val="000E739F"/>
    <w:rPr>
      <w:rFonts w:cs="Times New Roman"/>
    </w:rPr>
  </w:style>
  <w:style w:type="character" w:customStyle="1" w:styleId="apple-converted-space">
    <w:name w:val="apple-converted-space"/>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rsid w:val="00694D9D"/>
    <w:rPr>
      <w:rFonts w:cs="Times New Roman"/>
    </w:rPr>
  </w:style>
  <w:style w:type="character" w:customStyle="1" w:styleId="13">
    <w:name w:val="Знак13"/>
    <w:uiPriority w:val="99"/>
    <w:locked/>
    <w:rsid w:val="00B57DB3"/>
    <w:rPr>
      <w:b/>
      <w:color w:val="000000"/>
      <w:sz w:val="26"/>
      <w:lang w:val="x-none"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uiPriority w:val="99"/>
    <w:rsid w:val="007C362D"/>
    <w:rPr>
      <w:rFonts w:cs="Times New Roman"/>
    </w:rPr>
  </w:style>
  <w:style w:type="paragraph" w:styleId="aa">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ab">
    <w:name w:val="footer"/>
    <w:basedOn w:val="a"/>
    <w:link w:val="ac"/>
    <w:uiPriority w:val="99"/>
    <w:rsid w:val="009D7493"/>
    <w:pPr>
      <w:tabs>
        <w:tab w:val="center" w:pos="4819"/>
        <w:tab w:val="right" w:pos="9639"/>
      </w:tabs>
    </w:pPr>
    <w:rPr>
      <w:rFonts w:ascii="Antiqua" w:hAnsi="Antiqua"/>
      <w:sz w:val="26"/>
      <w:szCs w:val="20"/>
      <w:lang w:eastAsia="ru-RU"/>
    </w:rPr>
  </w:style>
  <w:style w:type="character" w:customStyle="1" w:styleId="ac">
    <w:name w:val="Нижній колонтитул Знак"/>
    <w:link w:val="ab"/>
    <w:uiPriority w:val="99"/>
    <w:semiHidden/>
    <w:locked/>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d">
    <w:name w:val="List Paragraph"/>
    <w:basedOn w:val="a"/>
    <w:uiPriority w:val="34"/>
    <w:qFormat/>
    <w:rsid w:val="005977DE"/>
    <w:pPr>
      <w:ind w:left="720"/>
    </w:pPr>
    <w:rPr>
      <w:sz w:val="28"/>
      <w:szCs w:val="28"/>
      <w:lang w:eastAsia="ru-RU"/>
    </w:rPr>
  </w:style>
  <w:style w:type="paragraph" w:customStyle="1" w:styleId="rvps7">
    <w:name w:val="rvps7"/>
    <w:basedOn w:val="a"/>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e">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f">
    <w:name w:val="header"/>
    <w:basedOn w:val="a"/>
    <w:link w:val="af0"/>
    <w:uiPriority w:val="99"/>
    <w:rsid w:val="003A5C21"/>
    <w:pPr>
      <w:tabs>
        <w:tab w:val="center" w:pos="4677"/>
        <w:tab w:val="right" w:pos="9355"/>
      </w:tabs>
    </w:pPr>
  </w:style>
  <w:style w:type="character" w:customStyle="1" w:styleId="af0">
    <w:name w:val="Верхній колонтитул Знак"/>
    <w:link w:val="af"/>
    <w:uiPriority w:val="99"/>
    <w:semiHidden/>
    <w:locked/>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1">
    <w:name w:val="Balloon Text"/>
    <w:basedOn w:val="a"/>
    <w:link w:val="af2"/>
    <w:uiPriority w:val="99"/>
    <w:semiHidden/>
    <w:rsid w:val="001A36AF"/>
    <w:rPr>
      <w:rFonts w:ascii="Tahoma" w:hAnsi="Tahoma" w:cs="Tahoma"/>
      <w:sz w:val="16"/>
      <w:szCs w:val="16"/>
    </w:rPr>
  </w:style>
  <w:style w:type="character" w:customStyle="1" w:styleId="af2">
    <w:name w:val="Текст у виносці Знак"/>
    <w:link w:val="af1"/>
    <w:uiPriority w:val="99"/>
    <w:semiHidden/>
    <w:locked/>
    <w:rsid w:val="001A36AF"/>
    <w:rPr>
      <w:rFonts w:ascii="Tahoma" w:hAnsi="Tahoma" w:cs="Times New Roman"/>
      <w:sz w:val="16"/>
    </w:rPr>
  </w:style>
  <w:style w:type="character" w:customStyle="1" w:styleId="a8">
    <w:name w:val="Нормальний текст Знак"/>
    <w:link w:val="a7"/>
    <w:uiPriority w:val="99"/>
    <w:locked/>
    <w:rsid w:val="007D54F9"/>
    <w:rPr>
      <w:rFonts w:ascii="Antiqua" w:hAnsi="Antiqua"/>
      <w:sz w:val="26"/>
      <w:lang w:eastAsia="ru-RU"/>
    </w:rPr>
  </w:style>
  <w:style w:type="paragraph" w:customStyle="1" w:styleId="tj">
    <w:name w:val="tj"/>
    <w:basedOn w:val="a"/>
    <w:rsid w:val="00AC3647"/>
    <w:pPr>
      <w:spacing w:before="100" w:beforeAutospacing="1" w:after="100" w:afterAutospacing="1"/>
    </w:pPr>
  </w:style>
  <w:style w:type="character" w:customStyle="1" w:styleId="rvts37">
    <w:name w:val="rvts37"/>
    <w:basedOn w:val="a0"/>
    <w:rsid w:val="0074474E"/>
  </w:style>
  <w:style w:type="character" w:customStyle="1" w:styleId="15">
    <w:name w:val="Неразрешенное упоминание1"/>
    <w:basedOn w:val="a0"/>
    <w:uiPriority w:val="99"/>
    <w:semiHidden/>
    <w:unhideWhenUsed/>
    <w:rsid w:val="008D473F"/>
    <w:rPr>
      <w:color w:val="605E5C"/>
      <w:shd w:val="clear" w:color="auto" w:fill="E1DFDD"/>
    </w:rPr>
  </w:style>
  <w:style w:type="character" w:customStyle="1" w:styleId="UnresolvedMention">
    <w:name w:val="Unresolved Mention"/>
    <w:basedOn w:val="a0"/>
    <w:uiPriority w:val="99"/>
    <w:semiHidden/>
    <w:unhideWhenUsed/>
    <w:rsid w:val="007A7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08443">
      <w:bodyDiv w:val="1"/>
      <w:marLeft w:val="0"/>
      <w:marRight w:val="0"/>
      <w:marTop w:val="0"/>
      <w:marBottom w:val="0"/>
      <w:divBdr>
        <w:top w:val="none" w:sz="0" w:space="0" w:color="auto"/>
        <w:left w:val="none" w:sz="0" w:space="0" w:color="auto"/>
        <w:bottom w:val="none" w:sz="0" w:space="0" w:color="auto"/>
        <w:right w:val="none" w:sz="0" w:space="0" w:color="auto"/>
      </w:divBdr>
      <w:divsChild>
        <w:div w:id="2074036539">
          <w:marLeft w:val="0"/>
          <w:marRight w:val="0"/>
          <w:marTop w:val="0"/>
          <w:marBottom w:val="0"/>
          <w:divBdr>
            <w:top w:val="none" w:sz="0" w:space="0" w:color="auto"/>
            <w:left w:val="none" w:sz="0" w:space="0" w:color="auto"/>
            <w:bottom w:val="none" w:sz="0" w:space="0" w:color="auto"/>
            <w:right w:val="none" w:sz="0" w:space="0" w:color="auto"/>
          </w:divBdr>
          <w:divsChild>
            <w:div w:id="486478636">
              <w:marLeft w:val="0"/>
              <w:marRight w:val="0"/>
              <w:marTop w:val="0"/>
              <w:marBottom w:val="0"/>
              <w:divBdr>
                <w:top w:val="none" w:sz="0" w:space="0" w:color="auto"/>
                <w:left w:val="none" w:sz="0" w:space="0" w:color="auto"/>
                <w:bottom w:val="none" w:sz="0" w:space="0" w:color="auto"/>
                <w:right w:val="none" w:sz="0" w:space="0" w:color="auto"/>
              </w:divBdr>
              <w:divsChild>
                <w:div w:id="2129813054">
                  <w:marLeft w:val="-225"/>
                  <w:marRight w:val="-225"/>
                  <w:marTop w:val="0"/>
                  <w:marBottom w:val="0"/>
                  <w:divBdr>
                    <w:top w:val="none" w:sz="0" w:space="0" w:color="auto"/>
                    <w:left w:val="none" w:sz="0" w:space="0" w:color="auto"/>
                    <w:bottom w:val="none" w:sz="0" w:space="0" w:color="auto"/>
                    <w:right w:val="none" w:sz="0" w:space="0" w:color="auto"/>
                  </w:divBdr>
                  <w:divsChild>
                    <w:div w:id="313685677">
                      <w:marLeft w:val="0"/>
                      <w:marRight w:val="0"/>
                      <w:marTop w:val="0"/>
                      <w:marBottom w:val="0"/>
                      <w:divBdr>
                        <w:top w:val="none" w:sz="0" w:space="0" w:color="auto"/>
                        <w:left w:val="none" w:sz="0" w:space="0" w:color="auto"/>
                        <w:bottom w:val="none" w:sz="0" w:space="0" w:color="auto"/>
                        <w:right w:val="none" w:sz="0" w:space="0" w:color="auto"/>
                      </w:divBdr>
                      <w:divsChild>
                        <w:div w:id="1983383653">
                          <w:marLeft w:val="0"/>
                          <w:marRight w:val="0"/>
                          <w:marTop w:val="0"/>
                          <w:marBottom w:val="0"/>
                          <w:divBdr>
                            <w:top w:val="none" w:sz="0" w:space="0" w:color="auto"/>
                            <w:left w:val="none" w:sz="0" w:space="0" w:color="auto"/>
                            <w:bottom w:val="none" w:sz="0" w:space="0" w:color="auto"/>
                            <w:right w:val="none" w:sz="0" w:space="0" w:color="auto"/>
                          </w:divBdr>
                          <w:divsChild>
                            <w:div w:id="787314789">
                              <w:marLeft w:val="-225"/>
                              <w:marRight w:val="-225"/>
                              <w:marTop w:val="0"/>
                              <w:marBottom w:val="0"/>
                              <w:divBdr>
                                <w:top w:val="none" w:sz="0" w:space="0" w:color="auto"/>
                                <w:left w:val="none" w:sz="0" w:space="0" w:color="auto"/>
                                <w:bottom w:val="none" w:sz="0" w:space="0" w:color="auto"/>
                                <w:right w:val="none" w:sz="0" w:space="0" w:color="auto"/>
                              </w:divBdr>
                              <w:divsChild>
                                <w:div w:id="2119448514">
                                  <w:marLeft w:val="0"/>
                                  <w:marRight w:val="0"/>
                                  <w:marTop w:val="0"/>
                                  <w:marBottom w:val="0"/>
                                  <w:divBdr>
                                    <w:top w:val="none" w:sz="0" w:space="0" w:color="auto"/>
                                    <w:left w:val="none" w:sz="0" w:space="0" w:color="auto"/>
                                    <w:bottom w:val="none" w:sz="0" w:space="0" w:color="auto"/>
                                    <w:right w:val="none" w:sz="0" w:space="0" w:color="auto"/>
                                  </w:divBdr>
                                  <w:divsChild>
                                    <w:div w:id="476841280">
                                      <w:marLeft w:val="0"/>
                                      <w:marRight w:val="0"/>
                                      <w:marTop w:val="0"/>
                                      <w:marBottom w:val="0"/>
                                      <w:divBdr>
                                        <w:top w:val="none" w:sz="0" w:space="0" w:color="auto"/>
                                        <w:left w:val="none" w:sz="0" w:space="0" w:color="auto"/>
                                        <w:bottom w:val="none" w:sz="0" w:space="0" w:color="auto"/>
                                        <w:right w:val="none" w:sz="0" w:space="0" w:color="auto"/>
                                      </w:divBdr>
                                      <w:divsChild>
                                        <w:div w:id="18881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029853">
      <w:bodyDiv w:val="1"/>
      <w:marLeft w:val="0"/>
      <w:marRight w:val="0"/>
      <w:marTop w:val="0"/>
      <w:marBottom w:val="0"/>
      <w:divBdr>
        <w:top w:val="none" w:sz="0" w:space="0" w:color="auto"/>
        <w:left w:val="none" w:sz="0" w:space="0" w:color="auto"/>
        <w:bottom w:val="none" w:sz="0" w:space="0" w:color="auto"/>
        <w:right w:val="none" w:sz="0" w:space="0" w:color="auto"/>
      </w:divBdr>
    </w:div>
    <w:div w:id="539513572">
      <w:bodyDiv w:val="1"/>
      <w:marLeft w:val="0"/>
      <w:marRight w:val="0"/>
      <w:marTop w:val="0"/>
      <w:marBottom w:val="0"/>
      <w:divBdr>
        <w:top w:val="none" w:sz="0" w:space="0" w:color="auto"/>
        <w:left w:val="none" w:sz="0" w:space="0" w:color="auto"/>
        <w:bottom w:val="none" w:sz="0" w:space="0" w:color="auto"/>
        <w:right w:val="none" w:sz="0" w:space="0" w:color="auto"/>
      </w:divBdr>
      <w:divsChild>
        <w:div w:id="1440875888">
          <w:marLeft w:val="0"/>
          <w:marRight w:val="0"/>
          <w:marTop w:val="0"/>
          <w:marBottom w:val="0"/>
          <w:divBdr>
            <w:top w:val="none" w:sz="0" w:space="0" w:color="auto"/>
            <w:left w:val="none" w:sz="0" w:space="0" w:color="auto"/>
            <w:bottom w:val="none" w:sz="0" w:space="0" w:color="auto"/>
            <w:right w:val="none" w:sz="0" w:space="0" w:color="auto"/>
          </w:divBdr>
          <w:divsChild>
            <w:div w:id="1745683362">
              <w:marLeft w:val="0"/>
              <w:marRight w:val="0"/>
              <w:marTop w:val="0"/>
              <w:marBottom w:val="0"/>
              <w:divBdr>
                <w:top w:val="none" w:sz="0" w:space="0" w:color="auto"/>
                <w:left w:val="none" w:sz="0" w:space="0" w:color="auto"/>
                <w:bottom w:val="none" w:sz="0" w:space="0" w:color="auto"/>
                <w:right w:val="none" w:sz="0" w:space="0" w:color="auto"/>
              </w:divBdr>
              <w:divsChild>
                <w:div w:id="1823934657">
                  <w:marLeft w:val="-225"/>
                  <w:marRight w:val="-225"/>
                  <w:marTop w:val="0"/>
                  <w:marBottom w:val="0"/>
                  <w:divBdr>
                    <w:top w:val="none" w:sz="0" w:space="0" w:color="auto"/>
                    <w:left w:val="none" w:sz="0" w:space="0" w:color="auto"/>
                    <w:bottom w:val="none" w:sz="0" w:space="0" w:color="auto"/>
                    <w:right w:val="none" w:sz="0" w:space="0" w:color="auto"/>
                  </w:divBdr>
                  <w:divsChild>
                    <w:div w:id="2084180109">
                      <w:marLeft w:val="0"/>
                      <w:marRight w:val="0"/>
                      <w:marTop w:val="0"/>
                      <w:marBottom w:val="0"/>
                      <w:divBdr>
                        <w:top w:val="none" w:sz="0" w:space="0" w:color="auto"/>
                        <w:left w:val="none" w:sz="0" w:space="0" w:color="auto"/>
                        <w:bottom w:val="none" w:sz="0" w:space="0" w:color="auto"/>
                        <w:right w:val="none" w:sz="0" w:space="0" w:color="auto"/>
                      </w:divBdr>
                      <w:divsChild>
                        <w:div w:id="124811082">
                          <w:marLeft w:val="0"/>
                          <w:marRight w:val="0"/>
                          <w:marTop w:val="0"/>
                          <w:marBottom w:val="0"/>
                          <w:divBdr>
                            <w:top w:val="none" w:sz="0" w:space="0" w:color="auto"/>
                            <w:left w:val="none" w:sz="0" w:space="0" w:color="auto"/>
                            <w:bottom w:val="none" w:sz="0" w:space="0" w:color="auto"/>
                            <w:right w:val="none" w:sz="0" w:space="0" w:color="auto"/>
                          </w:divBdr>
                          <w:divsChild>
                            <w:div w:id="1127817038">
                              <w:marLeft w:val="-225"/>
                              <w:marRight w:val="-225"/>
                              <w:marTop w:val="0"/>
                              <w:marBottom w:val="0"/>
                              <w:divBdr>
                                <w:top w:val="none" w:sz="0" w:space="0" w:color="auto"/>
                                <w:left w:val="none" w:sz="0" w:space="0" w:color="auto"/>
                                <w:bottom w:val="none" w:sz="0" w:space="0" w:color="auto"/>
                                <w:right w:val="none" w:sz="0" w:space="0" w:color="auto"/>
                              </w:divBdr>
                              <w:divsChild>
                                <w:div w:id="1181891800">
                                  <w:marLeft w:val="0"/>
                                  <w:marRight w:val="0"/>
                                  <w:marTop w:val="0"/>
                                  <w:marBottom w:val="0"/>
                                  <w:divBdr>
                                    <w:top w:val="none" w:sz="0" w:space="0" w:color="auto"/>
                                    <w:left w:val="none" w:sz="0" w:space="0" w:color="auto"/>
                                    <w:bottom w:val="none" w:sz="0" w:space="0" w:color="auto"/>
                                    <w:right w:val="none" w:sz="0" w:space="0" w:color="auto"/>
                                  </w:divBdr>
                                  <w:divsChild>
                                    <w:div w:id="1351681920">
                                      <w:marLeft w:val="0"/>
                                      <w:marRight w:val="0"/>
                                      <w:marTop w:val="0"/>
                                      <w:marBottom w:val="0"/>
                                      <w:divBdr>
                                        <w:top w:val="none" w:sz="0" w:space="0" w:color="auto"/>
                                        <w:left w:val="none" w:sz="0" w:space="0" w:color="auto"/>
                                        <w:bottom w:val="none" w:sz="0" w:space="0" w:color="auto"/>
                                        <w:right w:val="none" w:sz="0" w:space="0" w:color="auto"/>
                                      </w:divBdr>
                                      <w:divsChild>
                                        <w:div w:id="105520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500972">
      <w:bodyDiv w:val="1"/>
      <w:marLeft w:val="0"/>
      <w:marRight w:val="0"/>
      <w:marTop w:val="0"/>
      <w:marBottom w:val="0"/>
      <w:divBdr>
        <w:top w:val="none" w:sz="0" w:space="0" w:color="auto"/>
        <w:left w:val="none" w:sz="0" w:space="0" w:color="auto"/>
        <w:bottom w:val="none" w:sz="0" w:space="0" w:color="auto"/>
        <w:right w:val="none" w:sz="0" w:space="0" w:color="auto"/>
      </w:divBdr>
    </w:div>
    <w:div w:id="619579688">
      <w:bodyDiv w:val="1"/>
      <w:marLeft w:val="0"/>
      <w:marRight w:val="0"/>
      <w:marTop w:val="0"/>
      <w:marBottom w:val="0"/>
      <w:divBdr>
        <w:top w:val="none" w:sz="0" w:space="0" w:color="auto"/>
        <w:left w:val="none" w:sz="0" w:space="0" w:color="auto"/>
        <w:bottom w:val="none" w:sz="0" w:space="0" w:color="auto"/>
        <w:right w:val="none" w:sz="0" w:space="0" w:color="auto"/>
      </w:divBdr>
      <w:divsChild>
        <w:div w:id="2093234868">
          <w:marLeft w:val="0"/>
          <w:marRight w:val="0"/>
          <w:marTop w:val="0"/>
          <w:marBottom w:val="0"/>
          <w:divBdr>
            <w:top w:val="none" w:sz="0" w:space="0" w:color="auto"/>
            <w:left w:val="none" w:sz="0" w:space="0" w:color="auto"/>
            <w:bottom w:val="none" w:sz="0" w:space="0" w:color="auto"/>
            <w:right w:val="none" w:sz="0" w:space="0" w:color="auto"/>
          </w:divBdr>
          <w:divsChild>
            <w:div w:id="2067756744">
              <w:marLeft w:val="0"/>
              <w:marRight w:val="0"/>
              <w:marTop w:val="0"/>
              <w:marBottom w:val="0"/>
              <w:divBdr>
                <w:top w:val="none" w:sz="0" w:space="0" w:color="auto"/>
                <w:left w:val="none" w:sz="0" w:space="0" w:color="auto"/>
                <w:bottom w:val="none" w:sz="0" w:space="0" w:color="auto"/>
                <w:right w:val="none" w:sz="0" w:space="0" w:color="auto"/>
              </w:divBdr>
              <w:divsChild>
                <w:div w:id="1304851841">
                  <w:marLeft w:val="-225"/>
                  <w:marRight w:val="-225"/>
                  <w:marTop w:val="0"/>
                  <w:marBottom w:val="0"/>
                  <w:divBdr>
                    <w:top w:val="none" w:sz="0" w:space="0" w:color="auto"/>
                    <w:left w:val="none" w:sz="0" w:space="0" w:color="auto"/>
                    <w:bottom w:val="none" w:sz="0" w:space="0" w:color="auto"/>
                    <w:right w:val="none" w:sz="0" w:space="0" w:color="auto"/>
                  </w:divBdr>
                  <w:divsChild>
                    <w:div w:id="565801153">
                      <w:marLeft w:val="0"/>
                      <w:marRight w:val="0"/>
                      <w:marTop w:val="0"/>
                      <w:marBottom w:val="0"/>
                      <w:divBdr>
                        <w:top w:val="none" w:sz="0" w:space="0" w:color="auto"/>
                        <w:left w:val="none" w:sz="0" w:space="0" w:color="auto"/>
                        <w:bottom w:val="none" w:sz="0" w:space="0" w:color="auto"/>
                        <w:right w:val="none" w:sz="0" w:space="0" w:color="auto"/>
                      </w:divBdr>
                      <w:divsChild>
                        <w:div w:id="777069448">
                          <w:marLeft w:val="0"/>
                          <w:marRight w:val="0"/>
                          <w:marTop w:val="0"/>
                          <w:marBottom w:val="0"/>
                          <w:divBdr>
                            <w:top w:val="none" w:sz="0" w:space="0" w:color="auto"/>
                            <w:left w:val="none" w:sz="0" w:space="0" w:color="auto"/>
                            <w:bottom w:val="none" w:sz="0" w:space="0" w:color="auto"/>
                            <w:right w:val="none" w:sz="0" w:space="0" w:color="auto"/>
                          </w:divBdr>
                          <w:divsChild>
                            <w:div w:id="454569134">
                              <w:marLeft w:val="-225"/>
                              <w:marRight w:val="-225"/>
                              <w:marTop w:val="0"/>
                              <w:marBottom w:val="0"/>
                              <w:divBdr>
                                <w:top w:val="none" w:sz="0" w:space="0" w:color="auto"/>
                                <w:left w:val="none" w:sz="0" w:space="0" w:color="auto"/>
                                <w:bottom w:val="none" w:sz="0" w:space="0" w:color="auto"/>
                                <w:right w:val="none" w:sz="0" w:space="0" w:color="auto"/>
                              </w:divBdr>
                              <w:divsChild>
                                <w:div w:id="1127889568">
                                  <w:marLeft w:val="0"/>
                                  <w:marRight w:val="0"/>
                                  <w:marTop w:val="0"/>
                                  <w:marBottom w:val="0"/>
                                  <w:divBdr>
                                    <w:top w:val="none" w:sz="0" w:space="0" w:color="auto"/>
                                    <w:left w:val="none" w:sz="0" w:space="0" w:color="auto"/>
                                    <w:bottom w:val="none" w:sz="0" w:space="0" w:color="auto"/>
                                    <w:right w:val="none" w:sz="0" w:space="0" w:color="auto"/>
                                  </w:divBdr>
                                  <w:divsChild>
                                    <w:div w:id="887106358">
                                      <w:marLeft w:val="0"/>
                                      <w:marRight w:val="0"/>
                                      <w:marTop w:val="0"/>
                                      <w:marBottom w:val="0"/>
                                      <w:divBdr>
                                        <w:top w:val="none" w:sz="0" w:space="0" w:color="auto"/>
                                        <w:left w:val="none" w:sz="0" w:space="0" w:color="auto"/>
                                        <w:bottom w:val="none" w:sz="0" w:space="0" w:color="auto"/>
                                        <w:right w:val="none" w:sz="0" w:space="0" w:color="auto"/>
                                      </w:divBdr>
                                      <w:divsChild>
                                        <w:div w:id="43505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4487805">
      <w:bodyDiv w:val="1"/>
      <w:marLeft w:val="0"/>
      <w:marRight w:val="0"/>
      <w:marTop w:val="0"/>
      <w:marBottom w:val="0"/>
      <w:divBdr>
        <w:top w:val="none" w:sz="0" w:space="0" w:color="auto"/>
        <w:left w:val="none" w:sz="0" w:space="0" w:color="auto"/>
        <w:bottom w:val="none" w:sz="0" w:space="0" w:color="auto"/>
        <w:right w:val="none" w:sz="0" w:space="0" w:color="auto"/>
      </w:divBdr>
    </w:div>
    <w:div w:id="836384819">
      <w:bodyDiv w:val="1"/>
      <w:marLeft w:val="0"/>
      <w:marRight w:val="0"/>
      <w:marTop w:val="0"/>
      <w:marBottom w:val="0"/>
      <w:divBdr>
        <w:top w:val="none" w:sz="0" w:space="0" w:color="auto"/>
        <w:left w:val="none" w:sz="0" w:space="0" w:color="auto"/>
        <w:bottom w:val="none" w:sz="0" w:space="0" w:color="auto"/>
        <w:right w:val="none" w:sz="0" w:space="0" w:color="auto"/>
      </w:divBdr>
    </w:div>
    <w:div w:id="845480378">
      <w:bodyDiv w:val="1"/>
      <w:marLeft w:val="0"/>
      <w:marRight w:val="0"/>
      <w:marTop w:val="0"/>
      <w:marBottom w:val="0"/>
      <w:divBdr>
        <w:top w:val="none" w:sz="0" w:space="0" w:color="auto"/>
        <w:left w:val="none" w:sz="0" w:space="0" w:color="auto"/>
        <w:bottom w:val="none" w:sz="0" w:space="0" w:color="auto"/>
        <w:right w:val="none" w:sz="0" w:space="0" w:color="auto"/>
      </w:divBdr>
    </w:div>
    <w:div w:id="886258680">
      <w:bodyDiv w:val="1"/>
      <w:marLeft w:val="0"/>
      <w:marRight w:val="0"/>
      <w:marTop w:val="0"/>
      <w:marBottom w:val="0"/>
      <w:divBdr>
        <w:top w:val="none" w:sz="0" w:space="0" w:color="auto"/>
        <w:left w:val="none" w:sz="0" w:space="0" w:color="auto"/>
        <w:bottom w:val="none" w:sz="0" w:space="0" w:color="auto"/>
        <w:right w:val="none" w:sz="0" w:space="0" w:color="auto"/>
      </w:divBdr>
    </w:div>
    <w:div w:id="899092091">
      <w:bodyDiv w:val="1"/>
      <w:marLeft w:val="0"/>
      <w:marRight w:val="0"/>
      <w:marTop w:val="0"/>
      <w:marBottom w:val="0"/>
      <w:divBdr>
        <w:top w:val="none" w:sz="0" w:space="0" w:color="auto"/>
        <w:left w:val="none" w:sz="0" w:space="0" w:color="auto"/>
        <w:bottom w:val="none" w:sz="0" w:space="0" w:color="auto"/>
        <w:right w:val="none" w:sz="0" w:space="0" w:color="auto"/>
      </w:divBdr>
    </w:div>
    <w:div w:id="948580949">
      <w:bodyDiv w:val="1"/>
      <w:marLeft w:val="0"/>
      <w:marRight w:val="0"/>
      <w:marTop w:val="0"/>
      <w:marBottom w:val="0"/>
      <w:divBdr>
        <w:top w:val="none" w:sz="0" w:space="0" w:color="auto"/>
        <w:left w:val="none" w:sz="0" w:space="0" w:color="auto"/>
        <w:bottom w:val="none" w:sz="0" w:space="0" w:color="auto"/>
        <w:right w:val="none" w:sz="0" w:space="0" w:color="auto"/>
      </w:divBdr>
    </w:div>
    <w:div w:id="951977718">
      <w:bodyDiv w:val="1"/>
      <w:marLeft w:val="0"/>
      <w:marRight w:val="0"/>
      <w:marTop w:val="0"/>
      <w:marBottom w:val="0"/>
      <w:divBdr>
        <w:top w:val="none" w:sz="0" w:space="0" w:color="auto"/>
        <w:left w:val="none" w:sz="0" w:space="0" w:color="auto"/>
        <w:bottom w:val="none" w:sz="0" w:space="0" w:color="auto"/>
        <w:right w:val="none" w:sz="0" w:space="0" w:color="auto"/>
      </w:divBdr>
    </w:div>
    <w:div w:id="971639179">
      <w:marLeft w:val="0"/>
      <w:marRight w:val="0"/>
      <w:marTop w:val="0"/>
      <w:marBottom w:val="0"/>
      <w:divBdr>
        <w:top w:val="none" w:sz="0" w:space="0" w:color="auto"/>
        <w:left w:val="none" w:sz="0" w:space="0" w:color="auto"/>
        <w:bottom w:val="none" w:sz="0" w:space="0" w:color="auto"/>
        <w:right w:val="none" w:sz="0" w:space="0" w:color="auto"/>
      </w:divBdr>
    </w:div>
    <w:div w:id="971639180">
      <w:marLeft w:val="0"/>
      <w:marRight w:val="0"/>
      <w:marTop w:val="0"/>
      <w:marBottom w:val="0"/>
      <w:divBdr>
        <w:top w:val="none" w:sz="0" w:space="0" w:color="auto"/>
        <w:left w:val="none" w:sz="0" w:space="0" w:color="auto"/>
        <w:bottom w:val="none" w:sz="0" w:space="0" w:color="auto"/>
        <w:right w:val="none" w:sz="0" w:space="0" w:color="auto"/>
      </w:divBdr>
    </w:div>
    <w:div w:id="971639181">
      <w:marLeft w:val="0"/>
      <w:marRight w:val="0"/>
      <w:marTop w:val="0"/>
      <w:marBottom w:val="0"/>
      <w:divBdr>
        <w:top w:val="none" w:sz="0" w:space="0" w:color="auto"/>
        <w:left w:val="none" w:sz="0" w:space="0" w:color="auto"/>
        <w:bottom w:val="none" w:sz="0" w:space="0" w:color="auto"/>
        <w:right w:val="none" w:sz="0" w:space="0" w:color="auto"/>
      </w:divBdr>
    </w:div>
    <w:div w:id="971639182">
      <w:marLeft w:val="0"/>
      <w:marRight w:val="0"/>
      <w:marTop w:val="0"/>
      <w:marBottom w:val="0"/>
      <w:divBdr>
        <w:top w:val="none" w:sz="0" w:space="0" w:color="auto"/>
        <w:left w:val="none" w:sz="0" w:space="0" w:color="auto"/>
        <w:bottom w:val="none" w:sz="0" w:space="0" w:color="auto"/>
        <w:right w:val="none" w:sz="0" w:space="0" w:color="auto"/>
      </w:divBdr>
    </w:div>
    <w:div w:id="971639185">
      <w:marLeft w:val="0"/>
      <w:marRight w:val="0"/>
      <w:marTop w:val="0"/>
      <w:marBottom w:val="0"/>
      <w:divBdr>
        <w:top w:val="none" w:sz="0" w:space="0" w:color="auto"/>
        <w:left w:val="none" w:sz="0" w:space="0" w:color="auto"/>
        <w:bottom w:val="none" w:sz="0" w:space="0" w:color="auto"/>
        <w:right w:val="none" w:sz="0" w:space="0" w:color="auto"/>
      </w:divBdr>
    </w:div>
    <w:div w:id="971639186">
      <w:marLeft w:val="0"/>
      <w:marRight w:val="0"/>
      <w:marTop w:val="0"/>
      <w:marBottom w:val="0"/>
      <w:divBdr>
        <w:top w:val="none" w:sz="0" w:space="0" w:color="auto"/>
        <w:left w:val="none" w:sz="0" w:space="0" w:color="auto"/>
        <w:bottom w:val="none" w:sz="0" w:space="0" w:color="auto"/>
        <w:right w:val="none" w:sz="0" w:space="0" w:color="auto"/>
      </w:divBdr>
    </w:div>
    <w:div w:id="971639187">
      <w:marLeft w:val="0"/>
      <w:marRight w:val="0"/>
      <w:marTop w:val="0"/>
      <w:marBottom w:val="0"/>
      <w:divBdr>
        <w:top w:val="none" w:sz="0" w:space="0" w:color="auto"/>
        <w:left w:val="none" w:sz="0" w:space="0" w:color="auto"/>
        <w:bottom w:val="none" w:sz="0" w:space="0" w:color="auto"/>
        <w:right w:val="none" w:sz="0" w:space="0" w:color="auto"/>
      </w:divBdr>
    </w:div>
    <w:div w:id="971639188">
      <w:marLeft w:val="0"/>
      <w:marRight w:val="0"/>
      <w:marTop w:val="0"/>
      <w:marBottom w:val="0"/>
      <w:divBdr>
        <w:top w:val="none" w:sz="0" w:space="0" w:color="auto"/>
        <w:left w:val="none" w:sz="0" w:space="0" w:color="auto"/>
        <w:bottom w:val="none" w:sz="0" w:space="0" w:color="auto"/>
        <w:right w:val="none" w:sz="0" w:space="0" w:color="auto"/>
      </w:divBdr>
    </w:div>
    <w:div w:id="971639189">
      <w:marLeft w:val="0"/>
      <w:marRight w:val="0"/>
      <w:marTop w:val="0"/>
      <w:marBottom w:val="0"/>
      <w:divBdr>
        <w:top w:val="none" w:sz="0" w:space="0" w:color="auto"/>
        <w:left w:val="none" w:sz="0" w:space="0" w:color="auto"/>
        <w:bottom w:val="none" w:sz="0" w:space="0" w:color="auto"/>
        <w:right w:val="none" w:sz="0" w:space="0" w:color="auto"/>
      </w:divBdr>
    </w:div>
    <w:div w:id="971639190">
      <w:marLeft w:val="0"/>
      <w:marRight w:val="0"/>
      <w:marTop w:val="0"/>
      <w:marBottom w:val="0"/>
      <w:divBdr>
        <w:top w:val="none" w:sz="0" w:space="0" w:color="auto"/>
        <w:left w:val="none" w:sz="0" w:space="0" w:color="auto"/>
        <w:bottom w:val="none" w:sz="0" w:space="0" w:color="auto"/>
        <w:right w:val="none" w:sz="0" w:space="0" w:color="auto"/>
      </w:divBdr>
    </w:div>
    <w:div w:id="971639191">
      <w:marLeft w:val="0"/>
      <w:marRight w:val="0"/>
      <w:marTop w:val="0"/>
      <w:marBottom w:val="0"/>
      <w:divBdr>
        <w:top w:val="none" w:sz="0" w:space="0" w:color="auto"/>
        <w:left w:val="none" w:sz="0" w:space="0" w:color="auto"/>
        <w:bottom w:val="none" w:sz="0" w:space="0" w:color="auto"/>
        <w:right w:val="none" w:sz="0" w:space="0" w:color="auto"/>
      </w:divBdr>
    </w:div>
    <w:div w:id="971639192">
      <w:marLeft w:val="0"/>
      <w:marRight w:val="0"/>
      <w:marTop w:val="0"/>
      <w:marBottom w:val="0"/>
      <w:divBdr>
        <w:top w:val="none" w:sz="0" w:space="0" w:color="auto"/>
        <w:left w:val="none" w:sz="0" w:space="0" w:color="auto"/>
        <w:bottom w:val="none" w:sz="0" w:space="0" w:color="auto"/>
        <w:right w:val="none" w:sz="0" w:space="0" w:color="auto"/>
      </w:divBdr>
    </w:div>
    <w:div w:id="971639193">
      <w:marLeft w:val="0"/>
      <w:marRight w:val="0"/>
      <w:marTop w:val="0"/>
      <w:marBottom w:val="0"/>
      <w:divBdr>
        <w:top w:val="none" w:sz="0" w:space="0" w:color="auto"/>
        <w:left w:val="none" w:sz="0" w:space="0" w:color="auto"/>
        <w:bottom w:val="none" w:sz="0" w:space="0" w:color="auto"/>
        <w:right w:val="none" w:sz="0" w:space="0" w:color="auto"/>
      </w:divBdr>
    </w:div>
    <w:div w:id="971639195">
      <w:marLeft w:val="0"/>
      <w:marRight w:val="0"/>
      <w:marTop w:val="0"/>
      <w:marBottom w:val="0"/>
      <w:divBdr>
        <w:top w:val="none" w:sz="0" w:space="0" w:color="auto"/>
        <w:left w:val="none" w:sz="0" w:space="0" w:color="auto"/>
        <w:bottom w:val="none" w:sz="0" w:space="0" w:color="auto"/>
        <w:right w:val="none" w:sz="0" w:space="0" w:color="auto"/>
      </w:divBdr>
      <w:divsChild>
        <w:div w:id="971639183">
          <w:marLeft w:val="0"/>
          <w:marRight w:val="0"/>
          <w:marTop w:val="0"/>
          <w:marBottom w:val="0"/>
          <w:divBdr>
            <w:top w:val="none" w:sz="0" w:space="0" w:color="auto"/>
            <w:left w:val="none" w:sz="0" w:space="0" w:color="auto"/>
            <w:bottom w:val="none" w:sz="0" w:space="0" w:color="auto"/>
            <w:right w:val="none" w:sz="0" w:space="0" w:color="auto"/>
          </w:divBdr>
          <w:divsChild>
            <w:div w:id="971639202">
              <w:marLeft w:val="0"/>
              <w:marRight w:val="0"/>
              <w:marTop w:val="0"/>
              <w:marBottom w:val="0"/>
              <w:divBdr>
                <w:top w:val="none" w:sz="0" w:space="0" w:color="auto"/>
                <w:left w:val="single" w:sz="6" w:space="0" w:color="CCCCCC"/>
                <w:bottom w:val="none" w:sz="0" w:space="0" w:color="auto"/>
                <w:right w:val="single" w:sz="6" w:space="0" w:color="CCCCCC"/>
              </w:divBdr>
              <w:divsChild>
                <w:div w:id="971639194">
                  <w:marLeft w:val="-225"/>
                  <w:marRight w:val="-225"/>
                  <w:marTop w:val="0"/>
                  <w:marBottom w:val="0"/>
                  <w:divBdr>
                    <w:top w:val="none" w:sz="0" w:space="0" w:color="auto"/>
                    <w:left w:val="none" w:sz="0" w:space="0" w:color="auto"/>
                    <w:bottom w:val="none" w:sz="0" w:space="0" w:color="auto"/>
                    <w:right w:val="none" w:sz="0" w:space="0" w:color="auto"/>
                  </w:divBdr>
                  <w:divsChild>
                    <w:div w:id="971639184">
                      <w:marLeft w:val="0"/>
                      <w:marRight w:val="0"/>
                      <w:marTop w:val="0"/>
                      <w:marBottom w:val="0"/>
                      <w:divBdr>
                        <w:top w:val="none" w:sz="0" w:space="0" w:color="auto"/>
                        <w:left w:val="none" w:sz="0" w:space="0" w:color="auto"/>
                        <w:bottom w:val="none" w:sz="0" w:space="0" w:color="auto"/>
                        <w:right w:val="none" w:sz="0" w:space="0" w:color="auto"/>
                      </w:divBdr>
                      <w:divsChild>
                        <w:div w:id="971639200">
                          <w:marLeft w:val="0"/>
                          <w:marRight w:val="0"/>
                          <w:marTop w:val="0"/>
                          <w:marBottom w:val="0"/>
                          <w:divBdr>
                            <w:top w:val="none" w:sz="0" w:space="0" w:color="auto"/>
                            <w:left w:val="none" w:sz="0" w:space="0" w:color="auto"/>
                            <w:bottom w:val="none" w:sz="0" w:space="0" w:color="auto"/>
                            <w:right w:val="none" w:sz="0" w:space="0" w:color="auto"/>
                          </w:divBdr>
                          <w:divsChild>
                            <w:div w:id="97163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639203">
      <w:marLeft w:val="0"/>
      <w:marRight w:val="0"/>
      <w:marTop w:val="0"/>
      <w:marBottom w:val="0"/>
      <w:divBdr>
        <w:top w:val="none" w:sz="0" w:space="0" w:color="auto"/>
        <w:left w:val="none" w:sz="0" w:space="0" w:color="auto"/>
        <w:bottom w:val="none" w:sz="0" w:space="0" w:color="auto"/>
        <w:right w:val="none" w:sz="0" w:space="0" w:color="auto"/>
      </w:divBdr>
      <w:divsChild>
        <w:div w:id="971639198">
          <w:marLeft w:val="0"/>
          <w:marRight w:val="0"/>
          <w:marTop w:val="0"/>
          <w:marBottom w:val="0"/>
          <w:divBdr>
            <w:top w:val="none" w:sz="0" w:space="0" w:color="auto"/>
            <w:left w:val="none" w:sz="0" w:space="0" w:color="auto"/>
            <w:bottom w:val="none" w:sz="0" w:space="0" w:color="auto"/>
            <w:right w:val="none" w:sz="0" w:space="0" w:color="auto"/>
          </w:divBdr>
          <w:divsChild>
            <w:div w:id="971639199">
              <w:marLeft w:val="0"/>
              <w:marRight w:val="0"/>
              <w:marTop w:val="0"/>
              <w:marBottom w:val="0"/>
              <w:divBdr>
                <w:top w:val="none" w:sz="0" w:space="0" w:color="auto"/>
                <w:left w:val="single" w:sz="6" w:space="0" w:color="CCCCCC"/>
                <w:bottom w:val="none" w:sz="0" w:space="0" w:color="auto"/>
                <w:right w:val="single" w:sz="6" w:space="0" w:color="CCCCCC"/>
              </w:divBdr>
              <w:divsChild>
                <w:div w:id="971639197">
                  <w:marLeft w:val="-225"/>
                  <w:marRight w:val="-225"/>
                  <w:marTop w:val="0"/>
                  <w:marBottom w:val="0"/>
                  <w:divBdr>
                    <w:top w:val="none" w:sz="0" w:space="0" w:color="auto"/>
                    <w:left w:val="none" w:sz="0" w:space="0" w:color="auto"/>
                    <w:bottom w:val="none" w:sz="0" w:space="0" w:color="auto"/>
                    <w:right w:val="none" w:sz="0" w:space="0" w:color="auto"/>
                  </w:divBdr>
                  <w:divsChild>
                    <w:div w:id="971639196">
                      <w:marLeft w:val="0"/>
                      <w:marRight w:val="0"/>
                      <w:marTop w:val="0"/>
                      <w:marBottom w:val="0"/>
                      <w:divBdr>
                        <w:top w:val="none" w:sz="0" w:space="0" w:color="auto"/>
                        <w:left w:val="none" w:sz="0" w:space="0" w:color="auto"/>
                        <w:bottom w:val="none" w:sz="0" w:space="0" w:color="auto"/>
                        <w:right w:val="none" w:sz="0" w:space="0" w:color="auto"/>
                      </w:divBdr>
                      <w:divsChild>
                        <w:div w:id="971639201">
                          <w:marLeft w:val="0"/>
                          <w:marRight w:val="0"/>
                          <w:marTop w:val="0"/>
                          <w:marBottom w:val="0"/>
                          <w:divBdr>
                            <w:top w:val="none" w:sz="0" w:space="0" w:color="auto"/>
                            <w:left w:val="none" w:sz="0" w:space="0" w:color="auto"/>
                            <w:bottom w:val="none" w:sz="0" w:space="0" w:color="auto"/>
                            <w:right w:val="none" w:sz="0" w:space="0" w:color="auto"/>
                          </w:divBdr>
                          <w:divsChild>
                            <w:div w:id="97163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639206">
      <w:marLeft w:val="0"/>
      <w:marRight w:val="0"/>
      <w:marTop w:val="0"/>
      <w:marBottom w:val="0"/>
      <w:divBdr>
        <w:top w:val="none" w:sz="0" w:space="0" w:color="auto"/>
        <w:left w:val="none" w:sz="0" w:space="0" w:color="auto"/>
        <w:bottom w:val="none" w:sz="0" w:space="0" w:color="auto"/>
        <w:right w:val="none" w:sz="0" w:space="0" w:color="auto"/>
      </w:divBdr>
    </w:div>
    <w:div w:id="1039625445">
      <w:bodyDiv w:val="1"/>
      <w:marLeft w:val="0"/>
      <w:marRight w:val="0"/>
      <w:marTop w:val="0"/>
      <w:marBottom w:val="0"/>
      <w:divBdr>
        <w:top w:val="none" w:sz="0" w:space="0" w:color="auto"/>
        <w:left w:val="none" w:sz="0" w:space="0" w:color="auto"/>
        <w:bottom w:val="none" w:sz="0" w:space="0" w:color="auto"/>
        <w:right w:val="none" w:sz="0" w:space="0" w:color="auto"/>
      </w:divBdr>
      <w:divsChild>
        <w:div w:id="1087732099">
          <w:marLeft w:val="0"/>
          <w:marRight w:val="0"/>
          <w:marTop w:val="0"/>
          <w:marBottom w:val="0"/>
          <w:divBdr>
            <w:top w:val="none" w:sz="0" w:space="0" w:color="auto"/>
            <w:left w:val="none" w:sz="0" w:space="0" w:color="auto"/>
            <w:bottom w:val="none" w:sz="0" w:space="0" w:color="auto"/>
            <w:right w:val="none" w:sz="0" w:space="0" w:color="auto"/>
          </w:divBdr>
          <w:divsChild>
            <w:div w:id="1050031716">
              <w:marLeft w:val="0"/>
              <w:marRight w:val="0"/>
              <w:marTop w:val="0"/>
              <w:marBottom w:val="0"/>
              <w:divBdr>
                <w:top w:val="none" w:sz="0" w:space="0" w:color="auto"/>
                <w:left w:val="none" w:sz="0" w:space="0" w:color="auto"/>
                <w:bottom w:val="none" w:sz="0" w:space="0" w:color="auto"/>
                <w:right w:val="none" w:sz="0" w:space="0" w:color="auto"/>
              </w:divBdr>
              <w:divsChild>
                <w:div w:id="605190090">
                  <w:marLeft w:val="-225"/>
                  <w:marRight w:val="-225"/>
                  <w:marTop w:val="0"/>
                  <w:marBottom w:val="0"/>
                  <w:divBdr>
                    <w:top w:val="none" w:sz="0" w:space="0" w:color="auto"/>
                    <w:left w:val="none" w:sz="0" w:space="0" w:color="auto"/>
                    <w:bottom w:val="none" w:sz="0" w:space="0" w:color="auto"/>
                    <w:right w:val="none" w:sz="0" w:space="0" w:color="auto"/>
                  </w:divBdr>
                  <w:divsChild>
                    <w:div w:id="429619306">
                      <w:marLeft w:val="0"/>
                      <w:marRight w:val="0"/>
                      <w:marTop w:val="0"/>
                      <w:marBottom w:val="0"/>
                      <w:divBdr>
                        <w:top w:val="none" w:sz="0" w:space="0" w:color="auto"/>
                        <w:left w:val="none" w:sz="0" w:space="0" w:color="auto"/>
                        <w:bottom w:val="none" w:sz="0" w:space="0" w:color="auto"/>
                        <w:right w:val="none" w:sz="0" w:space="0" w:color="auto"/>
                      </w:divBdr>
                      <w:divsChild>
                        <w:div w:id="363988609">
                          <w:marLeft w:val="0"/>
                          <w:marRight w:val="0"/>
                          <w:marTop w:val="0"/>
                          <w:marBottom w:val="0"/>
                          <w:divBdr>
                            <w:top w:val="none" w:sz="0" w:space="0" w:color="auto"/>
                            <w:left w:val="none" w:sz="0" w:space="0" w:color="auto"/>
                            <w:bottom w:val="none" w:sz="0" w:space="0" w:color="auto"/>
                            <w:right w:val="none" w:sz="0" w:space="0" w:color="auto"/>
                          </w:divBdr>
                          <w:divsChild>
                            <w:div w:id="1068578313">
                              <w:marLeft w:val="-225"/>
                              <w:marRight w:val="-225"/>
                              <w:marTop w:val="0"/>
                              <w:marBottom w:val="0"/>
                              <w:divBdr>
                                <w:top w:val="none" w:sz="0" w:space="0" w:color="auto"/>
                                <w:left w:val="none" w:sz="0" w:space="0" w:color="auto"/>
                                <w:bottom w:val="none" w:sz="0" w:space="0" w:color="auto"/>
                                <w:right w:val="none" w:sz="0" w:space="0" w:color="auto"/>
                              </w:divBdr>
                              <w:divsChild>
                                <w:div w:id="1780102570">
                                  <w:marLeft w:val="0"/>
                                  <w:marRight w:val="0"/>
                                  <w:marTop w:val="0"/>
                                  <w:marBottom w:val="0"/>
                                  <w:divBdr>
                                    <w:top w:val="none" w:sz="0" w:space="0" w:color="auto"/>
                                    <w:left w:val="none" w:sz="0" w:space="0" w:color="auto"/>
                                    <w:bottom w:val="none" w:sz="0" w:space="0" w:color="auto"/>
                                    <w:right w:val="none" w:sz="0" w:space="0" w:color="auto"/>
                                  </w:divBdr>
                                  <w:divsChild>
                                    <w:div w:id="293146734">
                                      <w:marLeft w:val="0"/>
                                      <w:marRight w:val="0"/>
                                      <w:marTop w:val="0"/>
                                      <w:marBottom w:val="0"/>
                                      <w:divBdr>
                                        <w:top w:val="none" w:sz="0" w:space="0" w:color="auto"/>
                                        <w:left w:val="none" w:sz="0" w:space="0" w:color="auto"/>
                                        <w:bottom w:val="none" w:sz="0" w:space="0" w:color="auto"/>
                                        <w:right w:val="none" w:sz="0" w:space="0" w:color="auto"/>
                                      </w:divBdr>
                                      <w:divsChild>
                                        <w:div w:id="120286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4586643">
      <w:bodyDiv w:val="1"/>
      <w:marLeft w:val="0"/>
      <w:marRight w:val="0"/>
      <w:marTop w:val="0"/>
      <w:marBottom w:val="0"/>
      <w:divBdr>
        <w:top w:val="none" w:sz="0" w:space="0" w:color="auto"/>
        <w:left w:val="none" w:sz="0" w:space="0" w:color="auto"/>
        <w:bottom w:val="none" w:sz="0" w:space="0" w:color="auto"/>
        <w:right w:val="none" w:sz="0" w:space="0" w:color="auto"/>
      </w:divBdr>
      <w:divsChild>
        <w:div w:id="1391612328">
          <w:marLeft w:val="0"/>
          <w:marRight w:val="0"/>
          <w:marTop w:val="0"/>
          <w:marBottom w:val="0"/>
          <w:divBdr>
            <w:top w:val="none" w:sz="0" w:space="0" w:color="auto"/>
            <w:left w:val="none" w:sz="0" w:space="0" w:color="auto"/>
            <w:bottom w:val="none" w:sz="0" w:space="0" w:color="auto"/>
            <w:right w:val="none" w:sz="0" w:space="0" w:color="auto"/>
          </w:divBdr>
          <w:divsChild>
            <w:div w:id="1630932628">
              <w:marLeft w:val="0"/>
              <w:marRight w:val="0"/>
              <w:marTop w:val="0"/>
              <w:marBottom w:val="0"/>
              <w:divBdr>
                <w:top w:val="none" w:sz="0" w:space="0" w:color="auto"/>
                <w:left w:val="none" w:sz="0" w:space="0" w:color="auto"/>
                <w:bottom w:val="none" w:sz="0" w:space="0" w:color="auto"/>
                <w:right w:val="none" w:sz="0" w:space="0" w:color="auto"/>
              </w:divBdr>
              <w:divsChild>
                <w:div w:id="1785660022">
                  <w:marLeft w:val="-225"/>
                  <w:marRight w:val="-225"/>
                  <w:marTop w:val="0"/>
                  <w:marBottom w:val="0"/>
                  <w:divBdr>
                    <w:top w:val="none" w:sz="0" w:space="0" w:color="auto"/>
                    <w:left w:val="none" w:sz="0" w:space="0" w:color="auto"/>
                    <w:bottom w:val="none" w:sz="0" w:space="0" w:color="auto"/>
                    <w:right w:val="none" w:sz="0" w:space="0" w:color="auto"/>
                  </w:divBdr>
                  <w:divsChild>
                    <w:div w:id="310714743">
                      <w:marLeft w:val="0"/>
                      <w:marRight w:val="0"/>
                      <w:marTop w:val="0"/>
                      <w:marBottom w:val="0"/>
                      <w:divBdr>
                        <w:top w:val="none" w:sz="0" w:space="0" w:color="auto"/>
                        <w:left w:val="none" w:sz="0" w:space="0" w:color="auto"/>
                        <w:bottom w:val="none" w:sz="0" w:space="0" w:color="auto"/>
                        <w:right w:val="none" w:sz="0" w:space="0" w:color="auto"/>
                      </w:divBdr>
                      <w:divsChild>
                        <w:div w:id="709115772">
                          <w:marLeft w:val="0"/>
                          <w:marRight w:val="0"/>
                          <w:marTop w:val="0"/>
                          <w:marBottom w:val="0"/>
                          <w:divBdr>
                            <w:top w:val="none" w:sz="0" w:space="0" w:color="auto"/>
                            <w:left w:val="none" w:sz="0" w:space="0" w:color="auto"/>
                            <w:bottom w:val="none" w:sz="0" w:space="0" w:color="auto"/>
                            <w:right w:val="none" w:sz="0" w:space="0" w:color="auto"/>
                          </w:divBdr>
                          <w:divsChild>
                            <w:div w:id="877089702">
                              <w:marLeft w:val="-225"/>
                              <w:marRight w:val="-225"/>
                              <w:marTop w:val="0"/>
                              <w:marBottom w:val="0"/>
                              <w:divBdr>
                                <w:top w:val="none" w:sz="0" w:space="0" w:color="auto"/>
                                <w:left w:val="none" w:sz="0" w:space="0" w:color="auto"/>
                                <w:bottom w:val="none" w:sz="0" w:space="0" w:color="auto"/>
                                <w:right w:val="none" w:sz="0" w:space="0" w:color="auto"/>
                              </w:divBdr>
                              <w:divsChild>
                                <w:div w:id="579293324">
                                  <w:marLeft w:val="0"/>
                                  <w:marRight w:val="0"/>
                                  <w:marTop w:val="0"/>
                                  <w:marBottom w:val="0"/>
                                  <w:divBdr>
                                    <w:top w:val="none" w:sz="0" w:space="0" w:color="auto"/>
                                    <w:left w:val="none" w:sz="0" w:space="0" w:color="auto"/>
                                    <w:bottom w:val="none" w:sz="0" w:space="0" w:color="auto"/>
                                    <w:right w:val="none" w:sz="0" w:space="0" w:color="auto"/>
                                  </w:divBdr>
                                  <w:divsChild>
                                    <w:div w:id="513302602">
                                      <w:marLeft w:val="0"/>
                                      <w:marRight w:val="0"/>
                                      <w:marTop w:val="0"/>
                                      <w:marBottom w:val="0"/>
                                      <w:divBdr>
                                        <w:top w:val="none" w:sz="0" w:space="0" w:color="auto"/>
                                        <w:left w:val="none" w:sz="0" w:space="0" w:color="auto"/>
                                        <w:bottom w:val="none" w:sz="0" w:space="0" w:color="auto"/>
                                        <w:right w:val="none" w:sz="0" w:space="0" w:color="auto"/>
                                      </w:divBdr>
                                      <w:divsChild>
                                        <w:div w:id="15041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1400297">
      <w:bodyDiv w:val="1"/>
      <w:marLeft w:val="0"/>
      <w:marRight w:val="0"/>
      <w:marTop w:val="0"/>
      <w:marBottom w:val="0"/>
      <w:divBdr>
        <w:top w:val="none" w:sz="0" w:space="0" w:color="auto"/>
        <w:left w:val="none" w:sz="0" w:space="0" w:color="auto"/>
        <w:bottom w:val="none" w:sz="0" w:space="0" w:color="auto"/>
        <w:right w:val="none" w:sz="0" w:space="0" w:color="auto"/>
      </w:divBdr>
      <w:divsChild>
        <w:div w:id="990327430">
          <w:marLeft w:val="0"/>
          <w:marRight w:val="0"/>
          <w:marTop w:val="0"/>
          <w:marBottom w:val="0"/>
          <w:divBdr>
            <w:top w:val="none" w:sz="0" w:space="0" w:color="auto"/>
            <w:left w:val="none" w:sz="0" w:space="0" w:color="auto"/>
            <w:bottom w:val="none" w:sz="0" w:space="0" w:color="auto"/>
            <w:right w:val="none" w:sz="0" w:space="0" w:color="auto"/>
          </w:divBdr>
          <w:divsChild>
            <w:div w:id="1129132934">
              <w:marLeft w:val="0"/>
              <w:marRight w:val="0"/>
              <w:marTop w:val="0"/>
              <w:marBottom w:val="0"/>
              <w:divBdr>
                <w:top w:val="none" w:sz="0" w:space="0" w:color="auto"/>
                <w:left w:val="none" w:sz="0" w:space="0" w:color="auto"/>
                <w:bottom w:val="none" w:sz="0" w:space="0" w:color="auto"/>
                <w:right w:val="none" w:sz="0" w:space="0" w:color="auto"/>
              </w:divBdr>
              <w:divsChild>
                <w:div w:id="2039968968">
                  <w:marLeft w:val="-225"/>
                  <w:marRight w:val="-225"/>
                  <w:marTop w:val="0"/>
                  <w:marBottom w:val="0"/>
                  <w:divBdr>
                    <w:top w:val="none" w:sz="0" w:space="0" w:color="auto"/>
                    <w:left w:val="none" w:sz="0" w:space="0" w:color="auto"/>
                    <w:bottom w:val="none" w:sz="0" w:space="0" w:color="auto"/>
                    <w:right w:val="none" w:sz="0" w:space="0" w:color="auto"/>
                  </w:divBdr>
                  <w:divsChild>
                    <w:div w:id="955984628">
                      <w:marLeft w:val="0"/>
                      <w:marRight w:val="0"/>
                      <w:marTop w:val="0"/>
                      <w:marBottom w:val="0"/>
                      <w:divBdr>
                        <w:top w:val="none" w:sz="0" w:space="0" w:color="auto"/>
                        <w:left w:val="none" w:sz="0" w:space="0" w:color="auto"/>
                        <w:bottom w:val="none" w:sz="0" w:space="0" w:color="auto"/>
                        <w:right w:val="none" w:sz="0" w:space="0" w:color="auto"/>
                      </w:divBdr>
                      <w:divsChild>
                        <w:div w:id="889267337">
                          <w:marLeft w:val="0"/>
                          <w:marRight w:val="0"/>
                          <w:marTop w:val="0"/>
                          <w:marBottom w:val="0"/>
                          <w:divBdr>
                            <w:top w:val="none" w:sz="0" w:space="0" w:color="auto"/>
                            <w:left w:val="none" w:sz="0" w:space="0" w:color="auto"/>
                            <w:bottom w:val="none" w:sz="0" w:space="0" w:color="auto"/>
                            <w:right w:val="none" w:sz="0" w:space="0" w:color="auto"/>
                          </w:divBdr>
                          <w:divsChild>
                            <w:div w:id="194079799">
                              <w:marLeft w:val="-225"/>
                              <w:marRight w:val="-225"/>
                              <w:marTop w:val="0"/>
                              <w:marBottom w:val="0"/>
                              <w:divBdr>
                                <w:top w:val="none" w:sz="0" w:space="0" w:color="auto"/>
                                <w:left w:val="none" w:sz="0" w:space="0" w:color="auto"/>
                                <w:bottom w:val="none" w:sz="0" w:space="0" w:color="auto"/>
                                <w:right w:val="none" w:sz="0" w:space="0" w:color="auto"/>
                              </w:divBdr>
                              <w:divsChild>
                                <w:div w:id="1697265728">
                                  <w:marLeft w:val="0"/>
                                  <w:marRight w:val="0"/>
                                  <w:marTop w:val="0"/>
                                  <w:marBottom w:val="0"/>
                                  <w:divBdr>
                                    <w:top w:val="none" w:sz="0" w:space="0" w:color="auto"/>
                                    <w:left w:val="none" w:sz="0" w:space="0" w:color="auto"/>
                                    <w:bottom w:val="none" w:sz="0" w:space="0" w:color="auto"/>
                                    <w:right w:val="none" w:sz="0" w:space="0" w:color="auto"/>
                                  </w:divBdr>
                                  <w:divsChild>
                                    <w:div w:id="999623400">
                                      <w:marLeft w:val="0"/>
                                      <w:marRight w:val="0"/>
                                      <w:marTop w:val="0"/>
                                      <w:marBottom w:val="0"/>
                                      <w:divBdr>
                                        <w:top w:val="none" w:sz="0" w:space="0" w:color="auto"/>
                                        <w:left w:val="none" w:sz="0" w:space="0" w:color="auto"/>
                                        <w:bottom w:val="none" w:sz="0" w:space="0" w:color="auto"/>
                                        <w:right w:val="none" w:sz="0" w:space="0" w:color="auto"/>
                                      </w:divBdr>
                                      <w:divsChild>
                                        <w:div w:id="208294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921909">
      <w:bodyDiv w:val="1"/>
      <w:marLeft w:val="0"/>
      <w:marRight w:val="0"/>
      <w:marTop w:val="0"/>
      <w:marBottom w:val="0"/>
      <w:divBdr>
        <w:top w:val="none" w:sz="0" w:space="0" w:color="auto"/>
        <w:left w:val="none" w:sz="0" w:space="0" w:color="auto"/>
        <w:bottom w:val="none" w:sz="0" w:space="0" w:color="auto"/>
        <w:right w:val="none" w:sz="0" w:space="0" w:color="auto"/>
      </w:divBdr>
    </w:div>
    <w:div w:id="1616402001">
      <w:bodyDiv w:val="1"/>
      <w:marLeft w:val="0"/>
      <w:marRight w:val="0"/>
      <w:marTop w:val="0"/>
      <w:marBottom w:val="0"/>
      <w:divBdr>
        <w:top w:val="none" w:sz="0" w:space="0" w:color="auto"/>
        <w:left w:val="none" w:sz="0" w:space="0" w:color="auto"/>
        <w:bottom w:val="none" w:sz="0" w:space="0" w:color="auto"/>
        <w:right w:val="none" w:sz="0" w:space="0" w:color="auto"/>
      </w:divBdr>
    </w:div>
    <w:div w:id="1634368890">
      <w:bodyDiv w:val="1"/>
      <w:marLeft w:val="0"/>
      <w:marRight w:val="0"/>
      <w:marTop w:val="0"/>
      <w:marBottom w:val="0"/>
      <w:divBdr>
        <w:top w:val="none" w:sz="0" w:space="0" w:color="auto"/>
        <w:left w:val="none" w:sz="0" w:space="0" w:color="auto"/>
        <w:bottom w:val="none" w:sz="0" w:space="0" w:color="auto"/>
        <w:right w:val="none" w:sz="0" w:space="0" w:color="auto"/>
      </w:divBdr>
    </w:div>
    <w:div w:id="1740708810">
      <w:bodyDiv w:val="1"/>
      <w:marLeft w:val="0"/>
      <w:marRight w:val="0"/>
      <w:marTop w:val="0"/>
      <w:marBottom w:val="0"/>
      <w:divBdr>
        <w:top w:val="none" w:sz="0" w:space="0" w:color="auto"/>
        <w:left w:val="none" w:sz="0" w:space="0" w:color="auto"/>
        <w:bottom w:val="none" w:sz="0" w:space="0" w:color="auto"/>
        <w:right w:val="none" w:sz="0" w:space="0" w:color="auto"/>
      </w:divBdr>
    </w:div>
    <w:div w:id="1835608648">
      <w:bodyDiv w:val="1"/>
      <w:marLeft w:val="0"/>
      <w:marRight w:val="0"/>
      <w:marTop w:val="0"/>
      <w:marBottom w:val="0"/>
      <w:divBdr>
        <w:top w:val="none" w:sz="0" w:space="0" w:color="auto"/>
        <w:left w:val="none" w:sz="0" w:space="0" w:color="auto"/>
        <w:bottom w:val="none" w:sz="0" w:space="0" w:color="auto"/>
        <w:right w:val="none" w:sz="0" w:space="0" w:color="auto"/>
      </w:divBdr>
    </w:div>
    <w:div w:id="2016373635">
      <w:bodyDiv w:val="1"/>
      <w:marLeft w:val="0"/>
      <w:marRight w:val="0"/>
      <w:marTop w:val="0"/>
      <w:marBottom w:val="0"/>
      <w:divBdr>
        <w:top w:val="none" w:sz="0" w:space="0" w:color="auto"/>
        <w:left w:val="none" w:sz="0" w:space="0" w:color="auto"/>
        <w:bottom w:val="none" w:sz="0" w:space="0" w:color="auto"/>
        <w:right w:val="none" w:sz="0" w:space="0" w:color="auto"/>
      </w:divBdr>
      <w:divsChild>
        <w:div w:id="112790362">
          <w:marLeft w:val="0"/>
          <w:marRight w:val="0"/>
          <w:marTop w:val="0"/>
          <w:marBottom w:val="0"/>
          <w:divBdr>
            <w:top w:val="none" w:sz="0" w:space="0" w:color="auto"/>
            <w:left w:val="none" w:sz="0" w:space="0" w:color="auto"/>
            <w:bottom w:val="none" w:sz="0" w:space="0" w:color="auto"/>
            <w:right w:val="none" w:sz="0" w:space="0" w:color="auto"/>
          </w:divBdr>
          <w:divsChild>
            <w:div w:id="26875459">
              <w:marLeft w:val="0"/>
              <w:marRight w:val="0"/>
              <w:marTop w:val="0"/>
              <w:marBottom w:val="0"/>
              <w:divBdr>
                <w:top w:val="none" w:sz="0" w:space="0" w:color="auto"/>
                <w:left w:val="none" w:sz="0" w:space="0" w:color="auto"/>
                <w:bottom w:val="none" w:sz="0" w:space="0" w:color="auto"/>
                <w:right w:val="none" w:sz="0" w:space="0" w:color="auto"/>
              </w:divBdr>
              <w:divsChild>
                <w:div w:id="245110909">
                  <w:marLeft w:val="-225"/>
                  <w:marRight w:val="-225"/>
                  <w:marTop w:val="0"/>
                  <w:marBottom w:val="0"/>
                  <w:divBdr>
                    <w:top w:val="none" w:sz="0" w:space="0" w:color="auto"/>
                    <w:left w:val="none" w:sz="0" w:space="0" w:color="auto"/>
                    <w:bottom w:val="none" w:sz="0" w:space="0" w:color="auto"/>
                    <w:right w:val="none" w:sz="0" w:space="0" w:color="auto"/>
                  </w:divBdr>
                  <w:divsChild>
                    <w:div w:id="69893526">
                      <w:marLeft w:val="0"/>
                      <w:marRight w:val="0"/>
                      <w:marTop w:val="0"/>
                      <w:marBottom w:val="0"/>
                      <w:divBdr>
                        <w:top w:val="none" w:sz="0" w:space="0" w:color="auto"/>
                        <w:left w:val="none" w:sz="0" w:space="0" w:color="auto"/>
                        <w:bottom w:val="none" w:sz="0" w:space="0" w:color="auto"/>
                        <w:right w:val="none" w:sz="0" w:space="0" w:color="auto"/>
                      </w:divBdr>
                      <w:divsChild>
                        <w:div w:id="953094055">
                          <w:marLeft w:val="0"/>
                          <w:marRight w:val="0"/>
                          <w:marTop w:val="0"/>
                          <w:marBottom w:val="0"/>
                          <w:divBdr>
                            <w:top w:val="none" w:sz="0" w:space="0" w:color="auto"/>
                            <w:left w:val="none" w:sz="0" w:space="0" w:color="auto"/>
                            <w:bottom w:val="none" w:sz="0" w:space="0" w:color="auto"/>
                            <w:right w:val="none" w:sz="0" w:space="0" w:color="auto"/>
                          </w:divBdr>
                          <w:divsChild>
                            <w:div w:id="1221021446">
                              <w:marLeft w:val="-225"/>
                              <w:marRight w:val="-225"/>
                              <w:marTop w:val="0"/>
                              <w:marBottom w:val="0"/>
                              <w:divBdr>
                                <w:top w:val="none" w:sz="0" w:space="0" w:color="auto"/>
                                <w:left w:val="none" w:sz="0" w:space="0" w:color="auto"/>
                                <w:bottom w:val="none" w:sz="0" w:space="0" w:color="auto"/>
                                <w:right w:val="none" w:sz="0" w:space="0" w:color="auto"/>
                              </w:divBdr>
                              <w:divsChild>
                                <w:div w:id="296839320">
                                  <w:marLeft w:val="0"/>
                                  <w:marRight w:val="0"/>
                                  <w:marTop w:val="0"/>
                                  <w:marBottom w:val="0"/>
                                  <w:divBdr>
                                    <w:top w:val="none" w:sz="0" w:space="0" w:color="auto"/>
                                    <w:left w:val="none" w:sz="0" w:space="0" w:color="auto"/>
                                    <w:bottom w:val="none" w:sz="0" w:space="0" w:color="auto"/>
                                    <w:right w:val="none" w:sz="0" w:space="0" w:color="auto"/>
                                  </w:divBdr>
                                  <w:divsChild>
                                    <w:div w:id="282619989">
                                      <w:marLeft w:val="0"/>
                                      <w:marRight w:val="0"/>
                                      <w:marTop w:val="0"/>
                                      <w:marBottom w:val="0"/>
                                      <w:divBdr>
                                        <w:top w:val="none" w:sz="0" w:space="0" w:color="auto"/>
                                        <w:left w:val="none" w:sz="0" w:space="0" w:color="auto"/>
                                        <w:bottom w:val="none" w:sz="0" w:space="0" w:color="auto"/>
                                        <w:right w:val="none" w:sz="0" w:space="0" w:color="auto"/>
                                      </w:divBdr>
                                      <w:divsChild>
                                        <w:div w:id="118116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861-1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54%D0%BA/96-%D0%B2%D1%8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54%D0%BA/96-%D0%B2%D1%8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861-17"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92E57-0B64-4FB2-9651-6E437D00BE7A}">
  <ds:schemaRefs>
    <ds:schemaRef ds:uri="http://schemas.microsoft.com/sharepoint/v3/contenttype/forms"/>
  </ds:schemaRefs>
</ds:datastoreItem>
</file>

<file path=customXml/itemProps2.xml><?xml version="1.0" encoding="utf-8"?>
<ds:datastoreItem xmlns:ds="http://schemas.openxmlformats.org/officeDocument/2006/customXml" ds:itemID="{2974B36D-7069-4725-8307-66A857710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6E3A42-108C-4917-93E1-C900CEBC7E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665C6D-FA4E-44B3-8365-48F24C20C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13611</Words>
  <Characters>7759</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2021-10-11T08:28:00Z</dcterms:created>
  <dcterms:modified xsi:type="dcterms:W3CDTF">2021-10-11T08:28:00Z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