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page" w:tblpX="984" w:tblpY="800"/>
        <w:tblW w:w="149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841"/>
        <w:gridCol w:w="9133"/>
      </w:tblGrid>
      <w:tr w:rsidR="00A31035" w:rsidRPr="00A105AE" w14:paraId="73C2137B" w14:textId="77777777" w:rsidTr="000C2A9A">
        <w:trPr>
          <w:trHeight w:val="529"/>
        </w:trPr>
        <w:tc>
          <w:tcPr>
            <w:tcW w:w="14974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3356DCC" w14:textId="0EB9835C" w:rsidR="00A31035" w:rsidRPr="00A105AE" w:rsidRDefault="00A105AE" w:rsidP="000C2A9A">
            <w:pPr>
              <w:pStyle w:val="1"/>
              <w:spacing w:before="0" w:line="240" w:lineRule="auto"/>
              <w:ind w:left="93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bookmarkStart w:id="0" w:name="_GoBack"/>
            <w:bookmarkEnd w:id="0"/>
            <w:r w:rsidRPr="00A105AE">
              <w:rPr>
                <w:rFonts w:ascii="Times New Roman" w:hAnsi="Times New Roman" w:cs="Times New Roman"/>
                <w:b/>
                <w:sz w:val="28"/>
                <w:szCs w:val="28"/>
              </w:rPr>
              <w:t>Про внесення змін до Бюджетного кодексу України</w:t>
            </w:r>
            <w:r w:rsidRPr="00A105A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Pr="00A105AE">
              <w:rPr>
                <w:rFonts w:ascii="Times New Roman" w:hAnsi="Times New Roman" w:cs="Times New Roman"/>
                <w:b/>
                <w:sz w:val="28"/>
                <w:szCs w:val="28"/>
              </w:rPr>
              <w:t>щодо державної підтримки кінематографії в Україні</w:t>
            </w:r>
          </w:p>
        </w:tc>
      </w:tr>
      <w:tr w:rsidR="00A31035" w14:paraId="24F2F3C3" w14:textId="77777777" w:rsidTr="000C2A9A">
        <w:trPr>
          <w:trHeight w:val="53"/>
        </w:trPr>
        <w:tc>
          <w:tcPr>
            <w:tcW w:w="584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77256DB" w14:textId="77777777" w:rsidR="00A31035" w:rsidRPr="000C2A9A" w:rsidRDefault="00A31035" w:rsidP="000C2A9A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2A9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Стаття 29.</w:t>
            </w:r>
            <w:r w:rsidRPr="000C2A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Склад доходів Державного бюджету України</w:t>
            </w:r>
          </w:p>
        </w:tc>
        <w:tc>
          <w:tcPr>
            <w:tcW w:w="913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87B1574" w14:textId="77777777" w:rsidR="00A31035" w:rsidRPr="000C2A9A" w:rsidRDefault="00A31035" w:rsidP="000C2A9A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35" w14:paraId="5EDFAD20" w14:textId="77777777" w:rsidTr="000C2A9A">
        <w:trPr>
          <w:trHeight w:val="974"/>
        </w:trPr>
        <w:tc>
          <w:tcPr>
            <w:tcW w:w="584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77E339E" w14:textId="77777777" w:rsidR="00A31035" w:rsidRPr="000C2A9A" w:rsidRDefault="00A31035" w:rsidP="000C2A9A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2A9A">
              <w:rPr>
                <w:rFonts w:ascii="Times New Roman" w:eastAsia="Times New Roman" w:hAnsi="Times New Roman" w:cs="Times New Roman"/>
                <w:sz w:val="20"/>
                <w:szCs w:val="20"/>
              </w:rPr>
              <w:t>…</w:t>
            </w:r>
          </w:p>
          <w:p w14:paraId="5F8EFB94" w14:textId="77777777" w:rsidR="00A31035" w:rsidRPr="000C2A9A" w:rsidRDefault="00A31035" w:rsidP="000C2A9A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2A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Джерелами формування спеціального фонду Державного бюджету України в частині доходів (з урахуванням особливостей, визначених </w:t>
            </w:r>
            <w:hyperlink r:id="rId7" w:anchor="n2001">
              <w:r w:rsidRPr="000C2A9A">
                <w:rPr>
                  <w:rFonts w:ascii="Times New Roman" w:eastAsia="Times New Roman" w:hAnsi="Times New Roman" w:cs="Times New Roman"/>
                  <w:sz w:val="20"/>
                  <w:szCs w:val="20"/>
                </w:rPr>
                <w:t>пунктом 1 частини другої статті 67</w:t>
              </w:r>
            </w:hyperlink>
            <w:hyperlink r:id="rId8" w:anchor="n2001">
              <w:r w:rsidRPr="000C2A9A">
                <w:rPr>
                  <w:rFonts w:ascii="Times New Roman" w:eastAsia="Times New Roman" w:hAnsi="Times New Roman" w:cs="Times New Roman"/>
                  <w:sz w:val="20"/>
                  <w:szCs w:val="20"/>
                  <w:vertAlign w:val="superscript"/>
                </w:rPr>
                <w:t>-1</w:t>
              </w:r>
            </w:hyperlink>
            <w:r w:rsidRPr="000C2A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цього Кодексу) є:</w:t>
            </w:r>
          </w:p>
          <w:p w14:paraId="0B564C0A" w14:textId="77777777" w:rsidR="00A31035" w:rsidRPr="000C2A9A" w:rsidRDefault="00A31035" w:rsidP="000C2A9A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2A9A">
              <w:rPr>
                <w:rFonts w:ascii="Times New Roman" w:eastAsia="Times New Roman" w:hAnsi="Times New Roman" w:cs="Times New Roman"/>
                <w:sz w:val="20"/>
                <w:szCs w:val="20"/>
              </w:rPr>
              <w:t>...</w:t>
            </w:r>
          </w:p>
          <w:p w14:paraId="08AFC4FF" w14:textId="77777777" w:rsidR="00A31035" w:rsidRPr="000C2A9A" w:rsidRDefault="00A31035" w:rsidP="000C2A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</w:pPr>
            <w:r w:rsidRPr="000C2A9A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  <w:t>норма відсутня</w:t>
            </w:r>
          </w:p>
          <w:p w14:paraId="5A25284D" w14:textId="77777777" w:rsidR="00A31035" w:rsidRPr="000C2A9A" w:rsidRDefault="00A31035" w:rsidP="000C2A9A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3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E87FE9E" w14:textId="77777777" w:rsidR="00A31035" w:rsidRPr="000C2A9A" w:rsidRDefault="00A31035" w:rsidP="000C2A9A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2A9A">
              <w:rPr>
                <w:rFonts w:ascii="Times New Roman" w:eastAsia="Times New Roman" w:hAnsi="Times New Roman" w:cs="Times New Roman"/>
                <w:sz w:val="20"/>
                <w:szCs w:val="20"/>
              </w:rPr>
              <w:t>…</w:t>
            </w:r>
          </w:p>
          <w:p w14:paraId="223FDBC7" w14:textId="77777777" w:rsidR="00A31035" w:rsidRPr="000C2A9A" w:rsidRDefault="00A31035" w:rsidP="000C2A9A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2A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Джерелами формування спеціального фонду Державного бюджету України в частині доходів (з урахуванням особливостей, визначених </w:t>
            </w:r>
            <w:hyperlink r:id="rId9" w:anchor="n2001">
              <w:r w:rsidRPr="000C2A9A">
                <w:rPr>
                  <w:rFonts w:ascii="Times New Roman" w:eastAsia="Times New Roman" w:hAnsi="Times New Roman" w:cs="Times New Roman"/>
                  <w:sz w:val="20"/>
                  <w:szCs w:val="20"/>
                </w:rPr>
                <w:t>пунктом 1 частини другої статті 67</w:t>
              </w:r>
            </w:hyperlink>
            <w:hyperlink r:id="rId10" w:anchor="n2001">
              <w:r w:rsidRPr="000C2A9A">
                <w:rPr>
                  <w:rFonts w:ascii="Times New Roman" w:eastAsia="Times New Roman" w:hAnsi="Times New Roman" w:cs="Times New Roman"/>
                  <w:sz w:val="20"/>
                  <w:szCs w:val="20"/>
                  <w:vertAlign w:val="superscript"/>
                </w:rPr>
                <w:t>-1</w:t>
              </w:r>
            </w:hyperlink>
            <w:r w:rsidRPr="000C2A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цього Кодексу) є:</w:t>
            </w:r>
          </w:p>
          <w:p w14:paraId="06DF15BF" w14:textId="77777777" w:rsidR="00A31035" w:rsidRPr="000C2A9A" w:rsidRDefault="00A31035" w:rsidP="000C2A9A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2A9A">
              <w:rPr>
                <w:rFonts w:ascii="Times New Roman" w:eastAsia="Times New Roman" w:hAnsi="Times New Roman" w:cs="Times New Roman"/>
                <w:sz w:val="20"/>
                <w:szCs w:val="20"/>
              </w:rPr>
              <w:t>...</w:t>
            </w:r>
          </w:p>
          <w:p w14:paraId="3751F98F" w14:textId="77777777" w:rsidR="00A31035" w:rsidRPr="000C2A9A" w:rsidRDefault="00A31035" w:rsidP="000C2A9A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C2A9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13-9) надхоження від державної поворотної субсидії на виробництво (створення) фільму (ігрового, анімаційного) передбаченої пунктом 11 частини першої статті 7 Закону України «Про державну підтримку кінематографії в Україні” та нереалізовані кошти, направлені до рахунків умовного зберігання (ескроу) для виплати державної підтримки у формі, передбаченій пунктом 4 частини першої статті 7 Закону України “Про державну підтримку кінематографії в Україні”.</w:t>
            </w:r>
          </w:p>
        </w:tc>
      </w:tr>
      <w:tr w:rsidR="00A31035" w14:paraId="5D3A412A" w14:textId="77777777" w:rsidTr="000C2A9A">
        <w:trPr>
          <w:trHeight w:val="974"/>
        </w:trPr>
        <w:tc>
          <w:tcPr>
            <w:tcW w:w="584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6019E15" w14:textId="77777777" w:rsidR="00A31035" w:rsidRPr="000C2A9A" w:rsidRDefault="00A31035" w:rsidP="000C2A9A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2A9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Стаття 30.</w:t>
            </w:r>
            <w:r w:rsidRPr="000C2A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Склад видатків та кредитування Державного бюджету України</w:t>
            </w:r>
          </w:p>
        </w:tc>
        <w:tc>
          <w:tcPr>
            <w:tcW w:w="913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71A7654" w14:textId="34B977A3" w:rsidR="00A31035" w:rsidRPr="000C2A9A" w:rsidRDefault="00A31035" w:rsidP="000C2A9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1035" w14:paraId="0649C2E6" w14:textId="77777777" w:rsidTr="000C2A9A">
        <w:trPr>
          <w:trHeight w:val="974"/>
        </w:trPr>
        <w:tc>
          <w:tcPr>
            <w:tcW w:w="584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EE2E17E" w14:textId="77777777" w:rsidR="00A31035" w:rsidRPr="000C2A9A" w:rsidRDefault="00A31035" w:rsidP="000C2A9A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2A9A">
              <w:rPr>
                <w:rFonts w:ascii="Times New Roman" w:eastAsia="Times New Roman" w:hAnsi="Times New Roman" w:cs="Times New Roman"/>
                <w:sz w:val="20"/>
                <w:szCs w:val="20"/>
              </w:rPr>
              <w:t>…</w:t>
            </w:r>
          </w:p>
          <w:p w14:paraId="00F17492" w14:textId="77777777" w:rsidR="00A31035" w:rsidRPr="000C2A9A" w:rsidRDefault="00A31035" w:rsidP="000C2A9A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2A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Кошти, отримані до спеціального фонду Державного бюджету України згідно з відповідними пунктами </w:t>
            </w:r>
            <w:hyperlink r:id="rId11" w:anchor="n305">
              <w:r w:rsidRPr="000C2A9A">
                <w:rPr>
                  <w:rFonts w:ascii="Times New Roman" w:eastAsia="Times New Roman" w:hAnsi="Times New Roman" w:cs="Times New Roman"/>
                  <w:sz w:val="20"/>
                  <w:szCs w:val="20"/>
                </w:rPr>
                <w:t>частини третьої статті 15</w:t>
              </w:r>
            </w:hyperlink>
            <w:r w:rsidRPr="000C2A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hyperlink r:id="rId12" w:anchor="n633">
              <w:r w:rsidRPr="000C2A9A">
                <w:rPr>
                  <w:rFonts w:ascii="Times New Roman" w:eastAsia="Times New Roman" w:hAnsi="Times New Roman" w:cs="Times New Roman"/>
                  <w:sz w:val="20"/>
                  <w:szCs w:val="20"/>
                </w:rPr>
                <w:t>частини третьої статті 29</w:t>
              </w:r>
            </w:hyperlink>
            <w:r w:rsidRPr="000C2A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та </w:t>
            </w:r>
            <w:hyperlink r:id="rId13" w:anchor="n659">
              <w:r w:rsidRPr="000C2A9A">
                <w:rPr>
                  <w:rFonts w:ascii="Times New Roman" w:eastAsia="Times New Roman" w:hAnsi="Times New Roman" w:cs="Times New Roman"/>
                  <w:sz w:val="20"/>
                  <w:szCs w:val="20"/>
                </w:rPr>
                <w:t>частини третьої</w:t>
              </w:r>
            </w:hyperlink>
            <w:r w:rsidRPr="000C2A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цієї статті цього Кодексу, спрямовуються відповідно на:</w:t>
            </w:r>
          </w:p>
          <w:p w14:paraId="4A11B7B1" w14:textId="77777777" w:rsidR="00A31035" w:rsidRPr="000C2A9A" w:rsidRDefault="00A31035" w:rsidP="000C2A9A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2A9A">
              <w:rPr>
                <w:rFonts w:ascii="Times New Roman" w:eastAsia="Times New Roman" w:hAnsi="Times New Roman" w:cs="Times New Roman"/>
                <w:sz w:val="20"/>
                <w:szCs w:val="20"/>
              </w:rPr>
              <w:t>…</w:t>
            </w:r>
          </w:p>
          <w:p w14:paraId="24C0D30D" w14:textId="77777777" w:rsidR="00A31035" w:rsidRPr="000C2A9A" w:rsidRDefault="00A31035" w:rsidP="000C2A9A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2A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22) державну підтримку кінематографії (за рахунок джерел, визначених </w:t>
            </w:r>
            <w:hyperlink r:id="rId14" w:anchor="n3559">
              <w:r w:rsidRPr="000C2A9A">
                <w:rPr>
                  <w:rFonts w:ascii="Times New Roman" w:eastAsia="Times New Roman" w:hAnsi="Times New Roman" w:cs="Times New Roman"/>
                  <w:sz w:val="20"/>
                  <w:szCs w:val="20"/>
                </w:rPr>
                <w:t>пунктами 13</w:t>
              </w:r>
            </w:hyperlink>
            <w:hyperlink r:id="rId15" w:anchor="n3559">
              <w:r w:rsidRPr="000C2A9A">
                <w:rPr>
                  <w:rFonts w:ascii="Times New Roman" w:eastAsia="Times New Roman" w:hAnsi="Times New Roman" w:cs="Times New Roman"/>
                  <w:sz w:val="20"/>
                  <w:szCs w:val="20"/>
                  <w:vertAlign w:val="superscript"/>
                </w:rPr>
                <w:t>-6</w:t>
              </w:r>
            </w:hyperlink>
            <w:r w:rsidRPr="000C2A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hyperlink r:id="rId16" w:anchor="n3560">
              <w:r w:rsidRPr="000C2A9A">
                <w:rPr>
                  <w:rFonts w:ascii="Times New Roman" w:eastAsia="Times New Roman" w:hAnsi="Times New Roman" w:cs="Times New Roman"/>
                  <w:sz w:val="20"/>
                  <w:szCs w:val="20"/>
                </w:rPr>
                <w:t>13</w:t>
              </w:r>
            </w:hyperlink>
            <w:hyperlink r:id="rId17" w:anchor="n3560">
              <w:r w:rsidRPr="000C2A9A">
                <w:rPr>
                  <w:rFonts w:ascii="Times New Roman" w:eastAsia="Times New Roman" w:hAnsi="Times New Roman" w:cs="Times New Roman"/>
                  <w:sz w:val="20"/>
                  <w:szCs w:val="20"/>
                  <w:vertAlign w:val="superscript"/>
                </w:rPr>
                <w:t>-7</w:t>
              </w:r>
            </w:hyperlink>
            <w:r w:rsidRPr="000C2A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і </w:t>
            </w:r>
            <w:hyperlink r:id="rId18" w:anchor="n3561">
              <w:r w:rsidRPr="000C2A9A">
                <w:rPr>
                  <w:rFonts w:ascii="Times New Roman" w:eastAsia="Times New Roman" w:hAnsi="Times New Roman" w:cs="Times New Roman"/>
                  <w:sz w:val="20"/>
                  <w:szCs w:val="20"/>
                </w:rPr>
                <w:t>13</w:t>
              </w:r>
            </w:hyperlink>
            <w:hyperlink r:id="rId19" w:anchor="n3561">
              <w:r w:rsidRPr="000C2A9A">
                <w:rPr>
                  <w:rFonts w:ascii="Times New Roman" w:eastAsia="Times New Roman" w:hAnsi="Times New Roman" w:cs="Times New Roman"/>
                  <w:sz w:val="20"/>
                  <w:szCs w:val="20"/>
                  <w:vertAlign w:val="superscript"/>
                </w:rPr>
                <w:t>-8</w:t>
              </w:r>
            </w:hyperlink>
            <w:r w:rsidRPr="000C2A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частини третьої статті 29 цього Кодексу)</w:t>
            </w:r>
          </w:p>
        </w:tc>
        <w:tc>
          <w:tcPr>
            <w:tcW w:w="913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46D5F2F" w14:textId="77777777" w:rsidR="00A31035" w:rsidRPr="000C2A9A" w:rsidRDefault="00A31035" w:rsidP="000C2A9A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2A9A">
              <w:rPr>
                <w:rFonts w:ascii="Times New Roman" w:eastAsia="Times New Roman" w:hAnsi="Times New Roman" w:cs="Times New Roman"/>
                <w:sz w:val="20"/>
                <w:szCs w:val="20"/>
              </w:rPr>
              <w:t>…</w:t>
            </w:r>
          </w:p>
          <w:p w14:paraId="42E95029" w14:textId="77777777" w:rsidR="00A31035" w:rsidRPr="000C2A9A" w:rsidRDefault="00A31035" w:rsidP="000C2A9A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2A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Кошти, отримані до спеціального фонду Державного бюджету України згідно з відповідними пунктами </w:t>
            </w:r>
            <w:hyperlink r:id="rId20" w:anchor="n305">
              <w:r w:rsidRPr="000C2A9A">
                <w:rPr>
                  <w:rFonts w:ascii="Times New Roman" w:eastAsia="Times New Roman" w:hAnsi="Times New Roman" w:cs="Times New Roman"/>
                  <w:sz w:val="20"/>
                  <w:szCs w:val="20"/>
                </w:rPr>
                <w:t>частини третьої статті 15</w:t>
              </w:r>
            </w:hyperlink>
            <w:r w:rsidRPr="000C2A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hyperlink r:id="rId21" w:anchor="n633">
              <w:r w:rsidRPr="000C2A9A">
                <w:rPr>
                  <w:rFonts w:ascii="Times New Roman" w:eastAsia="Times New Roman" w:hAnsi="Times New Roman" w:cs="Times New Roman"/>
                  <w:sz w:val="20"/>
                  <w:szCs w:val="20"/>
                </w:rPr>
                <w:t>частини третьої статті 29</w:t>
              </w:r>
            </w:hyperlink>
            <w:r w:rsidRPr="000C2A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та </w:t>
            </w:r>
            <w:hyperlink r:id="rId22" w:anchor="n659">
              <w:r w:rsidRPr="000C2A9A">
                <w:rPr>
                  <w:rFonts w:ascii="Times New Roman" w:eastAsia="Times New Roman" w:hAnsi="Times New Roman" w:cs="Times New Roman"/>
                  <w:sz w:val="20"/>
                  <w:szCs w:val="20"/>
                </w:rPr>
                <w:t>частини третьої</w:t>
              </w:r>
            </w:hyperlink>
            <w:r w:rsidRPr="000C2A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цієї статті цього Кодексу, спрямовуються відповідно на:</w:t>
            </w:r>
          </w:p>
          <w:p w14:paraId="0BB516AE" w14:textId="77777777" w:rsidR="00A31035" w:rsidRPr="000C2A9A" w:rsidRDefault="00A31035" w:rsidP="000C2A9A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2A9A">
              <w:rPr>
                <w:rFonts w:ascii="Times New Roman" w:eastAsia="Times New Roman" w:hAnsi="Times New Roman" w:cs="Times New Roman"/>
                <w:sz w:val="20"/>
                <w:szCs w:val="20"/>
              </w:rPr>
              <w:t>…</w:t>
            </w:r>
          </w:p>
          <w:p w14:paraId="3D33C643" w14:textId="77777777" w:rsidR="00A31035" w:rsidRPr="000C2A9A" w:rsidRDefault="00A31035" w:rsidP="000C2A9A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2A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22) державну підтримку кінематографії (за рахунок джерел, визначених </w:t>
            </w:r>
            <w:hyperlink r:id="rId23" w:anchor="n3559">
              <w:r w:rsidRPr="000C2A9A">
                <w:rPr>
                  <w:rFonts w:ascii="Times New Roman" w:eastAsia="Times New Roman" w:hAnsi="Times New Roman" w:cs="Times New Roman"/>
                  <w:sz w:val="20"/>
                  <w:szCs w:val="20"/>
                </w:rPr>
                <w:t>пунктами 13</w:t>
              </w:r>
            </w:hyperlink>
            <w:hyperlink r:id="rId24" w:anchor="n3559">
              <w:r w:rsidRPr="000C2A9A">
                <w:rPr>
                  <w:rFonts w:ascii="Times New Roman" w:eastAsia="Times New Roman" w:hAnsi="Times New Roman" w:cs="Times New Roman"/>
                  <w:sz w:val="20"/>
                  <w:szCs w:val="20"/>
                  <w:vertAlign w:val="superscript"/>
                </w:rPr>
                <w:t>-6</w:t>
              </w:r>
            </w:hyperlink>
            <w:r w:rsidRPr="000C2A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hyperlink r:id="rId25" w:anchor="n3560">
              <w:r w:rsidRPr="000C2A9A">
                <w:rPr>
                  <w:rFonts w:ascii="Times New Roman" w:eastAsia="Times New Roman" w:hAnsi="Times New Roman" w:cs="Times New Roman"/>
                  <w:sz w:val="20"/>
                  <w:szCs w:val="20"/>
                </w:rPr>
                <w:t>13</w:t>
              </w:r>
            </w:hyperlink>
            <w:hyperlink r:id="rId26" w:anchor="n3560">
              <w:r w:rsidRPr="000C2A9A">
                <w:rPr>
                  <w:rFonts w:ascii="Times New Roman" w:eastAsia="Times New Roman" w:hAnsi="Times New Roman" w:cs="Times New Roman"/>
                  <w:sz w:val="20"/>
                  <w:szCs w:val="20"/>
                  <w:vertAlign w:val="superscript"/>
                </w:rPr>
                <w:t>-7</w:t>
              </w:r>
            </w:hyperlink>
            <w:r w:rsidRPr="000C2A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hyperlink r:id="rId27" w:anchor="n3561">
              <w:r w:rsidRPr="000C2A9A">
                <w:rPr>
                  <w:rFonts w:ascii="Times New Roman" w:eastAsia="Times New Roman" w:hAnsi="Times New Roman" w:cs="Times New Roman"/>
                  <w:sz w:val="20"/>
                  <w:szCs w:val="20"/>
                </w:rPr>
                <w:t>13</w:t>
              </w:r>
            </w:hyperlink>
            <w:hyperlink r:id="rId28" w:anchor="n3561">
              <w:r w:rsidRPr="000C2A9A">
                <w:rPr>
                  <w:rFonts w:ascii="Times New Roman" w:eastAsia="Times New Roman" w:hAnsi="Times New Roman" w:cs="Times New Roman"/>
                  <w:sz w:val="20"/>
                  <w:szCs w:val="20"/>
                  <w:vertAlign w:val="superscript"/>
                </w:rPr>
                <w:t>-8</w:t>
              </w:r>
            </w:hyperlink>
            <w:r w:rsidRPr="000C2A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0C2A9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і </w:t>
            </w:r>
            <w:hyperlink r:id="rId29" w:anchor="n3561">
              <w:r w:rsidRPr="000C2A9A">
                <w:rPr>
                  <w:rFonts w:ascii="Times New Roman" w:eastAsia="Times New Roman" w:hAnsi="Times New Roman" w:cs="Times New Roman"/>
                  <w:b/>
                  <w:sz w:val="20"/>
                  <w:szCs w:val="20"/>
                </w:rPr>
                <w:t>13-</w:t>
              </w:r>
            </w:hyperlink>
            <w:hyperlink r:id="rId30" w:anchor="n3561">
              <w:r w:rsidRPr="000C2A9A"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vertAlign w:val="superscript"/>
                </w:rPr>
                <w:t>-</w:t>
              </w:r>
            </w:hyperlink>
            <w:r w:rsidRPr="000C2A9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9</w:t>
            </w:r>
            <w:r w:rsidRPr="000C2A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частини третьої статті 29 цього Кодексу)</w:t>
            </w:r>
          </w:p>
        </w:tc>
      </w:tr>
    </w:tbl>
    <w:p w14:paraId="2B5EF6E9" w14:textId="77777777" w:rsidR="000C2A9A" w:rsidRPr="000C2A9A" w:rsidRDefault="000C2A9A" w:rsidP="000C2A9A">
      <w:pPr>
        <w:spacing w:after="120" w:line="240" w:lineRule="auto"/>
        <w:ind w:firstLine="709"/>
        <w:jc w:val="center"/>
        <w:rPr>
          <w:rFonts w:ascii="Times New Roman" w:eastAsia="Times New Roman" w:hAnsi="Times New Roman" w:cs="Calibri"/>
          <w:b/>
          <w:bCs/>
          <w:sz w:val="28"/>
          <w:szCs w:val="28"/>
          <w:lang w:eastAsia="en-US"/>
        </w:rPr>
      </w:pPr>
      <w:r w:rsidRPr="000C2A9A">
        <w:rPr>
          <w:rFonts w:ascii="Times New Roman" w:eastAsia="Times New Roman" w:hAnsi="Times New Roman" w:cs="Calibri"/>
          <w:b/>
          <w:bCs/>
          <w:sz w:val="28"/>
          <w:szCs w:val="28"/>
          <w:lang w:eastAsia="en-US"/>
        </w:rPr>
        <w:t>ПОРІВНЯЛЬНА ТАБЛИЦЯ</w:t>
      </w:r>
    </w:p>
    <w:p w14:paraId="648C30A0" w14:textId="51314792" w:rsidR="00A31035" w:rsidRDefault="00A31035">
      <w:pPr>
        <w:rPr>
          <w:b/>
          <w:bCs/>
          <w:szCs w:val="28"/>
        </w:rPr>
      </w:pPr>
    </w:p>
    <w:p w14:paraId="6A938354" w14:textId="38221ECF" w:rsidR="000C2A9A" w:rsidRDefault="000C2A9A">
      <w:pPr>
        <w:rPr>
          <w:b/>
          <w:bCs/>
          <w:szCs w:val="28"/>
        </w:rPr>
      </w:pPr>
    </w:p>
    <w:p w14:paraId="1004B741" w14:textId="1FF6FA1A" w:rsidR="000C2A9A" w:rsidRDefault="000C2A9A">
      <w:pPr>
        <w:rPr>
          <w:b/>
          <w:bCs/>
          <w:szCs w:val="28"/>
        </w:rPr>
      </w:pPr>
    </w:p>
    <w:p w14:paraId="60E587D7" w14:textId="77777777" w:rsidR="000C2A9A" w:rsidRDefault="000C2A9A"/>
    <w:p w14:paraId="16DB0FCB" w14:textId="66626DD9" w:rsidR="000C2A9A" w:rsidRDefault="000C2A9A">
      <w:pPr>
        <w:rPr>
          <w:b/>
          <w:bCs/>
          <w:szCs w:val="28"/>
        </w:rPr>
      </w:pPr>
    </w:p>
    <w:p w14:paraId="691D138B" w14:textId="77777777" w:rsidR="000C2A9A" w:rsidRDefault="000C2A9A"/>
    <w:sectPr w:rsidR="000C2A9A" w:rsidSect="000C2A9A">
      <w:pgSz w:w="16838" w:h="11906" w:orient="landscape"/>
      <w:pgMar w:top="567" w:right="82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035"/>
    <w:rsid w:val="00040CD3"/>
    <w:rsid w:val="000C2A9A"/>
    <w:rsid w:val="00A105AE"/>
    <w:rsid w:val="00A31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B18BF"/>
  <w15:chartTrackingRefBased/>
  <w15:docId w15:val="{940CDE93-A5A1-D64B-8F43-81B2C7F9C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1035"/>
    <w:pPr>
      <w:spacing w:line="276" w:lineRule="auto"/>
    </w:pPr>
    <w:rPr>
      <w:rFonts w:ascii="Arial" w:eastAsia="Arial" w:hAnsi="Arial" w:cs="Arial"/>
      <w:sz w:val="22"/>
      <w:szCs w:val="2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31035"/>
    <w:pPr>
      <w:keepNext/>
      <w:keepLines/>
      <w:spacing w:before="400" w:after="120"/>
      <w:outlineLvl w:val="0"/>
    </w:pPr>
    <w:rPr>
      <w:sz w:val="40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31035"/>
    <w:rPr>
      <w:rFonts w:ascii="Arial" w:eastAsia="Arial" w:hAnsi="Arial" w:cs="Arial"/>
      <w:sz w:val="40"/>
      <w:szCs w:val="4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5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2456-17" TargetMode="External"/><Relationship Id="rId13" Type="http://schemas.openxmlformats.org/officeDocument/2006/relationships/hyperlink" Target="https://zakon.rada.gov.ua/laws/show/2456-17" TargetMode="External"/><Relationship Id="rId18" Type="http://schemas.openxmlformats.org/officeDocument/2006/relationships/hyperlink" Target="https://zakon.rada.gov.ua/laws/show/2456-17" TargetMode="External"/><Relationship Id="rId26" Type="http://schemas.openxmlformats.org/officeDocument/2006/relationships/hyperlink" Target="https://zakon.rada.gov.ua/laws/show/2456-17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zakon.rada.gov.ua/laws/show/2456-17" TargetMode="External"/><Relationship Id="rId7" Type="http://schemas.openxmlformats.org/officeDocument/2006/relationships/hyperlink" Target="https://zakon.rada.gov.ua/laws/show/2456-17" TargetMode="External"/><Relationship Id="rId12" Type="http://schemas.openxmlformats.org/officeDocument/2006/relationships/hyperlink" Target="https://zakon.rada.gov.ua/laws/show/2456-17" TargetMode="External"/><Relationship Id="rId17" Type="http://schemas.openxmlformats.org/officeDocument/2006/relationships/hyperlink" Target="https://zakon.rada.gov.ua/laws/show/2456-17" TargetMode="External"/><Relationship Id="rId25" Type="http://schemas.openxmlformats.org/officeDocument/2006/relationships/hyperlink" Target="https://zakon.rada.gov.ua/laws/show/2456-17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zakon.rada.gov.ua/laws/show/2456-17" TargetMode="External"/><Relationship Id="rId20" Type="http://schemas.openxmlformats.org/officeDocument/2006/relationships/hyperlink" Target="https://zakon.rada.gov.ua/laws/show/2456-17" TargetMode="External"/><Relationship Id="rId29" Type="http://schemas.openxmlformats.org/officeDocument/2006/relationships/hyperlink" Target="https://zakon.rada.gov.ua/laws/show/2456-17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zakon.rada.gov.ua/laws/show/2456-17" TargetMode="External"/><Relationship Id="rId24" Type="http://schemas.openxmlformats.org/officeDocument/2006/relationships/hyperlink" Target="https://zakon.rada.gov.ua/laws/show/2456-17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zakon.rada.gov.ua/laws/show/2456-17" TargetMode="External"/><Relationship Id="rId23" Type="http://schemas.openxmlformats.org/officeDocument/2006/relationships/hyperlink" Target="https://zakon.rada.gov.ua/laws/show/2456-17" TargetMode="External"/><Relationship Id="rId28" Type="http://schemas.openxmlformats.org/officeDocument/2006/relationships/hyperlink" Target="https://zakon.rada.gov.ua/laws/show/2456-17" TargetMode="External"/><Relationship Id="rId10" Type="http://schemas.openxmlformats.org/officeDocument/2006/relationships/hyperlink" Target="https://zakon.rada.gov.ua/laws/show/2456-17" TargetMode="External"/><Relationship Id="rId19" Type="http://schemas.openxmlformats.org/officeDocument/2006/relationships/hyperlink" Target="https://zakon.rada.gov.ua/laws/show/2456-17" TargetMode="External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zakon.rada.gov.ua/laws/show/2456-17" TargetMode="External"/><Relationship Id="rId14" Type="http://schemas.openxmlformats.org/officeDocument/2006/relationships/hyperlink" Target="https://zakon.rada.gov.ua/laws/show/2456-17" TargetMode="External"/><Relationship Id="rId22" Type="http://schemas.openxmlformats.org/officeDocument/2006/relationships/hyperlink" Target="https://zakon.rada.gov.ua/laws/show/2456-17" TargetMode="External"/><Relationship Id="rId27" Type="http://schemas.openxmlformats.org/officeDocument/2006/relationships/hyperlink" Target="https://zakon.rada.gov.ua/laws/show/2456-17" TargetMode="External"/><Relationship Id="rId30" Type="http://schemas.openxmlformats.org/officeDocument/2006/relationships/hyperlink" Target="https://zakon.rada.gov.ua/laws/show/2456-1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0EA4702-95C3-4B6A-B806-3347D0C1BAC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B7A00EE-2C44-4321-BE01-78F1017B21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75A79A-7534-4BE2-9779-69770D46D3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2300</Words>
  <Characters>1312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2021-10-19T11:40:00Z</dcterms:created>
  <dcterms:modified xsi:type="dcterms:W3CDTF">2021-10-19T11:40:00Z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